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sz w:val="28"/>
          <w:szCs w:val="28"/>
        </w:rPr>
        <w:t xml:space="preserve">⋆ ⋆ Chapitre Deux ⋆ ⋆</w:t>
      </w:r>
    </w:p>
    <w:p>
      <w:pPr>
        <w:pStyle w:val="Heading1"/>
        <w:jc w:val="center"/>
      </w:pPr>
      <w:r>
        <w:rPr>
          <w:rFonts w:ascii="Times New Roman" w:cs="Times New Roman" w:eastAsia="Times New Roman" w:hAnsi="Times New Roman"/>
          <w:b/>
          <w:bCs/>
          <w:sz w:val="28"/>
          <w:szCs w:val="28"/>
        </w:rPr>
        <w:t xml:space="preserve">Revue de la Littérature</w:t>
      </w:r>
    </w:p>
    <w:p>
      <w:pPr>
        <w:spacing w:after="80" w:before="8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Introduction</w:t>
      </w:r>
    </w:p>
    <w:p>
      <w:pPr>
        <w:spacing w:after="120" w:before="120" w:line="360"/>
        <w:jc w:val="both"/>
      </w:pPr>
      <w:r>
        <w:rPr>
          <w:rFonts w:ascii="Times New Roman" w:cs="Times New Roman" w:eastAsia="Times New Roman" w:hAnsi="Times New Roman"/>
          <w:sz w:val="24"/>
          <w:szCs w:val="24"/>
        </w:rPr>
        <w:t xml:space="preserve">L'orientation scolaire des élèves de Troisième vers le second cycle de l'enseignement secondaire est une problématique qui se situe au carrefour de plusieurs disciplines scientifiques : la psychométrie, la psychologie différentielle, les sciences de l'éducation et l'informatique. Avant de présenter la conception et le développement de CapAvenir CMR, il est indispensable d'explorer les travaux théoriques et empiriques qui fondent notre démarche. Ce chapitre s'articule autour de cinq volets complémentaires : une exploration de l'historique de l'orientation scolaire et de ses enjeux dans le contexte camerounais ; une analyse du rôle central des tests psychotechniques ; un état des lieux des plateformes numériques existantes et de leurs lacunes ; une présentation des modèles de développement logiciel applicables à notre projet ; une étude des principes ergonomiques des interfaces homme-machine dans les applications éducatives ; et enfin, la justification des choix méthodologiques et conceptuels retenus pour CapAvenir CMR.</w:t>
      </w:r>
    </w:p>
    <w:p>
      <w:pPr>
        <w:spacing w:after="80" w:before="8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2.1  Historique de l'orientation scolaire</w:t>
      </w:r>
    </w:p>
    <w:p>
      <w:pPr>
        <w:spacing w:after="120" w:before="120" w:line="360"/>
        <w:jc w:val="both"/>
      </w:pPr>
      <w:r>
        <w:rPr>
          <w:rFonts w:ascii="Times New Roman" w:cs="Times New Roman" w:eastAsia="Times New Roman" w:hAnsi="Times New Roman"/>
          <w:sz w:val="24"/>
          <w:szCs w:val="24"/>
        </w:rPr>
        <w:t xml:space="preserve">L'orientation scolaire, entendue comme l'ensemble des pratiques visant à aider un individu à choisir un parcours de formation en adéquation avec ses aptitudes et ses aspirations, est une discipline dont la formalisation scientifique remonte au début du XXe siècle. C'est à Frank Parsons que l'on doit la première théorisation d'une démarche d'orientation structurée. Dans son ouvrage publié à titre posthume en 1909, il pose les fondements d'un modèle en trois étapes : la connaissance approfondie de soi-même — aptitudes, intérêts, ressources et limites — ; la connaissance des exigences et des conditions de réussite des différentes voies de formation et de carrière ; et le raisonnement permettant de mettre ces deux ensembles en relation pour formuler un choix éclairé. Ce modèle, connu sous le nom d'approche « trait-and-factor », constitue encore aujourd'hui le socle théorique des pratiques d'orientation dans de nombreux pays (Guichard et Huteau, 2006).</w:t>
      </w:r>
    </w:p>
    <w:p>
      <w:pPr>
        <w:spacing w:after="120" w:before="120" w:line="360"/>
        <w:jc w:val="both"/>
      </w:pPr>
      <w:r>
        <w:rPr>
          <w:rFonts w:ascii="Times New Roman" w:cs="Times New Roman" w:eastAsia="Times New Roman" w:hAnsi="Times New Roman"/>
          <w:sz w:val="24"/>
          <w:szCs w:val="24"/>
        </w:rPr>
        <w:t xml:space="preserve">Les décennies suivantes ont vu se développer des outils permettant de mesurer objectivement les aptitudes individuelles, donnant ainsi à l'orientation une base scientifique plus solide. Les travaux de Binet et Simon dès 1905 sur la mesure de l'intelligence, puis le développement par Thurstone dans les années 1930 d'une théorie des aptitudes primaires — distinguant l'aptitude numérique, l'aptitude verbale, la mémoire, le raisonnement spatial et la vitesse perceptive — ont fourni les bases psychométriques sur lesquelles ont été construits les tests d'aptitude utilisés en orientation jusqu'à aujourd'hui (Carroll, 1993). Les cinq tests intégrés dans CapAvenir CMR — le D48, le KRX, le MECA, le BV11 et le PRC — s'inscrivent directement dans cette tradition scientifique.</w:t>
      </w:r>
    </w:p>
    <w:p>
      <w:pPr>
        <w:spacing w:after="120" w:before="120" w:line="360"/>
        <w:jc w:val="both"/>
      </w:pPr>
      <w:r>
        <w:rPr>
          <w:rFonts w:ascii="Times New Roman" w:cs="Times New Roman" w:eastAsia="Times New Roman" w:hAnsi="Times New Roman"/>
          <w:sz w:val="24"/>
          <w:szCs w:val="24"/>
        </w:rPr>
        <w:t xml:space="preserve">En France, l'institutionnalisation de l'orientation scolaire a débuté dans les années 1920 avec la création des premiers Offices de renseignements sur les professions, avant la structuration progressive de la profession de conseiller d'orientation-psychologue. En Afrique francophone, ces modèles ont été importés avec les systèmes éducatifs hérités de la période coloniale, mais leur mise en œuvre est restée inégale et limitée faute de ressources humaines qualifiées. Au Cameroun, des conseillers d'orientation sont formés et déployés dans les établissements secondaires, mais leur nombre demeure très insuffisant au regard des effectifs à accompagner, et leurs outils de travail — batteries de tests papier développées dans les années 1950 et 1960 — ne bénéficient d'aucune aide numérique (Ministère des Enseignements Secondaires, 2023). C'est précisément ce vide que CapAvenir CMR ambitionne de combler.</w:t>
      </w:r>
    </w:p>
    <w:p>
      <w:pPr>
        <w:spacing w:after="80" w:before="8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2.2  Enjeux et contexte de l'orientation scolaire</w:t>
      </w:r>
    </w:p>
    <w:p>
      <w:pPr>
        <w:spacing w:after="120" w:before="120" w:line="360"/>
        <w:jc w:val="both"/>
      </w:pPr>
      <w:r>
        <w:rPr>
          <w:rFonts w:ascii="Times New Roman" w:cs="Times New Roman" w:eastAsia="Times New Roman" w:hAnsi="Times New Roman"/>
          <w:sz w:val="24"/>
          <w:szCs w:val="24"/>
        </w:rPr>
        <w:t xml:space="preserve">Le suivi scolaire et l'orientation constituent deux piliers fondamentaux pour assurer la réussite éducative des élèves (Mbarga, 2020). Dans le système éducatif camerounais, la transition de la Troisième vers la Seconde est particulièrement critique : c'est à ce moment que l'élève se dirige vers la Série C (à dominante scientifique : Mathématiques, Sciences Physiques, SVT) ou vers la Série A (à dominante littéraire : Français, Histoire-Géographie, Anglais), un choix qui déterminera l'ensemble de son second cycle et, in fine, ses possibilités d'accès à l'enseignement supérieur et ses perspectives professionnelles.</w:t>
      </w:r>
    </w:p>
    <w:p>
      <w:pPr>
        <w:spacing w:after="120" w:before="120" w:line="360"/>
        <w:jc w:val="both"/>
      </w:pPr>
      <w:r>
        <w:rPr>
          <w:rFonts w:ascii="Times New Roman" w:cs="Times New Roman" w:eastAsia="Times New Roman" w:hAnsi="Times New Roman"/>
          <w:sz w:val="24"/>
          <w:szCs w:val="24"/>
        </w:rPr>
        <w:t xml:space="preserve">Les enjeux d'une bonne orientation à ce stade sont multiples et bien documentés. Premièrement, une orientation inadaptée est fortement corrélée à des taux d'échec et de redoublement élevés dès la classe de Seconde. Deuxièmement, elle engendre une démotivation progressive qui peut conduire au décrochage scolaire, phénomène aux coûts sociaux et économiques considérables (Rumberger, 2011). Troisièmement, au niveau macroéconomique, une inadéquation systémique entre les orientations scolaires et les besoins du marché du travail contribue au chômage des jeunes et freine le développement du pays (UNESCO, 2012).</w:t>
      </w:r>
    </w:p>
    <w:p>
      <w:pPr>
        <w:spacing w:after="120" w:before="120" w:line="360"/>
        <w:jc w:val="both"/>
      </w:pPr>
      <w:r>
        <w:rPr>
          <w:rFonts w:ascii="Times New Roman" w:cs="Times New Roman" w:eastAsia="Times New Roman" w:hAnsi="Times New Roman"/>
          <w:sz w:val="24"/>
          <w:szCs w:val="24"/>
        </w:rPr>
        <w:t xml:space="preserve">La dimension socio-économique de l'orientation est souvent négligée alors qu'elle constitue un déterminant majeur des choix possibles. Un élève aux aptitudes scientifiques confirmées mais issu d'une famille à revenus modestes doit être informé des coûts des filières longues et des dispositifs d'aide disponibles, afin de ne pas être contraint d'abandonner ses ambitions pour des raisons financières non anticipées (Bourdieu et Passeron, 1970). CapAvenir CMR intègre explicitement cette variable en pondérant ses recommandations selon le revenu mensuel déclaré des parents (faible, moyen, élevé en FCFA). Enfin, des études ont montré que l'implication des parents dans le suivi scolaire améliore significativement la qualité des décisions d'orientation (Epstein, 2001) ; la fiche PDF générée par CapAvenir CMR contribue à renforcer ce dialogue entre l'école et la famille.</w:t>
      </w:r>
    </w:p>
    <w:p>
      <w:pPr>
        <w:spacing w:after="80" w:before="8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2.3  Rôles des tests psychotechniques dans l'orientation scolaire</w:t>
      </w:r>
    </w:p>
    <w:p>
      <w:pPr>
        <w:spacing w:after="120" w:before="120" w:line="360"/>
        <w:jc w:val="both"/>
      </w:pPr>
      <w:r>
        <w:rPr>
          <w:rFonts w:ascii="Times New Roman" w:cs="Times New Roman" w:eastAsia="Times New Roman" w:hAnsi="Times New Roman"/>
          <w:sz w:val="24"/>
          <w:szCs w:val="24"/>
        </w:rPr>
        <w:t xml:space="preserve">Les tests psychotechniques constituent l'instrument le plus robuste et le plus objectif de la psychologie appliquée à l'orientation. Leur principe repose sur la mesure standardisée de capacités cognitives spécifiques, permettant de situer les aptitudes d'un individu par rapport à une population de référence et de prédire sa probabilité de réussite dans des domaines déterminés (Anastasi et Urbina, 1997). Contrairement aux notes scolaires — qui reflètent des acquisitions dans un contexte pédagogique particulier — les tests psychotechniques mesurent des aptitudes cognitives sous-jacentes de façon indépendante des pratiques d'enseignement. Ils présentent trois qualités essentielles : l'objectivité (les résultats ne dépendent pas du jugement subjectif de l'évaluateur), la standardisation (conditions de passation identiques pour tous), et l'étalonnage (interprétation des scores par référence à une distribution normative).</w:t>
      </w:r>
    </w:p>
    <w:p>
      <w:pPr>
        <w:spacing w:after="120" w:before="120" w:line="360"/>
        <w:jc w:val="both"/>
      </w:pPr>
      <w:r>
        <w:rPr>
          <w:rFonts w:ascii="Times New Roman" w:cs="Times New Roman" w:eastAsia="Times New Roman" w:hAnsi="Times New Roman"/>
          <w:sz w:val="24"/>
          <w:szCs w:val="24"/>
        </w:rPr>
        <w:t xml:space="preserve">Dans CapAvenir CMR, cinq tests psychotechniques complémentaires sont utilisés, formant une banque totale de 192 questions. Le Test des Dominos (D48), composé de 40 items, mesure le raisonnement logico-abstrait en demandant au sujet de compléter des séries de dominos — aptitude fortement corrélée à la réussite en mathématiques et en sciences physiques (Anstey, 1944). Le Test KRX, en 20 items, évalue l'aptitude mathématique à travers l'identification de suites numériques — un prédicteur fiable de la réussite dans les disciplines quantitatives (Carroll, 1993). Le Test Mécanique (MECA), en 36 items, mesure la compréhension des phénomènes physiques et mécaniques. Le Test de Vocabulaire (BV11), en 56 items, évalue l'aptitude verbale et littéraire à travers des exercices de synonymes et de figures de style. Enfin, le Test de Proverbes (PRC), en 40 items, évalue la compréhension du sens figuré et le raisonnement langagier. Les scores étalonnés du D48 et du KRX sont combinés pour calculer le Score d'Aptitude Scientifique (SA), tandis que les scores du BV11 et du PRC forment le Score d'Aptitude Littéraire (LA), les deux indices centraux du moteur de recommandation.</w:t>
      </w:r>
    </w:p>
    <w:p>
      <w:pPr>
        <w:spacing w:after="80" w:before="8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2.4  État sur les applications d'aide à l'orientation scolaire</w:t>
      </w:r>
    </w:p>
    <w:p>
      <w:pPr>
        <w:spacing w:after="120" w:before="120" w:line="360"/>
        <w:jc w:val="both"/>
      </w:pPr>
      <w:r>
        <w:rPr>
          <w:rFonts w:ascii="Times New Roman" w:cs="Times New Roman" w:eastAsia="Times New Roman" w:hAnsi="Times New Roman"/>
          <w:sz w:val="24"/>
          <w:szCs w:val="24"/>
        </w:rPr>
        <w:t xml:space="preserve">L'avènement des Technologies de l'Information et de la Communication pour l'Enseignement (TICE) a conduit au développement de nombreuses plateformes numériques traitant de l'orientation scolaire sous différents angles. Une analyse comparative de ces outils existants est indispensable pour bien positionner la contribution originale de CapAvenir CMR.</w:t>
      </w:r>
    </w:p>
    <w:p>
      <w:pPr>
        <w:pStyle w:val="Heading3"/>
      </w:pPr>
      <w:r>
        <w:rPr>
          <w:rFonts w:ascii="Times New Roman" w:cs="Times New Roman" w:eastAsia="Times New Roman" w:hAnsi="Times New Roman"/>
          <w:b/>
          <w:bCs/>
          <w:i/>
          <w:iCs/>
          <w:sz w:val="24"/>
          <w:szCs w:val="24"/>
        </w:rPr>
        <w:t xml:space="preserve">2.4.1  Analyse de l'existant : fonctionnalités et manquements</w:t>
      </w:r>
    </w:p>
    <w:p>
      <w:pPr>
        <w:spacing w:after="80" w:before="200"/>
      </w:pPr>
      <w:r>
        <w:rPr>
          <w:rFonts w:ascii="Times New Roman" w:cs="Times New Roman" w:eastAsia="Times New Roman" w:hAnsi="Times New Roman"/>
          <w:b/>
          <w:bCs/>
          <w:sz w:val="24"/>
          <w:szCs w:val="24"/>
          <w:u w:val="single"/>
        </w:rPr>
        <w:t xml:space="preserve">2.4.1.1  En Europe</w:t>
      </w:r>
    </w:p>
    <w:p>
      <w:pPr>
        <w:spacing w:after="120" w:before="120" w:line="360"/>
        <w:jc w:val="both"/>
      </w:pPr>
      <w:r>
        <w:rPr>
          <w:rFonts w:ascii="Times New Roman" w:cs="Times New Roman" w:eastAsia="Times New Roman" w:hAnsi="Times New Roman"/>
          <w:b/>
          <w:bCs/>
          <w:sz w:val="24"/>
          <w:szCs w:val="24"/>
        </w:rPr>
        <w:t xml:space="preserve">Onisep (France) : </w:t>
      </w:r>
      <w:r>
        <w:rPr>
          <w:rFonts w:ascii="Times New Roman" w:cs="Times New Roman" w:eastAsia="Times New Roman" w:hAnsi="Times New Roman"/>
          <w:sz w:val="24"/>
          <w:szCs w:val="24"/>
        </w:rPr>
        <w:t xml:space="preserve">Le portail de l'Office National d'Information Sur les Enseignements et les Professions propose une base documentaire exhaustive sur les filières, les formations et les métiers. Cependant, il ne comporte aucun module de diagnostic psychotechnique ni d'analyse des performances scolaires individuelles. Il s'agit d'un outil d'information générale, non d'un système de recommandation personnalisée.</w:t>
      </w:r>
    </w:p>
    <w:p>
      <w:pPr>
        <w:spacing w:after="80" w:before="8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bCs/>
          <w:sz w:val="24"/>
          <w:szCs w:val="24"/>
        </w:rPr>
        <w:t xml:space="preserve">Parcourssup (France) : </w:t>
      </w:r>
      <w:r>
        <w:rPr>
          <w:rFonts w:ascii="Times New Roman" w:cs="Times New Roman" w:eastAsia="Times New Roman" w:hAnsi="Times New Roman"/>
          <w:sz w:val="24"/>
          <w:szCs w:val="24"/>
        </w:rPr>
        <w:t xml:space="preserve">Cette plateforme nationale gère les candidatures des lycéens vers l'enseignement supérieur après le baccalauréat. Bien qu'elle intègre le dossier scolaire de chaque élève, elle ne traite pas de l'orientation intra-secondaire — le choix de série en Seconde — qui est précisément l'objet de CapAvenir CMR, et elle n'évalue aucune aptitude cognitive.</w:t>
      </w:r>
    </w:p>
    <w:p>
      <w:pPr>
        <w:spacing w:after="80" w:before="200"/>
      </w:pPr>
      <w:r>
        <w:rPr>
          <w:rFonts w:ascii="Times New Roman" w:cs="Times New Roman" w:eastAsia="Times New Roman" w:hAnsi="Times New Roman"/>
          <w:b/>
          <w:bCs/>
          <w:sz w:val="24"/>
          <w:szCs w:val="24"/>
          <w:u w:val="single"/>
        </w:rPr>
        <w:t xml:space="preserve">2.4.1.2  En Afrique</w:t>
      </w:r>
    </w:p>
    <w:p>
      <w:pPr>
        <w:spacing w:after="120" w:before="120" w:line="360"/>
        <w:jc w:val="both"/>
      </w:pPr>
      <w:r>
        <w:rPr>
          <w:rFonts w:ascii="Times New Roman" w:cs="Times New Roman" w:eastAsia="Times New Roman" w:hAnsi="Times New Roman"/>
          <w:b/>
          <w:bCs/>
          <w:sz w:val="24"/>
          <w:szCs w:val="24"/>
        </w:rPr>
        <w:t xml:space="preserve">Wolni (Côte d'Ivoire) : </w:t>
      </w:r>
      <w:r>
        <w:rPr>
          <w:rFonts w:ascii="Times New Roman" w:cs="Times New Roman" w:eastAsia="Times New Roman" w:hAnsi="Times New Roman"/>
          <w:sz w:val="24"/>
          <w:szCs w:val="24"/>
        </w:rPr>
        <w:t xml:space="preserve">Plateforme mobile proposant des informations sur les filières universitaires et les débouchés en Côte d'Ivoire. Comme l'Onisep, elle n'intègre aucun module d'évaluation psychotechnique ni d'analyse personnalisée des notes scolaires.</w:t>
      </w:r>
    </w:p>
    <w:p>
      <w:pPr>
        <w:spacing w:after="80" w:before="8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bCs/>
          <w:sz w:val="24"/>
          <w:szCs w:val="24"/>
        </w:rPr>
        <w:t xml:space="preserve">Systèmes SIGE (Afrique subsaharienne) : </w:t>
      </w:r>
      <w:r>
        <w:rPr>
          <w:rFonts w:ascii="Times New Roman" w:cs="Times New Roman" w:eastAsia="Times New Roman" w:hAnsi="Times New Roman"/>
          <w:sz w:val="24"/>
          <w:szCs w:val="24"/>
        </w:rPr>
        <w:t xml:space="preserve">Les Systèmes d'Information pour la Gestion de l'Éducation, déployés avec l'appui de l'UNESCO dans plusieurs pays africains, se concentrent sur la gestion administrative et statistique sans proposer de fonctionnalité d'orientation individualisée (UNESCO, 2012).</w:t>
      </w:r>
    </w:p>
    <w:p>
      <w:pPr>
        <w:spacing w:after="80" w:before="200"/>
      </w:pPr>
      <w:r>
        <w:rPr>
          <w:rFonts w:ascii="Times New Roman" w:cs="Times New Roman" w:eastAsia="Times New Roman" w:hAnsi="Times New Roman"/>
          <w:b/>
          <w:bCs/>
          <w:sz w:val="24"/>
          <w:szCs w:val="24"/>
          <w:u w:val="single"/>
        </w:rPr>
        <w:t xml:space="preserve">2.4.1.3  Au Cameroun</w:t>
      </w:r>
    </w:p>
    <w:p>
      <w:pPr>
        <w:spacing w:after="120" w:before="120" w:line="360"/>
        <w:jc w:val="both"/>
      </w:pPr>
      <w:r>
        <w:rPr>
          <w:rFonts w:ascii="Times New Roman" w:cs="Times New Roman" w:eastAsia="Times New Roman" w:hAnsi="Times New Roman"/>
          <w:b/>
          <w:bCs/>
          <w:sz w:val="24"/>
          <w:szCs w:val="24"/>
        </w:rPr>
        <w:t xml:space="preserve">E-SCHOOL (ENS Yaoundé, 2023) : </w:t>
      </w:r>
      <w:r>
        <w:rPr>
          <w:rFonts w:ascii="Times New Roman" w:cs="Times New Roman" w:eastAsia="Times New Roman" w:hAnsi="Times New Roman"/>
          <w:sz w:val="24"/>
          <w:szCs w:val="24"/>
        </w:rPr>
        <w:t xml:space="preserve">Plateforme web de gestion scolaire proposant une messagerie interne et des notifications SMS aux parents. Aucune fonctionnalité d'orientation n'est présente : pas de tests psychotechniques, pas de calcul d'aptitudes, pas de recommandation de filière.</w:t>
      </w:r>
    </w:p>
    <w:p>
      <w:pPr>
        <w:spacing w:after="80" w:before="8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bCs/>
          <w:sz w:val="24"/>
          <w:szCs w:val="24"/>
        </w:rPr>
        <w:t xml:space="preserve">E-SchoolConnect (ENS Yaoundé, 2025) : </w:t>
      </w:r>
      <w:r>
        <w:rPr>
          <w:rFonts w:ascii="Times New Roman" w:cs="Times New Roman" w:eastAsia="Times New Roman" w:hAnsi="Times New Roman"/>
          <w:sz w:val="24"/>
          <w:szCs w:val="24"/>
        </w:rPr>
        <w:t xml:space="preserve">Application centrée sur la notification en temps réel des parents et sur un forum de discussion. Elle ne traite pas davantage de l'orientation scolaire vers les filières de second cycle.</w:t>
      </w:r>
    </w:p>
    <w:p>
      <w:pPr>
        <w:spacing w:after="80" w:before="8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sz w:val="24"/>
          <w:szCs w:val="24"/>
        </w:rPr>
        <w:t xml:space="preserve">Au regard de cet état des lieux, aucune solution existante ne propose l'intégration complète des cinq dimensions nécessaires à une orientation rigoureuse de la Troisième vers la Seconde : notes multi-trimestrielles scientifiques, notes multi-trimestrielles littéraires, scores aux cinq tests psychotechniques, centres d'intérêt et projet professionnel, et contexte socio-économique familial. C'est ce vide structurel que CapAvenir CMR comble.</w:t>
      </w:r>
    </w:p>
    <w:p>
      <w:pPr>
        <w:spacing w:after="80" w:before="8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2.5  Modèles de développement logiciel</w:t>
      </w:r>
    </w:p>
    <w:p>
      <w:pPr>
        <w:spacing w:after="120" w:before="120" w:line="360"/>
        <w:jc w:val="both"/>
      </w:pPr>
      <w:r>
        <w:rPr>
          <w:rFonts w:ascii="Times New Roman" w:cs="Times New Roman" w:eastAsia="Times New Roman" w:hAnsi="Times New Roman"/>
          <w:sz w:val="24"/>
          <w:szCs w:val="24"/>
        </w:rPr>
        <w:t xml:space="preserve">La conception d'une application intelligente nécessite d'adopter un cadre méthodologique structurant le processus de développement de l'expression des besoins jusqu'à la livraison du produit. Ces modèles de cycle de vie permettent d'organiser les activités, de gérer les ressources et de maîtriser la qualité (Lonchamp, 2015). Il en existe plusieurs, que l'on peut classer en deux grandes familles : les modèles traditionnels et les modèles agiles (Leau et al., 2012).</w:t>
      </w:r>
    </w:p>
    <w:p>
      <w:pPr>
        <w:pStyle w:val="Heading3"/>
      </w:pPr>
      <w:r>
        <w:rPr>
          <w:rFonts w:ascii="Times New Roman" w:cs="Times New Roman" w:eastAsia="Times New Roman" w:hAnsi="Times New Roman"/>
          <w:b/>
          <w:bCs/>
          <w:i/>
          <w:iCs/>
          <w:sz w:val="24"/>
          <w:szCs w:val="24"/>
        </w:rPr>
        <w:t xml:space="preserve">2.5.1  Les modèles traditionnels</w:t>
      </w:r>
    </w:p>
    <w:p>
      <w:pPr>
        <w:spacing w:after="120" w:before="120" w:line="360"/>
        <w:jc w:val="both"/>
      </w:pPr>
      <w:r>
        <w:rPr>
          <w:rFonts w:ascii="Times New Roman" w:cs="Times New Roman" w:eastAsia="Times New Roman" w:hAnsi="Times New Roman"/>
          <w:sz w:val="24"/>
          <w:szCs w:val="24"/>
        </w:rPr>
        <w:t xml:space="preserve">Les modèles traditionnels sont fondés sur une succession d'étapes séquentielles telles que la définition des exigences, la conception, la construction, les tests et le déploiement (Leau et al., 2012). Ils sont qualifiés de prescriptifs car ils imposent une façon rigoureusement définie d'organiser le développement. Nous présentons brièvement deux modèles représentatifs.</w:t>
      </w:r>
    </w:p>
    <w:p>
      <w:pPr>
        <w:spacing w:after="80" w:before="200"/>
      </w:pPr>
      <w:r>
        <w:rPr>
          <w:rFonts w:ascii="Times New Roman" w:cs="Times New Roman" w:eastAsia="Times New Roman" w:hAnsi="Times New Roman"/>
          <w:b/>
          <w:bCs/>
          <w:sz w:val="24"/>
          <w:szCs w:val="24"/>
          <w:u w:val="single"/>
        </w:rPr>
        <w:t xml:space="preserve">2.5.1.1  Le modèle en cascade</w:t>
      </w:r>
    </w:p>
    <w:p>
      <w:pPr>
        <w:spacing w:after="120" w:before="120" w:line="360"/>
        <w:jc w:val="both"/>
      </w:pPr>
      <w:r>
        <w:rPr>
          <w:rFonts w:ascii="Times New Roman" w:cs="Times New Roman" w:eastAsia="Times New Roman" w:hAnsi="Times New Roman"/>
          <w:sz w:val="24"/>
          <w:szCs w:val="24"/>
        </w:rPr>
        <w:t xml:space="preserve">Proposé par Royce (1970), c'est le plus ancien et le plus connu des modèles de développement. Il décompose le cycle de vie en phases strictement ordonnées : expression des besoins, analyse, conception, codage, tests et validation. Chaque phase doit être entièrement complétée avant de passer à la suivante, et produit un livrable documentaire servant d'entrée à la phase suivante. Il convient aux projets dont les besoins sont stables et bien définis dès le départ, lorsque la qualité prime sur le coût temporel. Sa principale faiblesse est son manque de flexibilité : toute modification de besoins en cours de développement entraîne des coûts de reprise élevés (Alshamrani et Bahattab, 2015).</w:t>
      </w:r>
    </w:p>
    <w:p>
      <w:pPr>
        <w:spacing w:after="80" w:before="8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5717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2.1 : Modèle en cascade (adapté de Lonchamp, 2015)</w:t>
      </w:r>
    </w:p>
    <w:p>
      <w:pPr>
        <w:spacing w:after="80" w:before="200"/>
      </w:pPr>
      <w:r>
        <w:rPr>
          <w:rFonts w:ascii="Times New Roman" w:cs="Times New Roman" w:eastAsia="Times New Roman" w:hAnsi="Times New Roman"/>
          <w:b/>
          <w:bCs/>
          <w:sz w:val="24"/>
          <w:szCs w:val="24"/>
          <w:u w:val="single"/>
        </w:rPr>
        <w:t xml:space="preserve">2.5.1.2  Le modèle en spirale</w:t>
      </w:r>
    </w:p>
    <w:p>
      <w:pPr>
        <w:spacing w:after="120" w:before="120" w:line="360"/>
        <w:jc w:val="both"/>
      </w:pPr>
      <w:r>
        <w:rPr>
          <w:rFonts w:ascii="Times New Roman" w:cs="Times New Roman" w:eastAsia="Times New Roman" w:hAnsi="Times New Roman"/>
          <w:sz w:val="24"/>
          <w:szCs w:val="24"/>
        </w:rPr>
        <w:t xml:space="preserve">Défini par Boehm (1988), le modèle en spirale introduit une dimension itérative et une gestion explicite des risques. Le développement progresse par tours de spirale successifs, chacun comprenant quatre quadrants : l'analyse des besoins et des risques, le prototypage d'une solution, son développement complet, et l'évaluation avec les parties prenantes. Ce modèle convient aux projets innovants présentant des incertitudes techniques importantes, car il permet de valider les choix par l'expérimentation. Sa principale limite est le coût élevé de l'analyse des risques, qui requiert une expertise spécifique (Bhuvaneswari et Prabaharan, 2013).</w:t>
      </w:r>
    </w:p>
    <w:p>
      <w:pPr>
        <w:spacing w:after="80" w:before="8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3524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24250" cy="29051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2.2 : Modèle en spirale (adapté de Lonchamp, 2015)</w:t>
      </w:r>
    </w:p>
    <w:p>
      <w:pPr>
        <w:spacing w:after="120" w:before="120" w:line="360"/>
        <w:jc w:val="both"/>
      </w:pPr>
      <w:r>
        <w:rPr>
          <w:rFonts w:ascii="Times New Roman" w:cs="Times New Roman" w:eastAsia="Times New Roman" w:hAnsi="Times New Roman"/>
          <w:sz w:val="24"/>
          <w:szCs w:val="24"/>
        </w:rPr>
        <w:t xml:space="preserve">Ces modèles traditionnels, parce qu'ils imposent un cadre rigide dans lequel tout est rationalisé et contractualisé, concentrent une part importante de l'effort sur des activités indirectement orientées vers le produit logiciel lui-même. C'est cette rigidité qui a conduit à l'émergence des modèles agiles.</w:t>
      </w:r>
    </w:p>
    <w:p>
      <w:pPr>
        <w:pStyle w:val="Heading3"/>
      </w:pPr>
      <w:r>
        <w:rPr>
          <w:rFonts w:ascii="Times New Roman" w:cs="Times New Roman" w:eastAsia="Times New Roman" w:hAnsi="Times New Roman"/>
          <w:b/>
          <w:bCs/>
          <w:i/>
          <w:iCs/>
          <w:sz w:val="24"/>
          <w:szCs w:val="24"/>
        </w:rPr>
        <w:t xml:space="preserve">2.5.2  Les modèles agiles</w:t>
      </w:r>
    </w:p>
    <w:p>
      <w:pPr>
        <w:spacing w:after="120" w:before="120" w:line="360"/>
        <w:jc w:val="both"/>
      </w:pPr>
      <w:r>
        <w:rPr>
          <w:rFonts w:ascii="Times New Roman" w:cs="Times New Roman" w:eastAsia="Times New Roman" w:hAnsi="Times New Roman"/>
          <w:sz w:val="24"/>
          <w:szCs w:val="24"/>
        </w:rPr>
        <w:t xml:space="preserve">Face aux besoins d'adaptabilité et de réactivité, les méthodes agiles ont émergé à partir des années 1990 comme une alternative plus flexible aux modèles traditionnels. Le terme « agile » désigne la capacité d'un système à réagir de façon réactive et proactive aux changements. Ces méthodes cherchent à alléger le cadre méthodologique et à rester focalisées sur la production d'un logiciel fonctionnel répondant aux besoins réels des utilisateurs. Elles sont particulièrement adaptées aux projets dont les spécifications évoluent, grâce à l'implication constante des parties prenantes (Prié, 2007). Les méthodologies agiles reposent sur quatre valeurs fondamentales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communication : </w:t>
      </w:r>
      <w:r>
        <w:rPr>
          <w:rFonts w:ascii="Times New Roman" w:cs="Times New Roman" w:eastAsia="Times New Roman" w:hAnsi="Times New Roman"/>
          <w:sz w:val="24"/>
          <w:szCs w:val="24"/>
        </w:rPr>
        <w:t xml:space="preserve">priorité donnée aux personnes et aux interactions plutôt qu'aux processus formels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simplicité : </w:t>
      </w:r>
      <w:r>
        <w:rPr>
          <w:rFonts w:ascii="Times New Roman" w:cs="Times New Roman" w:eastAsia="Times New Roman" w:hAnsi="Times New Roman"/>
          <w:sz w:val="24"/>
          <w:szCs w:val="24"/>
        </w:rPr>
        <w:t xml:space="preserve">accent mis sur la livraison d'applications fonctionnelles plutôt que sur la documentation exhaustive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Le feedback : </w:t>
      </w:r>
      <w:r>
        <w:rPr>
          <w:rFonts w:ascii="Times New Roman" w:cs="Times New Roman" w:eastAsia="Times New Roman" w:hAnsi="Times New Roman"/>
          <w:sz w:val="24"/>
          <w:szCs w:val="24"/>
        </w:rPr>
        <w:t xml:space="preserve">collaboration étroite et continue avec le client tout au long du développement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Le courage : </w:t>
      </w:r>
      <w:r>
        <w:rPr>
          <w:rFonts w:ascii="Times New Roman" w:cs="Times New Roman" w:eastAsia="Times New Roman" w:hAnsi="Times New Roman"/>
          <w:sz w:val="24"/>
          <w:szCs w:val="24"/>
        </w:rPr>
        <w:t xml:space="preserve">acceptation du changement et capacité à réviser les choix en cours de développement.</w:t>
      </w:r>
    </w:p>
    <w:p>
      <w:pPr>
        <w:spacing w:after="120" w:before="120" w:line="360"/>
        <w:jc w:val="both"/>
      </w:pPr>
      <w:r>
        <w:rPr>
          <w:rFonts w:ascii="Times New Roman" w:cs="Times New Roman" w:eastAsia="Times New Roman" w:hAnsi="Times New Roman"/>
          <w:sz w:val="24"/>
          <w:szCs w:val="24"/>
        </w:rPr>
        <w:t xml:space="preserve">Deux méthodes agiles représentatives sont présentées ci-dessous : Extreme Programming (XP) et SCRUM.</w:t>
      </w:r>
    </w:p>
    <w:p>
      <w:pPr>
        <w:spacing w:after="80" w:before="200"/>
      </w:pPr>
      <w:r>
        <w:rPr>
          <w:rFonts w:ascii="Times New Roman" w:cs="Times New Roman" w:eastAsia="Times New Roman" w:hAnsi="Times New Roman"/>
          <w:b/>
          <w:bCs/>
          <w:sz w:val="24"/>
          <w:szCs w:val="24"/>
          <w:u w:val="single"/>
        </w:rPr>
        <w:t xml:space="preserve">2.5.2.1  Extreme Programming (XP)</w:t>
      </w:r>
    </w:p>
    <w:p>
      <w:pPr>
        <w:spacing w:after="120" w:before="120" w:line="360"/>
        <w:jc w:val="both"/>
      </w:pPr>
      <w:r>
        <w:rPr>
          <w:rFonts w:ascii="Times New Roman" w:cs="Times New Roman" w:eastAsia="Times New Roman" w:hAnsi="Times New Roman"/>
          <w:sz w:val="24"/>
          <w:szCs w:val="24"/>
        </w:rPr>
        <w:t xml:space="preserve">Proposée par Kent Beck à la fin des années 1990, XP est l'une des méthodes agiles les plus connues (Prié, 2007). Elle définit treize pratiques fondamentales regroupées en trois catégories : les pratiques liées à la programmation (développement piloté par les tests, refactoring, intégration continue, propriété collective du code, conception simple, utilisation de métaphores), les pratiques liées au fonctionnement de l'équipe (programmation en binôme, rythme soutenable, norme de codage), et les pratiques liées à la relation avec le client (client sur le site, jeu du planning, livraisons fréquentes). XP se révèle particulièrement efficace pour les petits projets et produit des applications de qualité grâce à la rigueur imposée sur les tests. En revanche, elle est difficile à mettre en œuvre sur de grands projets où la documentation formelle est incontournable.</w:t>
      </w:r>
    </w:p>
    <w:p>
      <w:pPr>
        <w:spacing w:after="80" w:before="8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3429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0480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2.3 : Pratiques XP (adapté de www.XProgramming.com)</w:t>
      </w:r>
    </w:p>
    <w:p>
      <w:pPr>
        <w:spacing w:after="120" w:before="120" w:line="360"/>
        <w:jc w:val="both"/>
      </w:pPr>
      <w:r>
        <w:rPr>
          <w:rFonts w:ascii="Times New Roman" w:cs="Times New Roman" w:eastAsia="Times New Roman" w:hAnsi="Times New Roman"/>
          <w:sz w:val="24"/>
          <w:szCs w:val="24"/>
        </w:rPr>
        <w:t xml:space="preserve">Le cycle de développement XP se déroule en trois phases principales. La phase d'exploration permet au client d'exprimer ses besoins sous forme de User Stories. La phase de planification sélectionne les stories à implémenter et les décompose en tâches estimées. La phase de maintenance répète les cycles de planification, de construction et de mise en production pour les livraisons successives, tant que le client dispose de nouvelles stories à développer.</w:t>
      </w:r>
    </w:p>
    <w:p>
      <w:pPr>
        <w:spacing w:after="80" w:before="8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409575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4097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2.4 : Cycle de vie macroscopique d'un projet XP (adapté de Lonchamp, 2015)</w:t>
      </w:r>
    </w:p>
    <w:p>
      <w:pPr>
        <w:spacing w:after="80" w:before="200"/>
      </w:pPr>
      <w:r>
        <w:rPr>
          <w:rFonts w:ascii="Times New Roman" w:cs="Times New Roman" w:eastAsia="Times New Roman" w:hAnsi="Times New Roman"/>
          <w:b/>
          <w:bCs/>
          <w:sz w:val="24"/>
          <w:szCs w:val="24"/>
          <w:u w:val="single"/>
        </w:rPr>
        <w:t xml:space="preserve">2.5.2.2  SCRUM</w:t>
      </w:r>
    </w:p>
    <w:p>
      <w:pPr>
        <w:spacing w:after="120" w:before="120" w:line="360"/>
        <w:jc w:val="both"/>
      </w:pPr>
      <w:r>
        <w:rPr>
          <w:rFonts w:ascii="Times New Roman" w:cs="Times New Roman" w:eastAsia="Times New Roman" w:hAnsi="Times New Roman"/>
          <w:sz w:val="24"/>
          <w:szCs w:val="24"/>
        </w:rPr>
        <w:t xml:space="preserve">SCRUM est la méthode agile la plus répandue dans l'industrie logicielle actuelle. Créée en 1993 par Jeff Sutherland et formalisée par Ken Schwaber, elle structure le développement en cycles courts appelés sprints (2 à 4 semaines), à l'issue desquels une version fonctionnelle et potentiellement livrable du produit est présentée lors d'une revue de sprint. L'équipe SCRUM se compose de trois rôles : le Product Owner, qui priorise le Product Backlog ; le Scrum Master, qui facilite le travail de l'équipe ; et l'équipe de développement, qui réalise les fonctionnalités. Cette méthode met fortement l'accent sur le partage des connaissances au sein de l'équipe grâce aux réunions de mêlée quotidiennes, s'adapte à tout projet de développement logiciel et accorde une grande importance au feedback régulier du client (Collignon et Schöpfel, 2016). Sa principale limite est qu'elle ne prend pas facilement en compte les modifications urgentes survenant en cours de sprint.</w:t>
      </w:r>
    </w:p>
    <w:p>
      <w:pPr>
        <w:spacing w:after="80" w:before="8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4191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2860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2.5 : Processus SCRUM (adapté de Vickoff, 2009)</w:t>
      </w:r>
    </w:p>
    <w:p>
      <w:pPr>
        <w:pStyle w:val="Heading2"/>
      </w:pPr>
      <w:r>
        <w:rPr>
          <w:rFonts w:ascii="Times New Roman" w:cs="Times New Roman" w:eastAsia="Times New Roman" w:hAnsi="Times New Roman"/>
          <w:b/>
          <w:bCs/>
          <w:sz w:val="26"/>
          <w:szCs w:val="26"/>
        </w:rPr>
        <w:t xml:space="preserve">2.6  Modèles de développement d'un logiciel</w:t>
      </w:r>
    </w:p>
    <w:p>
      <w:pPr>
        <w:spacing w:after="120" w:before="120" w:line="360"/>
        <w:jc w:val="both"/>
      </w:pPr>
      <w:r>
        <w:rPr>
          <w:rFonts w:ascii="Times New Roman" w:cs="Times New Roman" w:eastAsia="Times New Roman" w:hAnsi="Times New Roman"/>
          <w:sz w:val="24"/>
          <w:szCs w:val="24"/>
        </w:rPr>
        <w:t xml:space="preserve">Différentes approches ont été proposées pour encadrer le processus allant de l'analyse à la production d'un logiciel, appelées modèles de développement logiciel (Magne, 2018). Un modèle de développement logiciel est un ensemble de processus décrivant, à un niveau abstrait, les différentes manières d'organiser la production d'un logiciel (Lonchamp, 2015). On distingue les modèles classiques ou traditionnels et les modèles agiles.</w:t>
      </w:r>
    </w:p>
    <w:p>
      <w:pPr>
        <w:pStyle w:val="Heading3"/>
      </w:pPr>
      <w:r>
        <w:rPr>
          <w:rFonts w:ascii="Times New Roman" w:cs="Times New Roman" w:eastAsia="Times New Roman" w:hAnsi="Times New Roman"/>
          <w:b/>
          <w:bCs/>
          <w:i/>
          <w:iCs/>
          <w:sz w:val="24"/>
          <w:szCs w:val="24"/>
        </w:rPr>
        <w:t xml:space="preserve">2.6.1  Modèles traditionnels</w:t>
      </w:r>
    </w:p>
    <w:p>
      <w:pPr>
        <w:spacing w:after="120" w:before="120" w:line="360"/>
        <w:jc w:val="both"/>
      </w:pPr>
      <w:r>
        <w:rPr>
          <w:rFonts w:ascii="Times New Roman" w:cs="Times New Roman" w:eastAsia="Times New Roman" w:hAnsi="Times New Roman"/>
          <w:sz w:val="24"/>
          <w:szCs w:val="24"/>
        </w:rPr>
        <w:t xml:space="preserve">Les modèles traditionnels définissent une démarche de développement séquentielle où chaque phase conduit à la production d'un ou plusieurs livrable(s). Nous présentons ici trois modèles représentatifs.</w:t>
      </w:r>
    </w:p>
    <w:p>
      <w:pPr>
        <w:spacing w:after="80" w:before="200"/>
      </w:pPr>
      <w:r>
        <w:rPr>
          <w:rFonts w:ascii="Times New Roman" w:cs="Times New Roman" w:eastAsia="Times New Roman" w:hAnsi="Times New Roman"/>
          <w:b/>
          <w:bCs/>
          <w:sz w:val="24"/>
          <w:szCs w:val="24"/>
          <w:u w:val="single"/>
        </w:rPr>
        <w:t xml:space="preserve">a)  Le modèle en cascade</w:t>
      </w:r>
    </w:p>
    <w:p>
      <w:pPr>
        <w:spacing w:after="120" w:before="120" w:line="360"/>
        <w:jc w:val="both"/>
      </w:pPr>
      <w:r>
        <w:rPr>
          <w:rFonts w:ascii="Times New Roman" w:cs="Times New Roman" w:eastAsia="Times New Roman" w:hAnsi="Times New Roman"/>
          <w:sz w:val="24"/>
          <w:szCs w:val="24"/>
        </w:rPr>
        <w:t xml:space="preserve">Proposé en 1970 par Winston Royce, ce modèle présente les étapes classiques d'ingénierie avec la particularité que chaque étape doit être terminée avant de passer à l'étape suivante (Lonchamp, 2015). Les utilisateurs interviennent au début du processus pour définir les besoins, et en toute fin pour valider le système. Ce modèle a l'avantage d'être simple à comprendre et à utiliser. En revanche, il est peu adapté si les besoins du client sont changeants ou difficiles à déterminer au départ — ce qui est précisément le cas d'un projet comme CapAvenir CMR, où les fonctionnalités ont évolué au fil des retours des utilisateurs cibles.</w:t>
      </w:r>
    </w:p>
    <w:p>
      <w:pPr>
        <w:spacing w:after="80" w:before="8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6670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2.6 : Le modèle en cascade (adapté de Lonchamp, 2015)</w:t>
      </w:r>
    </w:p>
    <w:p>
      <w:pPr>
        <w:spacing w:after="80" w:before="200"/>
      </w:pPr>
      <w:r>
        <w:rPr>
          <w:rFonts w:ascii="Times New Roman" w:cs="Times New Roman" w:eastAsia="Times New Roman" w:hAnsi="Times New Roman"/>
          <w:b/>
          <w:bCs/>
          <w:sz w:val="24"/>
          <w:szCs w:val="24"/>
          <w:u w:val="single"/>
        </w:rPr>
        <w:t xml:space="preserve">b)  Le modèle en V</w:t>
      </w:r>
    </w:p>
    <w:p>
      <w:pPr>
        <w:spacing w:after="120" w:before="120" w:line="360"/>
        <w:jc w:val="both"/>
      </w:pPr>
      <w:r>
        <w:rPr>
          <w:rFonts w:ascii="Times New Roman" w:cs="Times New Roman" w:eastAsia="Times New Roman" w:hAnsi="Times New Roman"/>
          <w:sz w:val="24"/>
          <w:szCs w:val="24"/>
        </w:rPr>
        <w:t xml:space="preserve">Le modèle en V est une variante du modèle en cascade créée dans les années 1980. Il introduit des tests tout au long des phases de développement, exécutés en fin de processus en correspondance avec chaque phase de conception. On distingue quatre niveaux de test : le test unitaire (chaque composant pris isolément), le test d'intégration (interactions entre composants), le test de validation du système (conformité au cahier des charges), et le test d'acceptation par le client (conformité aux besoins des utilisateurs). Ce modèle présente l'avantage de placer les préoccupations de qualité au cœur de la réflexion dès les premières phases du développement et d'imposer l'idée de livrable évaluable (Lonchamp, 2015). Comme le modèle en cascade, il demeure peu adapté aux besoins changeants.</w:t>
      </w:r>
    </w:p>
    <w:p>
      <w:pPr>
        <w:spacing w:after="80" w:before="8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4000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241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2.7 : Le modèle en V (adapté de Lonchamp, 2015)</w:t>
      </w:r>
    </w:p>
    <w:p>
      <w:pPr>
        <w:spacing w:after="80" w:before="200"/>
      </w:pPr>
      <w:r>
        <w:rPr>
          <w:rFonts w:ascii="Times New Roman" w:cs="Times New Roman" w:eastAsia="Times New Roman" w:hAnsi="Times New Roman"/>
          <w:b/>
          <w:bCs/>
          <w:sz w:val="24"/>
          <w:szCs w:val="24"/>
          <w:u w:val="single"/>
        </w:rPr>
        <w:t xml:space="preserve">c)  Le modèle en Y</w:t>
      </w:r>
    </w:p>
    <w:p>
      <w:pPr>
        <w:spacing w:after="120" w:before="120" w:line="360"/>
        <w:jc w:val="both"/>
      </w:pPr>
      <w:r>
        <w:rPr>
          <w:rFonts w:ascii="Times New Roman" w:cs="Times New Roman" w:eastAsia="Times New Roman" w:hAnsi="Times New Roman"/>
          <w:sz w:val="24"/>
          <w:szCs w:val="24"/>
        </w:rPr>
        <w:t xml:space="preserve">C'est une autre variante du modèle en cascade qui distingue deux branches parallèles : l'une dédiée aux besoins fonctionnels — ce que le système doit faire — et l'autre aux besoins techniques — comment il doit le faire. Ces deux branches convergent vers la phase de réalisation (conception, codage, tests, déploiement). Il est particulièrement adapté aux projets technologiquement innovants car il permet de lever au plus tôt les incertitudes liées aux technologies à mettre en œuvre, tout en garantissant l'alignement avec les besoins fonctionnels (Lonchamp, 2015).</w:t>
      </w:r>
    </w:p>
    <w:p>
      <w:pPr>
        <w:spacing w:after="80" w:before="8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4000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5241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2.8 : Le modèle en Y (adapté de Lonchamp, 2015)</w:t>
      </w:r>
    </w:p>
    <w:p>
      <w:pPr>
        <w:pStyle w:val="Heading3"/>
      </w:pPr>
      <w:r>
        <w:rPr>
          <w:rFonts w:ascii="Times New Roman" w:cs="Times New Roman" w:eastAsia="Times New Roman" w:hAnsi="Times New Roman"/>
          <w:b/>
          <w:bCs/>
          <w:i/>
          <w:iCs/>
          <w:sz w:val="24"/>
          <w:szCs w:val="24"/>
        </w:rPr>
        <w:t xml:space="preserve">2.6.2  Modèles agiles</w:t>
      </w:r>
    </w:p>
    <w:p>
      <w:pPr>
        <w:spacing w:after="120" w:before="120" w:line="360"/>
        <w:jc w:val="both"/>
      </w:pPr>
      <w:r>
        <w:rPr>
          <w:rFonts w:ascii="Times New Roman" w:cs="Times New Roman" w:eastAsia="Times New Roman" w:hAnsi="Times New Roman"/>
          <w:sz w:val="24"/>
          <w:szCs w:val="24"/>
        </w:rPr>
        <w:t xml:space="preserve">Jusqu'à la fin des années 1990, les approches dominantes de développement informatique étaient fondées sur la planification séquentielle. Face aux besoins d'adaptabilité et de réactivité, les méthodes agiles ont remis en cause les approches traditionnelles (Khalil, 2011). Ces méthodes sont décrites comme itératives, incrémentales, encourageant l'auto-organisation et s'adaptant au changement. Le manifeste agile (Beck et al., 2001) énonce les quatre valeurs fondamentales déjà présentées en section 2.5. Parmi les méthodes agiles, nous présentons ici les méthodes RUP, XP et SCRUM.</w:t>
      </w:r>
    </w:p>
    <w:p>
      <w:pPr>
        <w:spacing w:after="80" w:before="200"/>
      </w:pPr>
      <w:r>
        <w:rPr>
          <w:rFonts w:ascii="Times New Roman" w:cs="Times New Roman" w:eastAsia="Times New Roman" w:hAnsi="Times New Roman"/>
          <w:b/>
          <w:bCs/>
          <w:sz w:val="24"/>
          <w:szCs w:val="24"/>
          <w:u w:val="single"/>
        </w:rPr>
        <w:t xml:space="preserve">a)  La méthode RUP (Rational Unified Process)</w:t>
      </w:r>
    </w:p>
    <w:p>
      <w:pPr>
        <w:spacing w:after="120" w:before="120" w:line="360"/>
        <w:jc w:val="both"/>
      </w:pPr>
      <w:r>
        <w:rPr>
          <w:rFonts w:ascii="Times New Roman" w:cs="Times New Roman" w:eastAsia="Times New Roman" w:hAnsi="Times New Roman"/>
          <w:sz w:val="24"/>
          <w:szCs w:val="24"/>
        </w:rPr>
        <w:t xml:space="preserve">Le Rational Unified Process (RUP), décrit par Kruchten (1999), met en avant sept bonnes pratiques : le développement itératif et incrémental, le développement guidé par les cas d'utilisation et centré sur l'architecture, le pilotage par les risques, la gestion des exigences, la maîtrise des modifications, l'évaluation continue de la qualité, et la modélisation visuelle avec UML. Le développement d'un logiciel passe par quatre phases : Inception (pré-étude), Élaboration, Construction et Transition. Chaque phase se termine par un jalon d'évaluation et de décision quant au passage à la phase suivante. Cette approche a l'avantage d'être très flexible et permet une adaptation permanente du système aux besoins réels grâce au feedback régulier des utilisateurs et des développeurs.</w:t>
      </w:r>
    </w:p>
    <w:p>
      <w:pPr>
        <w:spacing w:after="80" w:before="80"/>
      </w:pPr>
      <w:r>
        <w:rPr>
          <w:rFonts w:ascii="Times New Roman" w:cs="Times New Roman" w:eastAsia="Times New Roman" w:hAnsi="Times New Roman"/>
          <w:sz w:val="24"/>
          <w:szCs w:val="24"/>
        </w:rPr>
        <w:t xml:space="preserve"/>
      </w:r>
    </w:p>
    <w:p>
      <w:pPr>
        <w:spacing w:after="60" w:before="180"/>
        <w:jc w:val="center"/>
      </w:pPr>
      <w:r>
        <w:drawing>
          <wp:inline distT="0" distB="0" distL="0" distR="0">
            <wp:extent cx="433387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33875" cy="20764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2"/>
          <w:szCs w:val="22"/>
        </w:rPr>
        <w:t xml:space="preserve">Figure 2.9 : Phases, itérations et disciplines du modèle RUP (adapté de Lonchamp, 2015)</w:t>
      </w:r>
    </w:p>
    <w:p>
      <w:pPr>
        <w:spacing w:after="80" w:before="200"/>
      </w:pPr>
      <w:r>
        <w:rPr>
          <w:rFonts w:ascii="Times New Roman" w:cs="Times New Roman" w:eastAsia="Times New Roman" w:hAnsi="Times New Roman"/>
          <w:b/>
          <w:bCs/>
          <w:sz w:val="24"/>
          <w:szCs w:val="24"/>
          <w:u w:val="single"/>
        </w:rPr>
        <w:t xml:space="preserve">b)  La méthode XP (Extreme Programming)</w:t>
      </w:r>
    </w:p>
    <w:p>
      <w:pPr>
        <w:spacing w:after="120" w:before="120" w:line="360"/>
        <w:jc w:val="both"/>
      </w:pPr>
      <w:r>
        <w:rPr>
          <w:rFonts w:ascii="Times New Roman" w:cs="Times New Roman" w:eastAsia="Times New Roman" w:hAnsi="Times New Roman"/>
          <w:sz w:val="24"/>
          <w:szCs w:val="24"/>
        </w:rPr>
        <w:t xml:space="preserve">La méthode XP est considérée comme un cadre technique pour le développement agile des applications. Elle a été formalisée en 1999 par Ward Cunningham et Kent Beck. Elle met en avant quatre valeurs : la communication, la simplicité, le feedback et le courage. Son cycle de vie est composé des phases d'exploration, de planification, d'itérations vers la première release, de mise en production et de maintenance. La méthode XP apparaît comme la plus radicale des méthodes agiles et se révèle particulièrement efficace dans le cadre de petits projets. Elle réalise des applications de qualité grâce à la rigueur imposée sur les tests. En revanche, elle exige beaucoup de contraintes tant pour le client — qui doit déléguer une personne sur le site de développement — que pour les développeurs, notamment avec la pratique de la programmation en binôme.</w:t>
      </w:r>
    </w:p>
    <w:p>
      <w:pPr>
        <w:spacing w:after="80" w:before="200"/>
      </w:pPr>
      <w:r>
        <w:rPr>
          <w:rFonts w:ascii="Times New Roman" w:cs="Times New Roman" w:eastAsia="Times New Roman" w:hAnsi="Times New Roman"/>
          <w:b/>
          <w:bCs/>
          <w:sz w:val="24"/>
          <w:szCs w:val="24"/>
          <w:u w:val="single"/>
        </w:rPr>
        <w:t xml:space="preserve">c)  La méthode SCRUM</w:t>
      </w:r>
    </w:p>
    <w:p>
      <w:pPr>
        <w:spacing w:after="120" w:before="120" w:line="360"/>
        <w:jc w:val="both"/>
      </w:pPr>
      <w:r>
        <w:rPr>
          <w:rFonts w:ascii="Times New Roman" w:cs="Times New Roman" w:eastAsia="Times New Roman" w:hAnsi="Times New Roman"/>
          <w:sz w:val="24"/>
          <w:szCs w:val="24"/>
        </w:rPr>
        <w:t xml:space="preserve">Développée en 1993 et décrite en détail dans le SBOK Guide (Satpathy, 2016), SCRUM qualifie un ensemble de rôles, d'instruments de gestion et de pratiques managériales favorisant un environnement fondé sur la transparence, l'inspection, le suivi et l'adaptation. Le cycle de vie d'un projet SCRUM se divise en trois parties : la phase d'initiation, la phase de sprints (itérations de 2 à 4 semaines), et la phase de clôture. La force de cette méthode est qu'elle s'adapte à tout projet de développement logiciel et accorde une très grande importance au partage des connaissances au sein de l'équipe grâce aux réunions journalières. Sa principale faiblesse est qu'elle ne prend pas facilement en compte les modifications urgentes survenant en cours de sprint.</w:t>
      </w:r>
    </w:p>
    <w:p>
      <w:pPr>
        <w:pStyle w:val="Heading3"/>
      </w:pPr>
      <w:r>
        <w:rPr>
          <w:rFonts w:ascii="Times New Roman" w:cs="Times New Roman" w:eastAsia="Times New Roman" w:hAnsi="Times New Roman"/>
          <w:b/>
          <w:bCs/>
          <w:i/>
          <w:iCs/>
          <w:sz w:val="24"/>
          <w:szCs w:val="24"/>
        </w:rPr>
        <w:t xml:space="preserve">2.6.3  Tableau comparatif des méthodes XP, SCRUM et RUP</w:t>
      </w:r>
    </w:p>
    <w:p>
      <w:pPr>
        <w:spacing w:after="120" w:before="120" w:line="360"/>
        <w:jc w:val="both"/>
      </w:pPr>
      <w:r>
        <w:rPr>
          <w:rFonts w:ascii="Times New Roman" w:cs="Times New Roman" w:eastAsia="Times New Roman" w:hAnsi="Times New Roman"/>
          <w:sz w:val="24"/>
          <w:szCs w:val="24"/>
        </w:rPr>
        <w:t xml:space="preserve">D'après Lonchamp (2015), le signe « + » dans le tableau ci-dessous indique qu'une méthode répond à la caractéristique correspondante, tandis que le signe « ++ » signifie qu'elle y répond de manière privilégiée.</w:t>
      </w:r>
    </w:p>
    <w:p>
      <w:pPr>
        <w:spacing w:after="80" w:before="80"/>
      </w:pPr>
      <w:r>
        <w:rPr>
          <w:rFonts w:ascii="Times New Roman" w:cs="Times New Roman" w:eastAsia="Times New Roman" w:hAnsi="Times New Roman"/>
          <w:sz w:val="24"/>
          <w:szCs w:val="24"/>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000"/>
      </w:tblGrid>
      <w:tr>
        <w:trPr>
          <w:tblHeader/>
        </w:trPr>
        <w:tc>
          <w:tcPr>
            <w:tcW w:type="dxa" w:w="3400"/>
            <w:tcBorders>
              <w:top w:val="single" w:color="888888" w:sz="1"/>
              <w:left w:val="single" w:color="888888" w:sz="1"/>
              <w:bottom w:val="single" w:color="888888" w:sz="1"/>
              <w:right w:val="single" w:color="888888" w:sz="1"/>
            </w:tcBorders>
            <w:shd w:fill="D5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Caractéristiques</w:t>
            </w:r>
          </w:p>
        </w:tc>
        <w:tc>
          <w:tcPr>
            <w:tcW w:type="dxa" w:w="2000"/>
            <w:tcBorders>
              <w:top w:val="single" w:color="888888" w:sz="1"/>
              <w:left w:val="single" w:color="888888" w:sz="1"/>
              <w:bottom w:val="single" w:color="888888" w:sz="1"/>
              <w:right w:val="single" w:color="888888" w:sz="1"/>
            </w:tcBorders>
            <w:shd w:fill="D5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RUP</w:t>
            </w:r>
          </w:p>
        </w:tc>
        <w:tc>
          <w:tcPr>
            <w:tcW w:type="dxa" w:w="2000"/>
            <w:tcBorders>
              <w:top w:val="single" w:color="888888" w:sz="1"/>
              <w:left w:val="single" w:color="888888" w:sz="1"/>
              <w:bottom w:val="single" w:color="888888" w:sz="1"/>
              <w:right w:val="single" w:color="888888" w:sz="1"/>
            </w:tcBorders>
            <w:shd w:fill="D5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XP</w:t>
            </w:r>
          </w:p>
        </w:tc>
        <w:tc>
          <w:tcPr>
            <w:tcW w:type="dxa" w:w="2000"/>
            <w:tcBorders>
              <w:top w:val="single" w:color="888888" w:sz="1"/>
              <w:left w:val="single" w:color="888888" w:sz="1"/>
              <w:bottom w:val="single" w:color="888888" w:sz="1"/>
              <w:right w:val="single" w:color="888888" w:sz="1"/>
            </w:tcBorders>
            <w:shd w:fill="D5E4F7"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SCRUM</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Itérative et incrémentale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Centrée sur l'architecture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Centrée sur les tests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Interaction client-développeur</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Centrée sur la qualité du code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Convient aux petites équipes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Convient aux grands projets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4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Gestion des risques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bl>
    <w:p>
      <w:pPr>
        <w:spacing w:after="80" w:before="80"/>
      </w:pPr>
      <w:r>
        <w:rPr>
          <w:rFonts w:ascii="Times New Roman" w:cs="Times New Roman" w:eastAsia="Times New Roman" w:hAnsi="Times New Roman"/>
          <w:sz w:val="24"/>
          <w:szCs w:val="24"/>
        </w:rPr>
        <w:t xml:space="preserve"/>
      </w:r>
    </w:p>
    <w:p>
      <w:pPr>
        <w:spacing w:after="180" w:before="40"/>
        <w:jc w:val="center"/>
      </w:pPr>
      <w:r>
        <w:rPr>
          <w:rFonts w:ascii="Times New Roman" w:cs="Times New Roman" w:eastAsia="Times New Roman" w:hAnsi="Times New Roman"/>
          <w:b/>
          <w:bCs/>
          <w:i/>
          <w:iCs/>
          <w:sz w:val="22"/>
          <w:szCs w:val="22"/>
        </w:rPr>
        <w:t xml:space="preserve">Tableau 2.1 : Comparaison des méthodes XP, SCRUM et RUP</w:t>
      </w:r>
    </w:p>
    <w:p>
      <w:pPr>
        <w:pStyle w:val="Heading2"/>
      </w:pPr>
      <w:r>
        <w:rPr>
          <w:rFonts w:ascii="Times New Roman" w:cs="Times New Roman" w:eastAsia="Times New Roman" w:hAnsi="Times New Roman"/>
          <w:b/>
          <w:bCs/>
          <w:sz w:val="26"/>
          <w:szCs w:val="26"/>
        </w:rPr>
        <w:t xml:space="preserve">2.7  Ergonomie des Interfaces Homme-Machine (IHM)</w:t>
      </w:r>
    </w:p>
    <w:p>
      <w:pPr>
        <w:spacing w:after="120" w:before="120" w:line="360"/>
        <w:jc w:val="both"/>
      </w:pPr>
      <w:r>
        <w:rPr>
          <w:rFonts w:ascii="Times New Roman" w:cs="Times New Roman" w:eastAsia="Times New Roman" w:hAnsi="Times New Roman"/>
          <w:sz w:val="24"/>
          <w:szCs w:val="24"/>
        </w:rPr>
        <w:t xml:space="preserve">Selon le dictionnaire Larousse (2015), l'ergonomie est l'étude scientifique des conditions psychophysiologiques et socio-économiques de travail et des relations entre l'homme et la machine. La qualité d'une application pédagogique comme CapAvenir CMR ne repose pas uniquement sur la robustesse de ses algorithmes : elle dépend aussi de la facilité avec laquelle ses utilisateurs — des élèves de Troisième, des parents et des conseillers d'orientation aux niveaux très variés de familiarité avec les outils numériques — peuvent en exploiter pleinement les fonctionnalités. Dans cette section, nous présentons les critères ergonomiques retenus ainsi que les méthodes d'évaluation utilisées.</w:t>
      </w:r>
    </w:p>
    <w:p>
      <w:pPr>
        <w:pStyle w:val="Heading3"/>
      </w:pPr>
      <w:r>
        <w:rPr>
          <w:rFonts w:ascii="Times New Roman" w:cs="Times New Roman" w:eastAsia="Times New Roman" w:hAnsi="Times New Roman"/>
          <w:b/>
          <w:bCs/>
          <w:i/>
          <w:iCs/>
          <w:sz w:val="24"/>
          <w:szCs w:val="24"/>
        </w:rPr>
        <w:t xml:space="preserve">2.7.1  Les critères de conception ergonomique</w:t>
      </w:r>
    </w:p>
    <w:p>
      <w:pPr>
        <w:spacing w:after="120" w:before="120" w:line="360"/>
        <w:jc w:val="both"/>
      </w:pPr>
      <w:r>
        <w:rPr>
          <w:rFonts w:ascii="Times New Roman" w:cs="Times New Roman" w:eastAsia="Times New Roman" w:hAnsi="Times New Roman"/>
          <w:sz w:val="24"/>
          <w:szCs w:val="24"/>
        </w:rPr>
        <w:t xml:space="preserve">Bastien et Scapin (1993) ont procédé à la synthèse d'environ 900 recommandations en ergonomie informatique, élaborant ainsi un référentiel de huit critères ergonomiques qui permettent d'évaluer rapidement les défauts d'une interface et de les corriger (Belaud, 2011). Ces huit critères guident directement les choix de conception de CapAvenir CMR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guidabilité : </w:t>
      </w:r>
      <w:r>
        <w:rPr>
          <w:rFonts w:ascii="Times New Roman" w:cs="Times New Roman" w:eastAsia="Times New Roman" w:hAnsi="Times New Roman"/>
          <w:sz w:val="24"/>
          <w:szCs w:val="24"/>
        </w:rPr>
        <w:t xml:space="preserve">ensemble des moyens mis en œuvre pour conseiller, orienter et conduire l'utilisateur lors de ses interactions. Dans CapAvenir CMR, cela se traduit par une barre de progression visuelle à cinq étapes (Profil → Notes → Tests → Diagnostic → Fiche) avec indication des étapes complétées.</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charge de travail : </w:t>
      </w:r>
      <w:r>
        <w:rPr>
          <w:rFonts w:ascii="Times New Roman" w:cs="Times New Roman" w:eastAsia="Times New Roman" w:hAnsi="Times New Roman"/>
          <w:sz w:val="24"/>
          <w:szCs w:val="24"/>
        </w:rPr>
        <w:t xml:space="preserve">éléments de l'interface réduisant la charge perceptive et physique de l'utilisateur. Tous les calculs de moyennes, d'étalonnage, de SA et de LA sont entièrement automatisés dans CapAvenir CMR.</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Le contrôle explicite : </w:t>
      </w:r>
      <w:r>
        <w:rPr>
          <w:rFonts w:ascii="Times New Roman" w:cs="Times New Roman" w:eastAsia="Times New Roman" w:hAnsi="Times New Roman"/>
          <w:sz w:val="24"/>
          <w:szCs w:val="24"/>
        </w:rPr>
        <w:t xml:space="preserve">prise en compte par le système des seules actions explicitement demandées. La case à cocher pour activer T2 et T3, le choix du mode de passation des tests, et le bouton de génération de la fiche PDF répondent à ce critère.</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L'adaptabilité : </w:t>
      </w:r>
      <w:r>
        <w:rPr>
          <w:rFonts w:ascii="Times New Roman" w:cs="Times New Roman" w:eastAsia="Times New Roman" w:hAnsi="Times New Roman"/>
          <w:sz w:val="24"/>
          <w:szCs w:val="24"/>
        </w:rPr>
        <w:t xml:space="preserve">capacité du système à réagir selon le contexte et les besoins des utilisateurs. Le mode Conseiller, qui déverrouille des informations supplémentaires (scores bruts, deltas, troisième trace radar), différencie l'expérience selon le rôle de l'utilisateur.</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gestion des erreurs : </w:t>
      </w:r>
      <w:r>
        <w:rPr>
          <w:rFonts w:ascii="Times New Roman" w:cs="Times New Roman" w:eastAsia="Times New Roman" w:hAnsi="Times New Roman"/>
          <w:sz w:val="24"/>
          <w:szCs w:val="24"/>
        </w:rPr>
        <w:t xml:space="preserve">ensemble des moyens permettant d'éviter ou de réduire les erreurs et de les corriger. Les alertes contextuelles (score de confiance faible, statuts En Attente ou Probation, détection de conflits de profil) remplissent cette fonction.</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L'homogénéité et la cohérence : </w:t>
      </w:r>
      <w:r>
        <w:rPr>
          <w:rFonts w:ascii="Times New Roman" w:cs="Times New Roman" w:eastAsia="Times New Roman" w:hAnsi="Times New Roman"/>
          <w:sz w:val="24"/>
          <w:szCs w:val="24"/>
        </w:rPr>
        <w:t xml:space="preserve">conserver pour des contextes différents la même conception d'interface. La charte graphique unifiée de CapAvenir CMR (dégradé tricolore bleu-violet-vert, six styles d'alertes standardisés, bulles de chat distinctives) assure cette cohérence visuelle.</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signification des codes et dénominations : </w:t>
      </w:r>
      <w:r>
        <w:rPr>
          <w:rFonts w:ascii="Times New Roman" w:cs="Times New Roman" w:eastAsia="Times New Roman" w:hAnsi="Times New Roman"/>
          <w:sz w:val="24"/>
          <w:szCs w:val="24"/>
        </w:rPr>
        <w:t xml:space="preserve">adéquation entre l'objet affiché et son référent. Les libellés SA, LA, les cinq statuts d'orientation et le score de confiance en pourcentage sont définis et expliqués directement dans l'interface.</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La compatibilité : </w:t>
      </w:r>
      <w:r>
        <w:rPr>
          <w:rFonts w:ascii="Times New Roman" w:cs="Times New Roman" w:eastAsia="Times New Roman" w:hAnsi="Times New Roman"/>
          <w:sz w:val="24"/>
          <w:szCs w:val="24"/>
        </w:rPr>
        <w:t xml:space="preserve">accord entre les caractéristiques des utilisateurs, leurs attentes et les tâches proposées. Une attention particulière a été portée à la simplicité du vocabulaire utilisé, pour des élèves et des parents aux niveaux d'alphabétisation numérique variés.</w:t>
      </w:r>
    </w:p>
    <w:p>
      <w:pPr>
        <w:pStyle w:val="Heading3"/>
      </w:pPr>
      <w:r>
        <w:rPr>
          <w:rFonts w:ascii="Times New Roman" w:cs="Times New Roman" w:eastAsia="Times New Roman" w:hAnsi="Times New Roman"/>
          <w:b/>
          <w:bCs/>
          <w:i/>
          <w:iCs/>
          <w:sz w:val="24"/>
          <w:szCs w:val="24"/>
        </w:rPr>
        <w:t xml:space="preserve">2.7.2  Les méthodes d'évaluation ergonomique</w:t>
      </w:r>
    </w:p>
    <w:p>
      <w:pPr>
        <w:spacing w:after="120" w:before="120" w:line="360"/>
        <w:jc w:val="both"/>
      </w:pPr>
      <w:r>
        <w:rPr>
          <w:rFonts w:ascii="Times New Roman" w:cs="Times New Roman" w:eastAsia="Times New Roman" w:hAnsi="Times New Roman"/>
          <w:sz w:val="24"/>
          <w:szCs w:val="24"/>
        </w:rPr>
        <w:t xml:space="preserve">Deux grandes familles de méthodes permettent d'évaluer l'ergonomie d'une application. Les tests utilisateurs impliquent des utilisateurs réels accomplissant des tâches représentatives sous observation, permettant d'identifier empiriquement les difficultés réelles. Les méthodes d'inspection ergonomique s'appuient sur l'expertise d'évaluateurs spécialisés appliquant des critères standardisés à l'interface (Nielsen, 1994). Dans le cadre de ce travail, nous avons combiné ces deux approches : une inspection heuristique sur la base du référentiel de Bastien et Scapin (1993) et des sessions d'observation d'utilisateurs cibles — élèves de Troisième et conseillers d'orientation du Lycée Bilingue d'Étoug-Ébé.</w:t>
      </w:r>
    </w:p>
    <w:p>
      <w:pPr>
        <w:pStyle w:val="Heading3"/>
      </w:pPr>
      <w:r>
        <w:rPr>
          <w:rFonts w:ascii="Times New Roman" w:cs="Times New Roman" w:eastAsia="Times New Roman" w:hAnsi="Times New Roman"/>
          <w:b/>
          <w:bCs/>
          <w:i/>
          <w:iCs/>
          <w:sz w:val="24"/>
          <w:szCs w:val="24"/>
        </w:rPr>
        <w:t xml:space="preserve">2.7.3  Les supports numériques dans l'orientation scolaire</w:t>
      </w:r>
    </w:p>
    <w:p>
      <w:pPr>
        <w:spacing w:after="80" w:before="200"/>
      </w:pPr>
      <w:r>
        <w:rPr>
          <w:rFonts w:ascii="Times New Roman" w:cs="Times New Roman" w:eastAsia="Times New Roman" w:hAnsi="Times New Roman"/>
          <w:b/>
          <w:bCs/>
          <w:sz w:val="24"/>
          <w:szCs w:val="24"/>
          <w:u w:val="single"/>
        </w:rPr>
        <w:t xml:space="preserve">2.7.3.1  La place des TICE dans l'orientation scolaire</w:t>
      </w:r>
    </w:p>
    <w:p>
      <w:pPr>
        <w:spacing w:after="120" w:before="120" w:line="360"/>
        <w:jc w:val="both"/>
      </w:pPr>
      <w:r>
        <w:rPr>
          <w:rFonts w:ascii="Times New Roman" w:cs="Times New Roman" w:eastAsia="Times New Roman" w:hAnsi="Times New Roman"/>
          <w:sz w:val="24"/>
          <w:szCs w:val="24"/>
        </w:rPr>
        <w:t xml:space="preserve">Les Technologies de l'Information et de la Communication pour l'Enseignement (TICE) occupent une place centrale dans la transformation numérique de l'éducation. D'après Aubenas (2014), elles englobent un ensemble d'outils informatiques, logiciels et multimédias utilisables aussi bien pour enseigner que pour suivre et orienter les élèves. Dans le contexte de l'orientation scolaire, les TICE facilitent la gestion numérique des données psychométriques, l'analyse automatisée des performances scolaires et la production de recommandations personnalisées en temps réel. Elles permettent également une restitution immédiate des résultats à l'élève, aux parents et au conseiller, favorisant ainsi une réactivité du processus d'orientation qui est impossible avec les outils papier traditionnels.</w:t>
      </w:r>
    </w:p>
    <w:p>
      <w:pPr>
        <w:spacing w:after="80" w:before="200"/>
      </w:pPr>
      <w:r>
        <w:rPr>
          <w:rFonts w:ascii="Times New Roman" w:cs="Times New Roman" w:eastAsia="Times New Roman" w:hAnsi="Times New Roman"/>
          <w:b/>
          <w:bCs/>
          <w:sz w:val="24"/>
          <w:szCs w:val="24"/>
          <w:u w:val="single"/>
        </w:rPr>
        <w:t xml:space="preserve">2.7.3.2  Classification des outils numériques pour l'orientation scolaire</w:t>
      </w:r>
    </w:p>
    <w:p>
      <w:pPr>
        <w:spacing w:after="120" w:before="120" w:line="360"/>
        <w:jc w:val="both"/>
      </w:pPr>
      <w:r>
        <w:rPr>
          <w:rFonts w:ascii="Times New Roman" w:cs="Times New Roman" w:eastAsia="Times New Roman" w:hAnsi="Times New Roman"/>
          <w:sz w:val="24"/>
          <w:szCs w:val="24"/>
        </w:rPr>
        <w:t xml:space="preserve">Selon Vries (2001), les outils numériques éducatifs présentent une grande diversité fonctionnelle. En matière d'orientation scolaire, on peut les catégoriser selon leur usage principal : outils d'information (portails documentaires sur les filières et les métiers), outils d'évaluation (batteries de tests psychotechniques en ligne), outils de simulation (exploration de cursus et de métiers), et outils de recommandation (systèmes experts ou à base d'apprentissage automatique). CapAvenir CMR se positionne simultanément dans les catégories évaluation et recommandation, en combinant une évaluation psychotechnique guidée (192 questions réparties en 5 tests) et un système automatisé de recommandation de série.</w:t>
      </w:r>
    </w:p>
    <w:p>
      <w:pPr>
        <w:spacing w:after="80" w:before="200"/>
      </w:pPr>
      <w:r>
        <w:rPr>
          <w:rFonts w:ascii="Times New Roman" w:cs="Times New Roman" w:eastAsia="Times New Roman" w:hAnsi="Times New Roman"/>
          <w:b/>
          <w:bCs/>
          <w:sz w:val="24"/>
          <w:szCs w:val="24"/>
          <w:u w:val="single"/>
        </w:rPr>
        <w:t xml:space="preserve">2.7.3.3  Exemples d'outils numériques adaptés à l'orientation scolaire</w:t>
      </w:r>
    </w:p>
    <w:p>
      <w:pPr>
        <w:spacing w:after="120" w:before="120" w:line="360"/>
        <w:jc w:val="both"/>
      </w:pPr>
      <w:r>
        <w:rPr>
          <w:rFonts w:ascii="Times New Roman" w:cs="Times New Roman" w:eastAsia="Times New Roman" w:hAnsi="Times New Roman"/>
          <w:sz w:val="24"/>
          <w:szCs w:val="24"/>
        </w:rPr>
        <w:t xml:space="preserve">Parmi les outils numériques utilisés dans le cadre de l'orientation scolaire, on peut citer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Les registres numériques de notes : </w:t>
      </w:r>
      <w:r>
        <w:rPr>
          <w:rFonts w:ascii="Times New Roman" w:cs="Times New Roman" w:eastAsia="Times New Roman" w:hAnsi="Times New Roman"/>
          <w:sz w:val="24"/>
          <w:szCs w:val="24"/>
        </w:rPr>
        <w:t xml:space="preserve">permettent la saisie et le calcul automatique des moyennes trimestrielles, donnant accès aux données scolaires nécessaires à l'orientation. CapAvenir CMR intègre ce module pour les trois trimestres de l'année de Troisième.</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Les batteries de tests psychotechniques en ligne : </w:t>
      </w:r>
      <w:r>
        <w:rPr>
          <w:rFonts w:ascii="Times New Roman" w:cs="Times New Roman" w:eastAsia="Times New Roman" w:hAnsi="Times New Roman"/>
          <w:sz w:val="24"/>
          <w:szCs w:val="24"/>
        </w:rPr>
        <w:t xml:space="preserve">permettent l'administration standardisée des épreuves d'aptitude avec calcul automatique des scores bruts et leur étalonnage. C'est le cœur du module psychotechnique de CapAvenir CMR.</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Les moteurs de recommandation d'orientation : </w:t>
      </w:r>
      <w:r>
        <w:rPr>
          <w:rFonts w:ascii="Times New Roman" w:cs="Times New Roman" w:eastAsia="Times New Roman" w:hAnsi="Times New Roman"/>
          <w:sz w:val="24"/>
          <w:szCs w:val="24"/>
        </w:rPr>
        <w:t xml:space="preserve">croisent automatiquement les données scolaires et psychotechniques de l'élève avec les critères des filières pour produire une recommandation assortie d'un niveau de confiance. CapAvenir CMR calcule un score de confiance en pourcentage avec cinq statuts possibles.</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Les agents conversationnels pédagogiques : </w:t>
      </w:r>
      <w:r>
        <w:rPr>
          <w:rFonts w:ascii="Times New Roman" w:cs="Times New Roman" w:eastAsia="Times New Roman" w:hAnsi="Times New Roman"/>
          <w:sz w:val="24"/>
          <w:szCs w:val="24"/>
        </w:rPr>
        <w:t xml:space="preserve">permettent un dialogue personnalisé avec l'élève en cas de profil ambigu ou conflictuel. L'agent IA de CapAvenir CMR se déclenche automatiquement pour les cas du « Rêveur » et du « Décalé ».</w:t>
      </w:r>
    </w:p>
    <w:p>
      <w:pPr>
        <w:pStyle w:val="ListParagraph"/>
        <w:numPr>
          <w:ilvl w:val="0"/>
          <w:numId w:val="2"/>
        </w:numPr>
        <w:spacing w:after="80" w:before="80" w:line="340"/>
      </w:pPr>
      <w:r>
        <w:rPr>
          <w:rFonts w:ascii="Times New Roman" w:cs="Times New Roman" w:eastAsia="Times New Roman" w:hAnsi="Times New Roman"/>
          <w:b/>
          <w:bCs/>
          <w:sz w:val="24"/>
          <w:szCs w:val="24"/>
        </w:rPr>
        <w:t xml:space="preserve">Les tableaux de bord parentaux et les fiches officielles : </w:t>
      </w:r>
      <w:r>
        <w:rPr>
          <w:rFonts w:ascii="Times New Roman" w:cs="Times New Roman" w:eastAsia="Times New Roman" w:hAnsi="Times New Roman"/>
          <w:sz w:val="24"/>
          <w:szCs w:val="24"/>
        </w:rPr>
        <w:t xml:space="preserve">permettent aux parents de consulter les résultats de l'orientation de leur enfant. CapAvenir CMR génère automatiquement une fiche PDF bilingue FR/EN au format officiel camerounais.</w:t>
      </w:r>
    </w:p>
    <w:p>
      <w:pPr>
        <w:spacing w:after="80" w:before="200"/>
      </w:pPr>
      <w:r>
        <w:rPr>
          <w:rFonts w:ascii="Times New Roman" w:cs="Times New Roman" w:eastAsia="Times New Roman" w:hAnsi="Times New Roman"/>
          <w:b/>
          <w:bCs/>
          <w:sz w:val="24"/>
          <w:szCs w:val="24"/>
          <w:u w:val="single"/>
        </w:rPr>
        <w:t xml:space="preserve">2.7.3.4  Plateformes numériques pour l'orientation scolaire</w:t>
      </w:r>
    </w:p>
    <w:p>
      <w:pPr>
        <w:spacing w:after="120" w:before="120" w:line="360"/>
        <w:jc w:val="both"/>
      </w:pPr>
      <w:r>
        <w:rPr>
          <w:rFonts w:ascii="Times New Roman" w:cs="Times New Roman" w:eastAsia="Times New Roman" w:hAnsi="Times New Roman"/>
          <w:sz w:val="24"/>
          <w:szCs w:val="24"/>
        </w:rPr>
        <w:t xml:space="preserve">Les plateformes numériques d'orientation les plus abouties intègrent plusieurs de ces outils dans un environnement unifié, permettant une gestion cohérente et en temps réel. Notre projet s'inscrit dans cette dynamique, avec pour objectif de concevoir une plateforme spécialisée dans l'orientation scolaire par analyses automatisées. Elle couvre la gestion des notes sur trois trimestres, la passation de cinq tests psychotechniques, la génération d'un diagnostic IA avec score de confiance, la détection des conflits de profil, le dialogue avec un agent conversationnel et la production d'une fiche d'orientation officielle. L'accent est mis sur la réactivité, la simplicité d'usage et l'accessibilité, en tenant compte des réalités technologiques et économiques du contexte camerounais.</w:t>
      </w:r>
    </w:p>
    <w:p>
      <w:pPr>
        <w:spacing w:after="80" w:before="8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2.8  Choix du cadre conceptuel</w:t>
      </w:r>
    </w:p>
    <w:p>
      <w:pPr>
        <w:pStyle w:val="Heading3"/>
      </w:pPr>
      <w:r>
        <w:rPr>
          <w:rFonts w:ascii="Times New Roman" w:cs="Times New Roman" w:eastAsia="Times New Roman" w:hAnsi="Times New Roman"/>
          <w:b/>
          <w:bCs/>
          <w:i/>
          <w:iCs/>
          <w:sz w:val="24"/>
          <w:szCs w:val="24"/>
        </w:rPr>
        <w:t xml:space="preserve">2.8.1  Choix de la méthode de développement logiciel</w:t>
      </w:r>
    </w:p>
    <w:p>
      <w:pPr>
        <w:spacing w:after="120" w:before="120" w:line="360"/>
        <w:jc w:val="both"/>
      </w:pPr>
      <w:r>
        <w:rPr>
          <w:rFonts w:ascii="Times New Roman" w:cs="Times New Roman" w:eastAsia="Times New Roman" w:hAnsi="Times New Roman"/>
          <w:sz w:val="24"/>
          <w:szCs w:val="24"/>
        </w:rPr>
        <w:t xml:space="preserve">Dans la section 2.6, nous avons présenté deux catégories de méthodes de développement logiciel : les méthodes classiques et les méthodes agiles. Il a été démontré que les méthodes classiques sont davantage adaptées aux grands projets clairement définis dès le départ, tandis que les méthodes agiles conviennent mieux aux projets innovants de taille moyenne dont les besoins évoluent. Dans notre cas, CapAvenir CMR est un projet de taille moyenne, soumis à une contrainte temporelle forte liée au calendrier du mémoire, et dont les besoins ont évolué progressivement au fil des enquêtes menées auprès des élèves, des enseignants et des conseillers d'orientation. C'est dans cette optique que nous avons naturellement opté pour la méthode agile SCRUM. Plusieurs raisons motivent ce choix :</w:t>
      </w:r>
    </w:p>
    <w:p>
      <w:pPr>
        <w:pStyle w:val="ListParagraph"/>
        <w:numPr>
          <w:ilvl w:val="0"/>
          <w:numId w:val="2"/>
        </w:numPr>
        <w:spacing w:after="80" w:before="80" w:line="340"/>
      </w:pPr>
      <w:r>
        <w:rPr>
          <w:rFonts w:ascii="Times New Roman" w:cs="Times New Roman" w:eastAsia="Times New Roman" w:hAnsi="Times New Roman"/>
          <w:sz w:val="24"/>
          <w:szCs w:val="24"/>
        </w:rPr>
        <w:t xml:space="preserve">Le besoin d'un travail itératif et incrémental, permettant de livrer régulièrement des versions fonctionnelles de l'application pour validation par les utilisateurs cibles ;</w:t>
      </w:r>
    </w:p>
    <w:p>
      <w:pPr>
        <w:pStyle w:val="ListParagraph"/>
        <w:numPr>
          <w:ilvl w:val="0"/>
          <w:numId w:val="2"/>
        </w:numPr>
        <w:spacing w:after="80" w:before="80" w:line="340"/>
      </w:pPr>
      <w:r>
        <w:rPr>
          <w:rFonts w:ascii="Times New Roman" w:cs="Times New Roman" w:eastAsia="Times New Roman" w:hAnsi="Times New Roman"/>
          <w:sz w:val="24"/>
          <w:szCs w:val="24"/>
        </w:rPr>
        <w:t xml:space="preserve">La collaboration continue entre les membres de l'équipe de développement et les utilisateurs finaux (élèves, conseillers, enseignants) pour affiner les fonctionnalités au fil des sprints ;</w:t>
      </w:r>
    </w:p>
    <w:p>
      <w:pPr>
        <w:pStyle w:val="ListParagraph"/>
        <w:numPr>
          <w:ilvl w:val="0"/>
          <w:numId w:val="2"/>
        </w:numPr>
        <w:spacing w:after="80" w:before="80" w:line="340"/>
      </w:pPr>
      <w:r>
        <w:rPr>
          <w:rFonts w:ascii="Times New Roman" w:cs="Times New Roman" w:eastAsia="Times New Roman" w:hAnsi="Times New Roman"/>
          <w:sz w:val="24"/>
          <w:szCs w:val="24"/>
        </w:rPr>
        <w:t xml:space="preserve">La prise en compte du risque inhérent à l'intégration d'un moteur d'inférence et d'un agent IA, dont les comportements doivent être testés et ajustés de façon itérative ;</w:t>
      </w:r>
    </w:p>
    <w:p>
      <w:pPr>
        <w:pStyle w:val="ListParagraph"/>
        <w:numPr>
          <w:ilvl w:val="0"/>
          <w:numId w:val="2"/>
        </w:numPr>
        <w:spacing w:after="80" w:before="80" w:line="340"/>
      </w:pPr>
      <w:r>
        <w:rPr>
          <w:rFonts w:ascii="Times New Roman" w:cs="Times New Roman" w:eastAsia="Times New Roman" w:hAnsi="Times New Roman"/>
          <w:sz w:val="24"/>
          <w:szCs w:val="24"/>
        </w:rPr>
        <w:t xml:space="preserve">L'adaptation facile de la méthode à la taille de l'équipe et à la diversité des rôles qu'elle mobilise, garantissant la construction d'un produit de qualité croissante au fur et à mesure du développement.</w:t>
      </w:r>
    </w:p>
    <w:p>
      <w:pPr>
        <w:pStyle w:val="Heading3"/>
      </w:pPr>
      <w:r>
        <w:rPr>
          <w:rFonts w:ascii="Times New Roman" w:cs="Times New Roman" w:eastAsia="Times New Roman" w:hAnsi="Times New Roman"/>
          <w:b/>
          <w:bCs/>
          <w:i/>
          <w:iCs/>
          <w:sz w:val="24"/>
          <w:szCs w:val="24"/>
        </w:rPr>
        <w:t xml:space="preserve">2.8.2  Choix de la méthode d'évaluation ergonomique</w:t>
      </w:r>
    </w:p>
    <w:p>
      <w:pPr>
        <w:spacing w:after="120" w:before="120" w:line="360"/>
        <w:jc w:val="both"/>
      </w:pPr>
      <w:r>
        <w:rPr>
          <w:rFonts w:ascii="Times New Roman" w:cs="Times New Roman" w:eastAsia="Times New Roman" w:hAnsi="Times New Roman"/>
          <w:sz w:val="24"/>
          <w:szCs w:val="24"/>
        </w:rPr>
        <w:t xml:space="preserve">Dans le cadre de la conception de l'interface de CapAvenir CMR, nous adoptons une approche d'évaluation centrée utilisateur, fondée sur des itérations de tests utilisateurs. Cette méthode s'inscrit dans une logique de conception participative, visant à ajuster continuellement l'interface et les fonctionnalités en fonction des retours empiriques des utilisateurs finaux — en particulier des élèves de Troisième peu expérimentés en matière d'outils d'évaluation psychotechnique, et des conseillers d'orientation qui constituent les utilisateurs experts du système.</w:t>
      </w:r>
    </w:p>
    <w:p>
      <w:pPr>
        <w:spacing w:after="120" w:before="120" w:line="360"/>
        <w:jc w:val="both"/>
      </w:pPr>
      <w:r>
        <w:rPr>
          <w:rFonts w:ascii="Times New Roman" w:cs="Times New Roman" w:eastAsia="Times New Roman" w:hAnsi="Times New Roman"/>
          <w:sz w:val="24"/>
          <w:szCs w:val="24"/>
        </w:rPr>
        <w:t xml:space="preserve">Les sessions d'évaluation sont structurées autour des critères ergonomiques de Bastien et Scapin (1993), qui fournissent un référentiel reconnu pour l'évaluation des interfaces homme-machine. Ces critères orientent toutes les décisions relatives au design visuel (typographie, contrastes, palette de couleurs tricolore), à la structuration de l'information (hiérarchisation des étapes, lisibilité des alertes et des scores), et à l'organisation spatiale des composants interactifs (positionnement des sliders de tests, des graphiques radar et barres, des zones de saisie des notes). Une attention spécifique est accordée à l'optimisation de l'interface (UI) et de l'expérience utilisateur (UX) pour les modules critiques : la passation guidée des cinq tests psychotechniques, l'affichage du diagnostic avec son score de confiance en pourcentage, et le dialogue avec l'agent conversationnel à intelligence artificielle.</w:t>
      </w:r>
    </w:p>
    <w:p>
      <w:pPr>
        <w:spacing w:after="80" w:before="8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Conclusion</w:t>
      </w:r>
    </w:p>
    <w:p>
      <w:pPr>
        <w:spacing w:after="120" w:before="120" w:line="360"/>
        <w:jc w:val="both"/>
      </w:pPr>
      <w:r>
        <w:rPr>
          <w:rFonts w:ascii="Times New Roman" w:cs="Times New Roman" w:eastAsia="Times New Roman" w:hAnsi="Times New Roman"/>
          <w:sz w:val="24"/>
          <w:szCs w:val="24"/>
        </w:rPr>
        <w:t xml:space="preserve">Cette revue de la littérature a permis de dresser un panorama complet et rigoureux des savoirs scientifiques et techniques sur lesquels s'appuie CapAvenir CMR. Plusieurs enseignements essentiels en ressortent. Premièrement, l'orientation scolaire dispose de fondements psychométriques solides et anciens qui légitiment le recours aux tests standardisés comme outils d'objectivation des aptitudes cognitives des élèves. Les cinq tests intégrés dans CapAvenir CMR — D48, KRX, MECA, BV11 et PRC — s'inscrivent dans cette tradition scientifique. Deuxièmement, l'analyse des plateformes numériques existantes révèle un vide structurel significatif : aucune solution disponible ne propose une intégration complète des cinq types de données nécessaires à une orientation rigoureuse de la Troisième vers la Seconde dans le contexte camerounais. Troisièmement, les modèles de développement logiciel — qu'ils soient traditionnels (cascade, V, Y) ou agiles (XP, SCRUM, RUP) — offrent des cadres méthodologiques bien établis ; le choix de SCRUM est solidement justifié par les caractéristiques spécifiques du projet. Quatrièmement, les principes ergonomiques de Bastien et Scapin (1993) constituent un référentiel adapté pour concevoir et évaluer une interface accessible à des utilisateurs aux profils variés. Ces fondements théoriques et méthodologiques constituent le socle sur lequel s'appuient les matériels et méthodes détaillés dans le chapitre suivant.</w:t>
      </w:r>
    </w:p>
    <w:sectPr>
      <w:pgSz w:w="11906" w:h="16838" w:orient="portrait"/>
      <w:pgMar w:top="1440" w:right="13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80" w:befor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fa8f1b8c3ebf05a123ee3f1a80a172e5a91499.png"/><Relationship Id="rId8" Type="http://schemas.openxmlformats.org/officeDocument/2006/relationships/image" Target="media/29005a4d5e0794ca17b1cba5181de37a427c7fb8.png"/><Relationship Id="rId9" Type="http://schemas.openxmlformats.org/officeDocument/2006/relationships/image" Target="media/11477c6557b23da58cbd1b84b7ad9c3b3adff298.png"/><Relationship Id="rId10" Type="http://schemas.openxmlformats.org/officeDocument/2006/relationships/image" Target="media/aa99c5c40fd9fdce9bd4579b673e3356a2c31ff7.png"/><Relationship Id="rId11" Type="http://schemas.openxmlformats.org/officeDocument/2006/relationships/image" Target="media/7080135693a39b67069259762f5dc86ac1b8cc03.png"/><Relationship Id="rId12" Type="http://schemas.openxmlformats.org/officeDocument/2006/relationships/image" Target="media/e67c246d1f0bbf8d16219086723d9d8aa80a8828.png"/><Relationship Id="rId13" Type="http://schemas.openxmlformats.org/officeDocument/2006/relationships/image" Target="media/3db9056e7eadd4195d7fcfdc878d54905c0de885.png"/><Relationship Id="rId14" Type="http://schemas.openxmlformats.org/officeDocument/2006/relationships/image" Target="media/253f0c730ee90a55299040d84fba7f4e622d00b0.png"/><Relationship Id="rId15" Type="http://schemas.openxmlformats.org/officeDocument/2006/relationships/image" Target="media/81d6108e3759df1a64ed276115e26a749917812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2026-04-13T16:51:21.399Z</dcterms:created>
  <dcterms:modified xsi:type="dcterms:W3CDTF">2026-04-13T16:51:21.399Z</dcterms:modified>
</cp:coreProperties>
</file>

<file path=docProps/custom.xml><?xml version="1.0" encoding="utf-8"?>
<Properties xmlns="http://schemas.openxmlformats.org/officeDocument/2006/custom-properties" xmlns:vt="http://schemas.openxmlformats.org/officeDocument/2006/docPropsVTypes"/>
</file>