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D8DBD" w14:textId="77777777" w:rsidR="006032B6" w:rsidRPr="006032B6" w:rsidRDefault="006032B6" w:rsidP="006032B6">
      <w:pPr>
        <w:jc w:val="center"/>
        <w:rPr>
          <w:rFonts w:ascii="Palatino Linotype" w:hAnsi="Palatino Linotype"/>
          <w:b/>
          <w:bCs/>
        </w:rPr>
      </w:pPr>
      <w:r w:rsidRPr="006032B6">
        <w:rPr>
          <w:rFonts w:ascii="Palatino Linotype" w:hAnsi="Palatino Linotype"/>
          <w:b/>
          <w:bCs/>
        </w:rPr>
        <w:t>Understanding NHT Loan Offerings: A Guide to Open Market Loans and the External Financing Mortgage Programme (EFMP)</w:t>
      </w:r>
    </w:p>
    <w:p w14:paraId="7AA3833E" w14:textId="77777777" w:rsidR="006032B6" w:rsidRPr="006032B6" w:rsidRDefault="006032B6" w:rsidP="006032B6">
      <w:pPr>
        <w:jc w:val="both"/>
        <w:rPr>
          <w:rFonts w:ascii="Palatino Linotype" w:hAnsi="Palatino Linotype"/>
        </w:rPr>
      </w:pPr>
      <w:r w:rsidRPr="006032B6">
        <w:rPr>
          <w:rFonts w:ascii="Palatino Linotype" w:hAnsi="Palatino Linotype"/>
        </w:rPr>
        <w:t>For many Jamaicans, the National Housing Trust (NHT) is the single most important institution in the journey towards homeownership. Whether you are purchasing your first home, building on family land or investing in property, understanding how the NHT finances home purchases can significantly improve your purchasing power and reduce your borrowing costs.</w:t>
      </w:r>
    </w:p>
    <w:p w14:paraId="6DEEDDD4" w14:textId="77777777" w:rsidR="006032B6" w:rsidRPr="006032B6" w:rsidRDefault="006032B6" w:rsidP="006032B6">
      <w:pPr>
        <w:jc w:val="both"/>
        <w:rPr>
          <w:rFonts w:ascii="Palatino Linotype" w:hAnsi="Palatino Linotype"/>
        </w:rPr>
      </w:pPr>
      <w:r w:rsidRPr="006032B6">
        <w:rPr>
          <w:rFonts w:ascii="Palatino Linotype" w:hAnsi="Palatino Linotype"/>
        </w:rPr>
        <w:t xml:space="preserve">Among the various financing options offered by the NHT, two deserve particular attention: </w:t>
      </w:r>
      <w:r w:rsidRPr="006032B6">
        <w:rPr>
          <w:rFonts w:ascii="Palatino Linotype" w:hAnsi="Palatino Linotype"/>
          <w:b/>
          <w:bCs/>
        </w:rPr>
        <w:t>Open Market Loans</w:t>
      </w:r>
      <w:r w:rsidRPr="006032B6">
        <w:rPr>
          <w:rFonts w:ascii="Palatino Linotype" w:hAnsi="Palatino Linotype"/>
        </w:rPr>
        <w:t xml:space="preserve"> and the </w:t>
      </w:r>
      <w:r w:rsidRPr="006032B6">
        <w:rPr>
          <w:rFonts w:ascii="Palatino Linotype" w:hAnsi="Palatino Linotype"/>
          <w:b/>
          <w:bCs/>
        </w:rPr>
        <w:t>External Financing Mortgage Programme (EFMP)</w:t>
      </w:r>
      <w:r w:rsidRPr="006032B6">
        <w:rPr>
          <w:rFonts w:ascii="Palatino Linotype" w:hAnsi="Palatino Linotype"/>
        </w:rPr>
        <w:t>. Together, these programmes have transformed how contributors purchase homes by expanding financing options while preserving the NHT's highly subsidised mortgage benefits.</w:t>
      </w:r>
    </w:p>
    <w:p w14:paraId="7FC0F50A" w14:textId="77777777" w:rsidR="006032B6" w:rsidRPr="006032B6" w:rsidRDefault="006032B6" w:rsidP="006032B6">
      <w:pPr>
        <w:jc w:val="both"/>
        <w:rPr>
          <w:rFonts w:ascii="Palatino Linotype" w:hAnsi="Palatino Linotype"/>
          <w:b/>
          <w:bCs/>
        </w:rPr>
      </w:pPr>
      <w:r w:rsidRPr="006032B6">
        <w:rPr>
          <w:rFonts w:ascii="Palatino Linotype" w:hAnsi="Palatino Linotype"/>
          <w:b/>
          <w:bCs/>
        </w:rPr>
        <w:t>The NHT's Role in Homeownership</w:t>
      </w:r>
    </w:p>
    <w:p w14:paraId="2885778C" w14:textId="77777777" w:rsidR="006032B6" w:rsidRPr="006032B6" w:rsidRDefault="006032B6" w:rsidP="006032B6">
      <w:pPr>
        <w:jc w:val="both"/>
        <w:rPr>
          <w:rFonts w:ascii="Palatino Linotype" w:hAnsi="Palatino Linotype"/>
        </w:rPr>
      </w:pPr>
      <w:r w:rsidRPr="006032B6">
        <w:rPr>
          <w:rFonts w:ascii="Palatino Linotype" w:hAnsi="Palatino Linotype"/>
        </w:rPr>
        <w:t>The NHT was established to make homeownership more affordable for Jamaican contributors. Through mandatory contributions made by employees, employers and self-employed persons, the Trust provides mortgage financing at interest rates that are generally well below those offered by commercial lenders.</w:t>
      </w:r>
    </w:p>
    <w:p w14:paraId="2347F387" w14:textId="77777777" w:rsidR="006032B6" w:rsidRPr="006032B6" w:rsidRDefault="006032B6" w:rsidP="006032B6">
      <w:pPr>
        <w:jc w:val="both"/>
        <w:rPr>
          <w:rFonts w:ascii="Palatino Linotype" w:hAnsi="Palatino Linotype"/>
        </w:rPr>
      </w:pPr>
      <w:r w:rsidRPr="006032B6">
        <w:rPr>
          <w:rFonts w:ascii="Palatino Linotype" w:hAnsi="Palatino Linotype"/>
        </w:rPr>
        <w:t>Unlike conventional mortgages, NHT loans are intended to promote affordable housing rather than maximise profit. Consequently, qualifying contributors may benefit from lower interest rates, longer repayment periods and generous loan limits, making homeownership attainable for thousands of Jamaicans each year.</w:t>
      </w:r>
    </w:p>
    <w:p w14:paraId="1A564854" w14:textId="77777777" w:rsidR="006032B6" w:rsidRPr="006032B6" w:rsidRDefault="006032B6" w:rsidP="006032B6">
      <w:pPr>
        <w:jc w:val="both"/>
        <w:rPr>
          <w:rFonts w:ascii="Palatino Linotype" w:hAnsi="Palatino Linotype"/>
          <w:b/>
          <w:bCs/>
        </w:rPr>
      </w:pPr>
      <w:r w:rsidRPr="006032B6">
        <w:rPr>
          <w:rFonts w:ascii="Palatino Linotype" w:hAnsi="Palatino Linotype"/>
          <w:b/>
          <w:bCs/>
        </w:rPr>
        <w:t>What Is an Open Market Loan?</w:t>
      </w:r>
    </w:p>
    <w:p w14:paraId="7B218086" w14:textId="77777777" w:rsidR="006032B6" w:rsidRPr="006032B6" w:rsidRDefault="006032B6" w:rsidP="006032B6">
      <w:pPr>
        <w:jc w:val="both"/>
        <w:rPr>
          <w:rFonts w:ascii="Palatino Linotype" w:hAnsi="Palatino Linotype"/>
        </w:rPr>
      </w:pPr>
      <w:r w:rsidRPr="006032B6">
        <w:rPr>
          <w:rFonts w:ascii="Palatino Linotype" w:hAnsi="Palatino Linotype"/>
        </w:rPr>
        <w:t>An Open Market Loan enables an NHT contributor to purchase residential property from a private seller rather than directly from the NHT.</w:t>
      </w:r>
    </w:p>
    <w:p w14:paraId="4F4C95DB" w14:textId="77777777" w:rsidR="006032B6" w:rsidRPr="006032B6" w:rsidRDefault="006032B6" w:rsidP="006032B6">
      <w:pPr>
        <w:jc w:val="both"/>
        <w:rPr>
          <w:rFonts w:ascii="Palatino Linotype" w:hAnsi="Palatino Linotype"/>
        </w:rPr>
      </w:pPr>
      <w:r w:rsidRPr="006032B6">
        <w:rPr>
          <w:rFonts w:ascii="Palatino Linotype" w:hAnsi="Palatino Linotype"/>
        </w:rPr>
        <w:t>This includes:</w:t>
      </w:r>
    </w:p>
    <w:p w14:paraId="481DD218" w14:textId="77777777" w:rsidR="006032B6" w:rsidRPr="006032B6" w:rsidRDefault="006032B6" w:rsidP="006032B6">
      <w:pPr>
        <w:numPr>
          <w:ilvl w:val="0"/>
          <w:numId w:val="1"/>
        </w:numPr>
        <w:jc w:val="both"/>
        <w:rPr>
          <w:rFonts w:ascii="Palatino Linotype" w:hAnsi="Palatino Linotype"/>
        </w:rPr>
      </w:pPr>
      <w:r w:rsidRPr="006032B6">
        <w:rPr>
          <w:rFonts w:ascii="Palatino Linotype" w:hAnsi="Palatino Linotype"/>
        </w:rPr>
        <w:t>Existing houses</w:t>
      </w:r>
    </w:p>
    <w:p w14:paraId="3B11ACE6" w14:textId="77777777" w:rsidR="006032B6" w:rsidRPr="006032B6" w:rsidRDefault="006032B6" w:rsidP="006032B6">
      <w:pPr>
        <w:numPr>
          <w:ilvl w:val="0"/>
          <w:numId w:val="1"/>
        </w:numPr>
        <w:jc w:val="both"/>
        <w:rPr>
          <w:rFonts w:ascii="Palatino Linotype" w:hAnsi="Palatino Linotype"/>
        </w:rPr>
      </w:pPr>
      <w:r w:rsidRPr="006032B6">
        <w:rPr>
          <w:rFonts w:ascii="Palatino Linotype" w:hAnsi="Palatino Linotype"/>
        </w:rPr>
        <w:t>Apartments</w:t>
      </w:r>
    </w:p>
    <w:p w14:paraId="3022C6A7" w14:textId="77777777" w:rsidR="006032B6" w:rsidRPr="006032B6" w:rsidRDefault="006032B6" w:rsidP="006032B6">
      <w:pPr>
        <w:numPr>
          <w:ilvl w:val="0"/>
          <w:numId w:val="1"/>
        </w:numPr>
        <w:jc w:val="both"/>
        <w:rPr>
          <w:rFonts w:ascii="Palatino Linotype" w:hAnsi="Palatino Linotype"/>
        </w:rPr>
      </w:pPr>
      <w:r w:rsidRPr="006032B6">
        <w:rPr>
          <w:rFonts w:ascii="Palatino Linotype" w:hAnsi="Palatino Linotype"/>
        </w:rPr>
        <w:t>Townhouses</w:t>
      </w:r>
    </w:p>
    <w:p w14:paraId="412BB901" w14:textId="77777777" w:rsidR="006032B6" w:rsidRPr="006032B6" w:rsidRDefault="006032B6" w:rsidP="006032B6">
      <w:pPr>
        <w:numPr>
          <w:ilvl w:val="0"/>
          <w:numId w:val="1"/>
        </w:numPr>
        <w:jc w:val="both"/>
        <w:rPr>
          <w:rFonts w:ascii="Palatino Linotype" w:hAnsi="Palatino Linotype"/>
        </w:rPr>
      </w:pPr>
      <w:r w:rsidRPr="006032B6">
        <w:rPr>
          <w:rFonts w:ascii="Palatino Linotype" w:hAnsi="Palatino Linotype"/>
        </w:rPr>
        <w:t>Residential lots</w:t>
      </w:r>
    </w:p>
    <w:p w14:paraId="45652804" w14:textId="77777777" w:rsidR="006032B6" w:rsidRPr="006032B6" w:rsidRDefault="006032B6" w:rsidP="006032B6">
      <w:pPr>
        <w:numPr>
          <w:ilvl w:val="0"/>
          <w:numId w:val="1"/>
        </w:numPr>
        <w:jc w:val="both"/>
        <w:rPr>
          <w:rFonts w:ascii="Palatino Linotype" w:hAnsi="Palatino Linotype"/>
        </w:rPr>
      </w:pPr>
      <w:r w:rsidRPr="006032B6">
        <w:rPr>
          <w:rFonts w:ascii="Palatino Linotype" w:hAnsi="Palatino Linotype"/>
        </w:rPr>
        <w:t>Newly constructed homes sold by private developers</w:t>
      </w:r>
    </w:p>
    <w:p w14:paraId="54BCF453" w14:textId="77777777" w:rsidR="006032B6" w:rsidRPr="006032B6" w:rsidRDefault="006032B6" w:rsidP="006032B6">
      <w:pPr>
        <w:jc w:val="both"/>
        <w:rPr>
          <w:rFonts w:ascii="Palatino Linotype" w:hAnsi="Palatino Linotype"/>
        </w:rPr>
      </w:pPr>
      <w:r w:rsidRPr="006032B6">
        <w:rPr>
          <w:rFonts w:ascii="Palatino Linotype" w:hAnsi="Palatino Linotype"/>
        </w:rPr>
        <w:lastRenderedPageBreak/>
        <w:t>Unlike purchasing an NHT housing scheme unit, the buyer is free to negotiate with virtually any willing seller, provided the property satisfies the lending requirements of both the NHT and, where applicable, the participating financial institution.</w:t>
      </w:r>
    </w:p>
    <w:p w14:paraId="6FF5E9F1" w14:textId="77777777" w:rsidR="006032B6" w:rsidRPr="006032B6" w:rsidRDefault="006032B6" w:rsidP="006032B6">
      <w:pPr>
        <w:jc w:val="both"/>
        <w:rPr>
          <w:rFonts w:ascii="Palatino Linotype" w:hAnsi="Palatino Linotype"/>
        </w:rPr>
      </w:pPr>
      <w:r w:rsidRPr="006032B6">
        <w:rPr>
          <w:rFonts w:ascii="Palatino Linotype" w:hAnsi="Palatino Linotype"/>
        </w:rPr>
        <w:t>This flexibility has made Open Market Loans one of the most popular NHT financing products because contributors are no longer limited to the Trust's own housing developments.</w:t>
      </w:r>
    </w:p>
    <w:p w14:paraId="481CC1EE" w14:textId="77777777" w:rsidR="006032B6" w:rsidRPr="006032B6" w:rsidRDefault="006032B6" w:rsidP="006032B6">
      <w:pPr>
        <w:jc w:val="both"/>
        <w:rPr>
          <w:rFonts w:ascii="Palatino Linotype" w:hAnsi="Palatino Linotype"/>
          <w:b/>
          <w:bCs/>
        </w:rPr>
      </w:pPr>
      <w:r w:rsidRPr="006032B6">
        <w:rPr>
          <w:rFonts w:ascii="Palatino Linotype" w:hAnsi="Palatino Linotype"/>
          <w:b/>
          <w:bCs/>
        </w:rPr>
        <w:t>Current Open Market Loan Limits</w:t>
      </w:r>
    </w:p>
    <w:p w14:paraId="12489936" w14:textId="77777777" w:rsidR="006032B6" w:rsidRPr="006032B6" w:rsidRDefault="006032B6" w:rsidP="006032B6">
      <w:pPr>
        <w:jc w:val="both"/>
        <w:rPr>
          <w:rFonts w:ascii="Palatino Linotype" w:hAnsi="Palatino Linotype"/>
        </w:rPr>
      </w:pPr>
      <w:r w:rsidRPr="006032B6">
        <w:rPr>
          <w:rFonts w:ascii="Palatino Linotype" w:hAnsi="Palatino Linotype"/>
        </w:rPr>
        <w:t>The NHT has substantially increased its loan limits in recent years to better reflect rising property values.</w:t>
      </w:r>
    </w:p>
    <w:p w14:paraId="062A669E" w14:textId="77777777" w:rsidR="006032B6" w:rsidRPr="006032B6" w:rsidRDefault="006032B6" w:rsidP="006032B6">
      <w:pPr>
        <w:jc w:val="both"/>
        <w:rPr>
          <w:rFonts w:ascii="Palatino Linotype" w:hAnsi="Palatino Linotype"/>
        </w:rPr>
      </w:pPr>
      <w:r w:rsidRPr="006032B6">
        <w:rPr>
          <w:rFonts w:ascii="Palatino Linotype" w:hAnsi="Palatino Linotype"/>
        </w:rPr>
        <w:t>Currently, eligible contributors may access:</w:t>
      </w:r>
    </w:p>
    <w:p w14:paraId="23AF5F24" w14:textId="77777777" w:rsidR="006032B6" w:rsidRPr="006032B6" w:rsidRDefault="006032B6" w:rsidP="006032B6">
      <w:pPr>
        <w:numPr>
          <w:ilvl w:val="0"/>
          <w:numId w:val="2"/>
        </w:numPr>
        <w:jc w:val="both"/>
        <w:rPr>
          <w:rFonts w:ascii="Palatino Linotype" w:hAnsi="Palatino Linotype"/>
        </w:rPr>
      </w:pPr>
      <w:r w:rsidRPr="006032B6">
        <w:rPr>
          <w:rFonts w:ascii="Palatino Linotype" w:hAnsi="Palatino Linotype"/>
        </w:rPr>
        <w:t xml:space="preserve">Up to </w:t>
      </w:r>
      <w:r w:rsidRPr="006032B6">
        <w:rPr>
          <w:rFonts w:ascii="Palatino Linotype" w:hAnsi="Palatino Linotype"/>
          <w:b/>
          <w:bCs/>
        </w:rPr>
        <w:t>J$9 million</w:t>
      </w:r>
      <w:r w:rsidRPr="006032B6">
        <w:rPr>
          <w:rFonts w:ascii="Palatino Linotype" w:hAnsi="Palatino Linotype"/>
        </w:rPr>
        <w:t xml:space="preserve"> as a single applicant.</w:t>
      </w:r>
    </w:p>
    <w:p w14:paraId="19E1B435" w14:textId="77777777" w:rsidR="006032B6" w:rsidRPr="006032B6" w:rsidRDefault="006032B6" w:rsidP="006032B6">
      <w:pPr>
        <w:numPr>
          <w:ilvl w:val="0"/>
          <w:numId w:val="2"/>
        </w:numPr>
        <w:jc w:val="both"/>
        <w:rPr>
          <w:rFonts w:ascii="Palatino Linotype" w:hAnsi="Palatino Linotype"/>
        </w:rPr>
      </w:pPr>
      <w:r w:rsidRPr="006032B6">
        <w:rPr>
          <w:rFonts w:ascii="Palatino Linotype" w:hAnsi="Palatino Linotype"/>
        </w:rPr>
        <w:t xml:space="preserve">Up to </w:t>
      </w:r>
      <w:r w:rsidRPr="006032B6">
        <w:rPr>
          <w:rFonts w:ascii="Palatino Linotype" w:hAnsi="Palatino Linotype"/>
          <w:b/>
          <w:bCs/>
        </w:rPr>
        <w:t>J$17 million</w:t>
      </w:r>
      <w:r w:rsidRPr="006032B6">
        <w:rPr>
          <w:rFonts w:ascii="Palatino Linotype" w:hAnsi="Palatino Linotype"/>
        </w:rPr>
        <w:t xml:space="preserve"> where two contributors apply jointly.</w:t>
      </w:r>
    </w:p>
    <w:p w14:paraId="02CB1DB7" w14:textId="77777777" w:rsidR="006032B6" w:rsidRPr="006032B6" w:rsidRDefault="006032B6" w:rsidP="006032B6">
      <w:pPr>
        <w:numPr>
          <w:ilvl w:val="0"/>
          <w:numId w:val="2"/>
        </w:numPr>
        <w:jc w:val="both"/>
        <w:rPr>
          <w:rFonts w:ascii="Palatino Linotype" w:hAnsi="Palatino Linotype"/>
        </w:rPr>
      </w:pPr>
      <w:r w:rsidRPr="006032B6">
        <w:rPr>
          <w:rFonts w:ascii="Palatino Linotype" w:hAnsi="Palatino Linotype"/>
        </w:rPr>
        <w:t xml:space="preserve">Up to </w:t>
      </w:r>
      <w:r w:rsidRPr="006032B6">
        <w:rPr>
          <w:rFonts w:ascii="Palatino Linotype" w:hAnsi="Palatino Linotype"/>
          <w:b/>
          <w:bCs/>
        </w:rPr>
        <w:t>J$23 million</w:t>
      </w:r>
      <w:r w:rsidRPr="006032B6">
        <w:rPr>
          <w:rFonts w:ascii="Palatino Linotype" w:hAnsi="Palatino Linotype"/>
        </w:rPr>
        <w:t xml:space="preserve"> where three contributors apply together.</w:t>
      </w:r>
    </w:p>
    <w:p w14:paraId="453F9B65" w14:textId="77777777" w:rsidR="006032B6" w:rsidRPr="006032B6" w:rsidRDefault="006032B6" w:rsidP="006032B6">
      <w:pPr>
        <w:jc w:val="both"/>
        <w:rPr>
          <w:rFonts w:ascii="Palatino Linotype" w:hAnsi="Palatino Linotype"/>
        </w:rPr>
      </w:pPr>
      <w:r w:rsidRPr="006032B6">
        <w:rPr>
          <w:rFonts w:ascii="Palatino Linotype" w:hAnsi="Palatino Linotype"/>
        </w:rPr>
        <w:t xml:space="preserve">In addition, single applicants purchasing qualifying properties priced at </w:t>
      </w:r>
      <w:r w:rsidRPr="006032B6">
        <w:rPr>
          <w:rFonts w:ascii="Palatino Linotype" w:hAnsi="Palatino Linotype"/>
          <w:b/>
          <w:bCs/>
        </w:rPr>
        <w:t>J$14 million or less</w:t>
      </w:r>
      <w:r w:rsidRPr="006032B6">
        <w:rPr>
          <w:rFonts w:ascii="Palatino Linotype" w:hAnsi="Palatino Linotype"/>
        </w:rPr>
        <w:t xml:space="preserve"> may access a special loan limit of up to </w:t>
      </w:r>
      <w:r w:rsidRPr="006032B6">
        <w:rPr>
          <w:rFonts w:ascii="Palatino Linotype" w:hAnsi="Palatino Linotype"/>
          <w:b/>
          <w:bCs/>
        </w:rPr>
        <w:t>J$12 million</w:t>
      </w:r>
      <w:r w:rsidRPr="006032B6">
        <w:rPr>
          <w:rFonts w:ascii="Palatino Linotype" w:hAnsi="Palatino Linotype"/>
        </w:rPr>
        <w:t>, subject to the applicable conditions and affordability assessment. These enhanced limits significantly improve the ability of contributors to compete in today's property market.</w:t>
      </w:r>
    </w:p>
    <w:p w14:paraId="34394816" w14:textId="77777777" w:rsidR="006032B6" w:rsidRPr="006032B6" w:rsidRDefault="006032B6" w:rsidP="006032B6">
      <w:pPr>
        <w:jc w:val="both"/>
        <w:rPr>
          <w:rFonts w:ascii="Palatino Linotype" w:hAnsi="Palatino Linotype"/>
          <w:b/>
          <w:bCs/>
        </w:rPr>
      </w:pPr>
      <w:r w:rsidRPr="006032B6">
        <w:rPr>
          <w:rFonts w:ascii="Palatino Linotype" w:hAnsi="Palatino Linotype"/>
          <w:b/>
          <w:bCs/>
        </w:rPr>
        <w:t>The Challenge of Financing Higher-Priced Properties</w:t>
      </w:r>
    </w:p>
    <w:p w14:paraId="148F4F08" w14:textId="77777777" w:rsidR="006032B6" w:rsidRPr="006032B6" w:rsidRDefault="006032B6" w:rsidP="006032B6">
      <w:pPr>
        <w:jc w:val="both"/>
        <w:rPr>
          <w:rFonts w:ascii="Palatino Linotype" w:hAnsi="Palatino Linotype"/>
        </w:rPr>
      </w:pPr>
      <w:r w:rsidRPr="006032B6">
        <w:rPr>
          <w:rFonts w:ascii="Palatino Linotype" w:hAnsi="Palatino Linotype"/>
        </w:rPr>
        <w:t>Although the increased loan limits are substantial, many properties—particularly in Kingston, St. Andrew, St. Catherine and other high-demand areas—often exceed the amount that the NHT alone is prepared to lend.</w:t>
      </w:r>
    </w:p>
    <w:p w14:paraId="58D7B3FB" w14:textId="77777777" w:rsidR="006032B6" w:rsidRPr="006032B6" w:rsidRDefault="006032B6" w:rsidP="006032B6">
      <w:pPr>
        <w:jc w:val="both"/>
        <w:rPr>
          <w:rFonts w:ascii="Palatino Linotype" w:hAnsi="Palatino Linotype"/>
        </w:rPr>
      </w:pPr>
      <w:r w:rsidRPr="006032B6">
        <w:rPr>
          <w:rFonts w:ascii="Palatino Linotype" w:hAnsi="Palatino Linotype"/>
        </w:rPr>
        <w:t>Traditionally, buyers solved this by obtaining an additional mortgage from a commercial bank or building society under the former Joint Financing Mortgage Programme. While effective, that process required coordination between multiple institutions and could sometimes be administratively cumbersome.</w:t>
      </w:r>
    </w:p>
    <w:p w14:paraId="6620885C" w14:textId="77777777" w:rsidR="006032B6" w:rsidRPr="006032B6" w:rsidRDefault="006032B6" w:rsidP="006032B6">
      <w:pPr>
        <w:jc w:val="both"/>
        <w:rPr>
          <w:rFonts w:ascii="Palatino Linotype" w:hAnsi="Palatino Linotype"/>
        </w:rPr>
      </w:pPr>
      <w:r w:rsidRPr="006032B6">
        <w:rPr>
          <w:rFonts w:ascii="Palatino Linotype" w:hAnsi="Palatino Linotype"/>
        </w:rPr>
        <w:t>Recognising the need for a more efficient system, the NHT introduced the External Financing Mortgage Programme (EFMP).</w:t>
      </w:r>
    </w:p>
    <w:p w14:paraId="091C2C02" w14:textId="77777777" w:rsidR="006032B6" w:rsidRPr="006032B6" w:rsidRDefault="006032B6" w:rsidP="006032B6">
      <w:pPr>
        <w:jc w:val="both"/>
        <w:rPr>
          <w:rFonts w:ascii="Palatino Linotype" w:hAnsi="Palatino Linotype"/>
          <w:b/>
          <w:bCs/>
        </w:rPr>
      </w:pPr>
      <w:r w:rsidRPr="006032B6">
        <w:rPr>
          <w:rFonts w:ascii="Palatino Linotype" w:hAnsi="Palatino Linotype"/>
          <w:b/>
          <w:bCs/>
        </w:rPr>
        <w:t>What Is the External Financing Mortgage Programme?</w:t>
      </w:r>
    </w:p>
    <w:p w14:paraId="18D10280" w14:textId="77777777" w:rsidR="006032B6" w:rsidRPr="006032B6" w:rsidRDefault="006032B6" w:rsidP="006032B6">
      <w:pPr>
        <w:jc w:val="both"/>
        <w:rPr>
          <w:rFonts w:ascii="Palatino Linotype" w:hAnsi="Palatino Linotype"/>
        </w:rPr>
      </w:pPr>
      <w:r w:rsidRPr="006032B6">
        <w:rPr>
          <w:rFonts w:ascii="Palatino Linotype" w:hAnsi="Palatino Linotype"/>
        </w:rPr>
        <w:t>The EFMP is a partnership between the NHT and approved banks, building societies and credit unions.</w:t>
      </w:r>
    </w:p>
    <w:p w14:paraId="25599DB3" w14:textId="77777777" w:rsidR="006032B6" w:rsidRPr="006032B6" w:rsidRDefault="006032B6" w:rsidP="006032B6">
      <w:pPr>
        <w:jc w:val="both"/>
        <w:rPr>
          <w:rFonts w:ascii="Palatino Linotype" w:hAnsi="Palatino Linotype"/>
        </w:rPr>
      </w:pPr>
      <w:r w:rsidRPr="006032B6">
        <w:rPr>
          <w:rFonts w:ascii="Palatino Linotype" w:hAnsi="Palatino Linotype"/>
        </w:rPr>
        <w:lastRenderedPageBreak/>
        <w:t>Rather than obtaining the NHT loan directly from the Trust, eligible contributors apply through a participating financial institution. That institution processes the mortgage application, disburses the loan and administers the mortgage while preserving the contributor's entitlement to the NHT's subsidised interest rates on the NHT-funded portion of the loan.</w:t>
      </w:r>
    </w:p>
    <w:p w14:paraId="7A03B484" w14:textId="77777777" w:rsidR="006032B6" w:rsidRPr="006032B6" w:rsidRDefault="006032B6" w:rsidP="006032B6">
      <w:pPr>
        <w:jc w:val="both"/>
        <w:rPr>
          <w:rFonts w:ascii="Palatino Linotype" w:hAnsi="Palatino Linotype"/>
        </w:rPr>
      </w:pPr>
      <w:r w:rsidRPr="006032B6">
        <w:rPr>
          <w:rFonts w:ascii="Palatino Linotype" w:hAnsi="Palatino Linotype"/>
        </w:rPr>
        <w:t>The programme was introduced to achieve two important objectives.</w:t>
      </w:r>
    </w:p>
    <w:p w14:paraId="7B3119A5" w14:textId="77777777" w:rsidR="006032B6" w:rsidRPr="006032B6" w:rsidRDefault="006032B6" w:rsidP="006032B6">
      <w:pPr>
        <w:jc w:val="both"/>
        <w:rPr>
          <w:rFonts w:ascii="Palatino Linotype" w:hAnsi="Palatino Linotype"/>
        </w:rPr>
      </w:pPr>
      <w:r w:rsidRPr="006032B6">
        <w:rPr>
          <w:rFonts w:ascii="Palatino Linotype" w:hAnsi="Palatino Linotype"/>
        </w:rPr>
        <w:t>First, it gives contributors greater flexibility by allowing them to obtain both their NHT financing and any required additional mortgage funding through a single institution.</w:t>
      </w:r>
    </w:p>
    <w:p w14:paraId="25B1CC26" w14:textId="77777777" w:rsidR="006032B6" w:rsidRPr="006032B6" w:rsidRDefault="006032B6" w:rsidP="006032B6">
      <w:pPr>
        <w:jc w:val="both"/>
        <w:rPr>
          <w:rFonts w:ascii="Palatino Linotype" w:hAnsi="Palatino Linotype"/>
        </w:rPr>
      </w:pPr>
      <w:r w:rsidRPr="006032B6">
        <w:rPr>
          <w:rFonts w:ascii="Palatino Linotype" w:hAnsi="Palatino Linotype"/>
        </w:rPr>
        <w:t>Second, it allows the NHT to redirect more of its capital towards developing new housing solutions across Jamaica rather than administering every mortgage directly.</w:t>
      </w:r>
    </w:p>
    <w:p w14:paraId="30F1955D" w14:textId="77777777" w:rsidR="006032B6" w:rsidRPr="006032B6" w:rsidRDefault="006032B6" w:rsidP="006032B6">
      <w:pPr>
        <w:jc w:val="both"/>
        <w:rPr>
          <w:rFonts w:ascii="Palatino Linotype" w:hAnsi="Palatino Linotype"/>
          <w:b/>
          <w:bCs/>
        </w:rPr>
      </w:pPr>
      <w:r w:rsidRPr="006032B6">
        <w:rPr>
          <w:rFonts w:ascii="Palatino Linotype" w:hAnsi="Palatino Linotype"/>
          <w:b/>
          <w:bCs/>
        </w:rPr>
        <w:t>Who Must Apply Through the EFMP?</w:t>
      </w:r>
    </w:p>
    <w:p w14:paraId="3EFBD62B" w14:textId="77777777" w:rsidR="006032B6" w:rsidRPr="006032B6" w:rsidRDefault="006032B6" w:rsidP="006032B6">
      <w:pPr>
        <w:jc w:val="both"/>
        <w:rPr>
          <w:rFonts w:ascii="Palatino Linotype" w:hAnsi="Palatino Linotype"/>
        </w:rPr>
      </w:pPr>
      <w:r w:rsidRPr="006032B6">
        <w:rPr>
          <w:rFonts w:ascii="Palatino Linotype" w:hAnsi="Palatino Linotype"/>
        </w:rPr>
        <w:t xml:space="preserve">Under the current policy, contributors earning more than </w:t>
      </w:r>
      <w:r w:rsidRPr="006032B6">
        <w:rPr>
          <w:rFonts w:ascii="Palatino Linotype" w:hAnsi="Palatino Linotype"/>
          <w:b/>
          <w:bCs/>
        </w:rPr>
        <w:t>J$30,000.99 per week</w:t>
      </w:r>
      <w:r w:rsidRPr="006032B6">
        <w:rPr>
          <w:rFonts w:ascii="Palatino Linotype" w:hAnsi="Palatino Linotype"/>
        </w:rPr>
        <w:t xml:space="preserve"> generally apply for eligible NHT loans through one of the NHT's approved EFMP mortgage partners.</w:t>
      </w:r>
    </w:p>
    <w:p w14:paraId="5E54111A" w14:textId="77777777" w:rsidR="006032B6" w:rsidRPr="006032B6" w:rsidRDefault="006032B6" w:rsidP="006032B6">
      <w:pPr>
        <w:jc w:val="both"/>
        <w:rPr>
          <w:rFonts w:ascii="Palatino Linotype" w:hAnsi="Palatino Linotype"/>
        </w:rPr>
      </w:pPr>
      <w:r w:rsidRPr="006032B6">
        <w:rPr>
          <w:rFonts w:ascii="Palatino Linotype" w:hAnsi="Palatino Linotype"/>
        </w:rPr>
        <w:t xml:space="preserve">Contributors earning </w:t>
      </w:r>
      <w:r w:rsidRPr="006032B6">
        <w:rPr>
          <w:rFonts w:ascii="Palatino Linotype" w:hAnsi="Palatino Linotype"/>
          <w:b/>
          <w:bCs/>
        </w:rPr>
        <w:t>J$30,000.99 per week or less</w:t>
      </w:r>
      <w:r w:rsidRPr="006032B6">
        <w:rPr>
          <w:rFonts w:ascii="Palatino Linotype" w:hAnsi="Palatino Linotype"/>
        </w:rPr>
        <w:t xml:space="preserve"> will usually continue to apply directly to the NHT unless they require financing beyond their NHT entitlement or are co-applying with a higher-income contributor. In those circumstances, the application is generally processed through an EFMP partner institution. Contributors seeking certain grants or purchasing NHT scheme units continue to deal directly with the NHT.</w:t>
      </w:r>
    </w:p>
    <w:p w14:paraId="5A20F859" w14:textId="77777777" w:rsidR="006032B6" w:rsidRPr="006032B6" w:rsidRDefault="006032B6" w:rsidP="006032B6">
      <w:pPr>
        <w:jc w:val="both"/>
        <w:rPr>
          <w:rFonts w:ascii="Palatino Linotype" w:hAnsi="Palatino Linotype"/>
          <w:b/>
          <w:bCs/>
        </w:rPr>
      </w:pPr>
      <w:r w:rsidRPr="006032B6">
        <w:rPr>
          <w:rFonts w:ascii="Palatino Linotype" w:hAnsi="Palatino Linotype"/>
          <w:b/>
          <w:bCs/>
        </w:rPr>
        <w:t>Does the Interest Rate Change?</w:t>
      </w:r>
    </w:p>
    <w:p w14:paraId="3DE4495F" w14:textId="77777777" w:rsidR="006032B6" w:rsidRPr="006032B6" w:rsidRDefault="006032B6" w:rsidP="006032B6">
      <w:pPr>
        <w:jc w:val="both"/>
        <w:rPr>
          <w:rFonts w:ascii="Palatino Linotype" w:hAnsi="Palatino Linotype"/>
        </w:rPr>
      </w:pPr>
      <w:r w:rsidRPr="006032B6">
        <w:rPr>
          <w:rFonts w:ascii="Palatino Linotype" w:hAnsi="Palatino Linotype"/>
        </w:rPr>
        <w:t>One of the most common misconceptions about the EFMP is that contributors lose the benefit of the NHT's favourable interest rates.</w:t>
      </w:r>
    </w:p>
    <w:p w14:paraId="79DF8F95" w14:textId="77777777" w:rsidR="006032B6" w:rsidRPr="006032B6" w:rsidRDefault="006032B6" w:rsidP="006032B6">
      <w:pPr>
        <w:jc w:val="both"/>
        <w:rPr>
          <w:rFonts w:ascii="Palatino Linotype" w:hAnsi="Palatino Linotype"/>
        </w:rPr>
      </w:pPr>
      <w:r w:rsidRPr="006032B6">
        <w:rPr>
          <w:rFonts w:ascii="Palatino Linotype" w:hAnsi="Palatino Linotype"/>
        </w:rPr>
        <w:t>That is not the case.</w:t>
      </w:r>
    </w:p>
    <w:p w14:paraId="109451AD" w14:textId="77777777" w:rsidR="006032B6" w:rsidRPr="006032B6" w:rsidRDefault="006032B6" w:rsidP="006032B6">
      <w:pPr>
        <w:jc w:val="both"/>
        <w:rPr>
          <w:rFonts w:ascii="Palatino Linotype" w:hAnsi="Palatino Linotype"/>
        </w:rPr>
      </w:pPr>
      <w:r w:rsidRPr="006032B6">
        <w:rPr>
          <w:rFonts w:ascii="Palatino Linotype" w:hAnsi="Palatino Linotype"/>
        </w:rPr>
        <w:t>The NHT interest rate continues to apply to the NHT-funded portion of the mortgage even though the loan is administered by an external financial institution. Only any additional financing provided by the commercial lender is charged at that lender's own mortgage rate.</w:t>
      </w:r>
    </w:p>
    <w:p w14:paraId="250E07C8" w14:textId="77777777" w:rsidR="006032B6" w:rsidRPr="006032B6" w:rsidRDefault="006032B6" w:rsidP="006032B6">
      <w:pPr>
        <w:jc w:val="both"/>
        <w:rPr>
          <w:rFonts w:ascii="Palatino Linotype" w:hAnsi="Palatino Linotype"/>
        </w:rPr>
      </w:pPr>
      <w:r w:rsidRPr="006032B6">
        <w:rPr>
          <w:rFonts w:ascii="Palatino Linotype" w:hAnsi="Palatino Linotype"/>
        </w:rPr>
        <w:t>This distinction is important because it allows contributors to retain the value of their NHT benefit while accessing larger amounts of financing where necessary.</w:t>
      </w:r>
    </w:p>
    <w:p w14:paraId="264D4465" w14:textId="77777777" w:rsidR="006032B6" w:rsidRPr="006032B6" w:rsidRDefault="006032B6" w:rsidP="006032B6">
      <w:pPr>
        <w:jc w:val="both"/>
        <w:rPr>
          <w:rFonts w:ascii="Palatino Linotype" w:hAnsi="Palatino Linotype"/>
          <w:b/>
          <w:bCs/>
        </w:rPr>
      </w:pPr>
      <w:r w:rsidRPr="006032B6">
        <w:rPr>
          <w:rFonts w:ascii="Palatino Linotype" w:hAnsi="Palatino Linotype"/>
          <w:b/>
          <w:bCs/>
        </w:rPr>
        <w:t>Which Financial Institutions Participate?</w:t>
      </w:r>
    </w:p>
    <w:p w14:paraId="7D45AE21" w14:textId="77777777" w:rsidR="006032B6" w:rsidRPr="006032B6" w:rsidRDefault="006032B6" w:rsidP="006032B6">
      <w:pPr>
        <w:jc w:val="both"/>
        <w:rPr>
          <w:rFonts w:ascii="Palatino Linotype" w:hAnsi="Palatino Linotype"/>
        </w:rPr>
      </w:pPr>
      <w:r w:rsidRPr="006032B6">
        <w:rPr>
          <w:rFonts w:ascii="Palatino Linotype" w:hAnsi="Palatino Linotype"/>
        </w:rPr>
        <w:lastRenderedPageBreak/>
        <w:t>The network of participating institutions has expanded significantly since the programme was introduced. Major commercial banks, building societies and selected credit unions now participate, providing contributors with greater choice and convenience. The NHT has continued to add partners over time to increase accessibility across the island.</w:t>
      </w:r>
    </w:p>
    <w:p w14:paraId="75362737" w14:textId="77777777" w:rsidR="006032B6" w:rsidRPr="006032B6" w:rsidRDefault="006032B6" w:rsidP="006032B6">
      <w:pPr>
        <w:jc w:val="both"/>
        <w:rPr>
          <w:rFonts w:ascii="Palatino Linotype" w:hAnsi="Palatino Linotype"/>
          <w:b/>
          <w:bCs/>
        </w:rPr>
      </w:pPr>
      <w:r w:rsidRPr="006032B6">
        <w:rPr>
          <w:rFonts w:ascii="Palatino Linotype" w:hAnsi="Palatino Linotype"/>
          <w:b/>
          <w:bCs/>
        </w:rPr>
        <w:t>The Typical Application Process</w:t>
      </w:r>
    </w:p>
    <w:p w14:paraId="398B534E" w14:textId="77777777" w:rsidR="006032B6" w:rsidRPr="006032B6" w:rsidRDefault="006032B6" w:rsidP="006032B6">
      <w:pPr>
        <w:jc w:val="both"/>
        <w:rPr>
          <w:rFonts w:ascii="Palatino Linotype" w:hAnsi="Palatino Linotype"/>
        </w:rPr>
      </w:pPr>
      <w:r w:rsidRPr="006032B6">
        <w:rPr>
          <w:rFonts w:ascii="Palatino Linotype" w:hAnsi="Palatino Linotype"/>
        </w:rPr>
        <w:t>Whether applying directly to the NHT or through an EFMP partner, contributors should expect a structured approval process.</w:t>
      </w:r>
    </w:p>
    <w:p w14:paraId="3107A796" w14:textId="77777777" w:rsidR="006032B6" w:rsidRPr="006032B6" w:rsidRDefault="006032B6" w:rsidP="006032B6">
      <w:pPr>
        <w:jc w:val="both"/>
        <w:rPr>
          <w:rFonts w:ascii="Palatino Linotype" w:hAnsi="Palatino Linotype"/>
        </w:rPr>
      </w:pPr>
      <w:r w:rsidRPr="006032B6">
        <w:rPr>
          <w:rFonts w:ascii="Palatino Linotype" w:hAnsi="Palatino Linotype"/>
        </w:rPr>
        <w:t>The journey typically begins by requesting an NHT Eligibility Letter through the online portal. This document confirms the applicant's loan entitlement, applicable interest rate and repayment period.</w:t>
      </w:r>
    </w:p>
    <w:p w14:paraId="0DB4ED94" w14:textId="77777777" w:rsidR="006032B6" w:rsidRPr="006032B6" w:rsidRDefault="006032B6" w:rsidP="006032B6">
      <w:pPr>
        <w:jc w:val="both"/>
        <w:rPr>
          <w:rFonts w:ascii="Palatino Linotype" w:hAnsi="Palatino Linotype"/>
        </w:rPr>
      </w:pPr>
      <w:r w:rsidRPr="006032B6">
        <w:rPr>
          <w:rFonts w:ascii="Palatino Linotype" w:hAnsi="Palatino Linotype"/>
        </w:rPr>
        <w:t>After selecting a suitable property, the applicant submits the mortgage application together with proof of income, identification, contribution history and property documentation. The lender then conducts affordability and credit assessments before issuing a mortgage commitment if the application is approved.</w:t>
      </w:r>
    </w:p>
    <w:p w14:paraId="710AF033" w14:textId="77777777" w:rsidR="006032B6" w:rsidRPr="006032B6" w:rsidRDefault="006032B6" w:rsidP="006032B6">
      <w:pPr>
        <w:jc w:val="both"/>
        <w:rPr>
          <w:rFonts w:ascii="Palatino Linotype" w:hAnsi="Palatino Linotype"/>
        </w:rPr>
      </w:pPr>
      <w:r w:rsidRPr="006032B6">
        <w:rPr>
          <w:rFonts w:ascii="Palatino Linotype" w:hAnsi="Palatino Linotype"/>
        </w:rPr>
        <w:t xml:space="preserve">Once the legal due diligence has been completed by the purchaser's attorney-at-law, the mortgage documents are executed, security is registered against the </w:t>
      </w:r>
      <w:proofErr w:type="gramStart"/>
      <w:r w:rsidRPr="006032B6">
        <w:rPr>
          <w:rFonts w:ascii="Palatino Linotype" w:hAnsi="Palatino Linotype"/>
        </w:rPr>
        <w:t>title</w:t>
      </w:r>
      <w:proofErr w:type="gramEnd"/>
      <w:r w:rsidRPr="006032B6">
        <w:rPr>
          <w:rFonts w:ascii="Palatino Linotype" w:hAnsi="Palatino Linotype"/>
        </w:rPr>
        <w:t xml:space="preserve"> and the purchase funds are released to complete the transaction.</w:t>
      </w:r>
    </w:p>
    <w:p w14:paraId="4BADBF86" w14:textId="77777777" w:rsidR="006032B6" w:rsidRPr="006032B6" w:rsidRDefault="006032B6" w:rsidP="006032B6">
      <w:pPr>
        <w:jc w:val="both"/>
        <w:rPr>
          <w:rFonts w:ascii="Palatino Linotype" w:hAnsi="Palatino Linotype"/>
          <w:b/>
          <w:bCs/>
        </w:rPr>
      </w:pPr>
      <w:r w:rsidRPr="006032B6">
        <w:rPr>
          <w:rFonts w:ascii="Palatino Linotype" w:hAnsi="Palatino Linotype"/>
          <w:b/>
          <w:bCs/>
        </w:rPr>
        <w:t>Why Legal Advice Matters</w:t>
      </w:r>
    </w:p>
    <w:p w14:paraId="63996034" w14:textId="77777777" w:rsidR="006032B6" w:rsidRPr="006032B6" w:rsidRDefault="006032B6" w:rsidP="006032B6">
      <w:pPr>
        <w:jc w:val="both"/>
        <w:rPr>
          <w:rFonts w:ascii="Palatino Linotype" w:hAnsi="Palatino Linotype"/>
        </w:rPr>
      </w:pPr>
      <w:r w:rsidRPr="006032B6">
        <w:rPr>
          <w:rFonts w:ascii="Palatino Linotype" w:hAnsi="Palatino Linotype"/>
        </w:rPr>
        <w:t>Obtaining mortgage approval is only one part of purchasing property.</w:t>
      </w:r>
    </w:p>
    <w:p w14:paraId="0E0C93A5" w14:textId="77777777" w:rsidR="006032B6" w:rsidRPr="006032B6" w:rsidRDefault="006032B6" w:rsidP="006032B6">
      <w:pPr>
        <w:jc w:val="both"/>
        <w:rPr>
          <w:rFonts w:ascii="Palatino Linotype" w:hAnsi="Palatino Linotype"/>
        </w:rPr>
      </w:pPr>
      <w:r w:rsidRPr="006032B6">
        <w:rPr>
          <w:rFonts w:ascii="Palatino Linotype" w:hAnsi="Palatino Linotype"/>
        </w:rPr>
        <w:t>A purchaser should always retain an experienced conveyancing attorney to investigate title, review the Agreement for Sale, identify legal risks, satisfy lender requirements and ensure that the transfer of ownership is completed correctly.</w:t>
      </w:r>
    </w:p>
    <w:p w14:paraId="1388D1DF" w14:textId="77777777" w:rsidR="006032B6" w:rsidRPr="006032B6" w:rsidRDefault="006032B6" w:rsidP="006032B6">
      <w:pPr>
        <w:jc w:val="both"/>
        <w:rPr>
          <w:rFonts w:ascii="Palatino Linotype" w:hAnsi="Palatino Linotype"/>
        </w:rPr>
      </w:pPr>
      <w:r w:rsidRPr="006032B6">
        <w:rPr>
          <w:rFonts w:ascii="Palatino Linotype" w:hAnsi="Palatino Linotype"/>
        </w:rPr>
        <w:t>Many of the most expensive mistakes in property transactions arise not from financing issues but from defects in title, restrictive covenants, planning breaches or contractual provisions that are overlooked before closing.</w:t>
      </w:r>
    </w:p>
    <w:p w14:paraId="02E822F2" w14:textId="77777777" w:rsidR="006032B6" w:rsidRPr="006032B6" w:rsidRDefault="006032B6" w:rsidP="006032B6">
      <w:pPr>
        <w:jc w:val="both"/>
        <w:rPr>
          <w:rFonts w:ascii="Palatino Linotype" w:hAnsi="Palatino Linotype"/>
          <w:b/>
          <w:bCs/>
        </w:rPr>
      </w:pPr>
      <w:r w:rsidRPr="006032B6">
        <w:rPr>
          <w:rFonts w:ascii="Palatino Linotype" w:hAnsi="Palatino Linotype"/>
          <w:b/>
          <w:bCs/>
        </w:rPr>
        <w:t>Final Thoughts</w:t>
      </w:r>
    </w:p>
    <w:p w14:paraId="1E91439B" w14:textId="77777777" w:rsidR="006032B6" w:rsidRPr="006032B6" w:rsidRDefault="006032B6" w:rsidP="006032B6">
      <w:pPr>
        <w:jc w:val="both"/>
        <w:rPr>
          <w:rFonts w:ascii="Palatino Linotype" w:hAnsi="Palatino Linotype"/>
        </w:rPr>
      </w:pPr>
      <w:r w:rsidRPr="006032B6">
        <w:rPr>
          <w:rFonts w:ascii="Palatino Linotype" w:hAnsi="Palatino Linotype"/>
        </w:rPr>
        <w:t>The NHT continues to play an indispensable role in making homeownership achievable for Jamaicans. The increased Open Market loan limits, combined with the flexibility of the External Financing Mortgage Programme, have created significantly more opportunities for contributors to purchase suitable homes throughout the island.</w:t>
      </w:r>
    </w:p>
    <w:p w14:paraId="45DB52CC" w14:textId="77777777" w:rsidR="006032B6" w:rsidRPr="006032B6" w:rsidRDefault="006032B6" w:rsidP="006032B6">
      <w:pPr>
        <w:jc w:val="both"/>
        <w:rPr>
          <w:rFonts w:ascii="Palatino Linotype" w:hAnsi="Palatino Linotype"/>
        </w:rPr>
      </w:pPr>
      <w:r w:rsidRPr="006032B6">
        <w:rPr>
          <w:rFonts w:ascii="Palatino Linotype" w:hAnsi="Palatino Linotype"/>
        </w:rPr>
        <w:lastRenderedPageBreak/>
        <w:t>Understanding how these programmes work—and obtaining sound legal advice before committing to a purchase—can make the difference between a smooth transaction and a costly mistake. Before signing an Agreement for Sale or paying a deposit, prospective purchasers should ensure that they fully understand both their financing options and the legal implications of the transaction. A carefully planned purchase is often the first step toward secure and successful homeownership.</w:t>
      </w:r>
    </w:p>
    <w:p w14:paraId="53F4523F" w14:textId="77777777" w:rsidR="006F747D" w:rsidRPr="006032B6" w:rsidRDefault="006F747D" w:rsidP="006032B6">
      <w:pPr>
        <w:jc w:val="both"/>
        <w:rPr>
          <w:rFonts w:ascii="Palatino Linotype" w:hAnsi="Palatino Linotype"/>
        </w:rPr>
      </w:pPr>
    </w:p>
    <w:sectPr w:rsidR="006F747D" w:rsidRPr="00603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A5AF3"/>
    <w:multiLevelType w:val="multilevel"/>
    <w:tmpl w:val="CF96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E2ECA"/>
    <w:multiLevelType w:val="multilevel"/>
    <w:tmpl w:val="8062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522355">
    <w:abstractNumId w:val="1"/>
  </w:num>
  <w:num w:numId="2" w16cid:durableId="452867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2B6"/>
    <w:rsid w:val="003C0D4E"/>
    <w:rsid w:val="006032B6"/>
    <w:rsid w:val="006F747D"/>
    <w:rsid w:val="00980C1E"/>
    <w:rsid w:val="00D135FF"/>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9A646"/>
  <w15:chartTrackingRefBased/>
  <w15:docId w15:val="{A3AF5349-B90A-4FEF-9AE6-9858DA676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2B6"/>
    <w:rPr>
      <w:rFonts w:eastAsiaTheme="majorEastAsia" w:cstheme="majorBidi"/>
      <w:color w:val="272727" w:themeColor="text1" w:themeTint="D8"/>
    </w:rPr>
  </w:style>
  <w:style w:type="paragraph" w:styleId="Title">
    <w:name w:val="Title"/>
    <w:basedOn w:val="Normal"/>
    <w:next w:val="Normal"/>
    <w:link w:val="TitleChar"/>
    <w:uiPriority w:val="10"/>
    <w:qFormat/>
    <w:rsid w:val="00603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2B6"/>
    <w:pPr>
      <w:spacing w:before="160"/>
      <w:jc w:val="center"/>
    </w:pPr>
    <w:rPr>
      <w:i/>
      <w:iCs/>
      <w:color w:val="404040" w:themeColor="text1" w:themeTint="BF"/>
    </w:rPr>
  </w:style>
  <w:style w:type="character" w:customStyle="1" w:styleId="QuoteChar">
    <w:name w:val="Quote Char"/>
    <w:basedOn w:val="DefaultParagraphFont"/>
    <w:link w:val="Quote"/>
    <w:uiPriority w:val="29"/>
    <w:rsid w:val="006032B6"/>
    <w:rPr>
      <w:i/>
      <w:iCs/>
      <w:color w:val="404040" w:themeColor="text1" w:themeTint="BF"/>
    </w:rPr>
  </w:style>
  <w:style w:type="paragraph" w:styleId="ListParagraph">
    <w:name w:val="List Paragraph"/>
    <w:basedOn w:val="Normal"/>
    <w:uiPriority w:val="34"/>
    <w:qFormat/>
    <w:rsid w:val="006032B6"/>
    <w:pPr>
      <w:ind w:left="720"/>
      <w:contextualSpacing/>
    </w:pPr>
  </w:style>
  <w:style w:type="character" w:styleId="IntenseEmphasis">
    <w:name w:val="Intense Emphasis"/>
    <w:basedOn w:val="DefaultParagraphFont"/>
    <w:uiPriority w:val="21"/>
    <w:qFormat/>
    <w:rsid w:val="006032B6"/>
    <w:rPr>
      <w:i/>
      <w:iCs/>
      <w:color w:val="0F4761" w:themeColor="accent1" w:themeShade="BF"/>
    </w:rPr>
  </w:style>
  <w:style w:type="paragraph" w:styleId="IntenseQuote">
    <w:name w:val="Intense Quote"/>
    <w:basedOn w:val="Normal"/>
    <w:next w:val="Normal"/>
    <w:link w:val="IntenseQuoteChar"/>
    <w:uiPriority w:val="30"/>
    <w:qFormat/>
    <w:rsid w:val="00603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2B6"/>
    <w:rPr>
      <w:i/>
      <w:iCs/>
      <w:color w:val="0F4761" w:themeColor="accent1" w:themeShade="BF"/>
    </w:rPr>
  </w:style>
  <w:style w:type="character" w:styleId="IntenseReference">
    <w:name w:val="Intense Reference"/>
    <w:basedOn w:val="DefaultParagraphFont"/>
    <w:uiPriority w:val="32"/>
    <w:qFormat/>
    <w:rsid w:val="006032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1182</Words>
  <Characters>7161</Characters>
  <Application>Microsoft Office Word</Application>
  <DocSecurity>0</DocSecurity>
  <Lines>129</Lines>
  <Paragraphs>55</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K. Ferguson</dc:creator>
  <cp:keywords/>
  <dc:description/>
  <cp:lastModifiedBy>Owen K. Ferguson</cp:lastModifiedBy>
  <cp:revision>1</cp:revision>
  <dcterms:created xsi:type="dcterms:W3CDTF">2026-07-04T03:02:00Z</dcterms:created>
  <dcterms:modified xsi:type="dcterms:W3CDTF">2026-07-04T03:03:00Z</dcterms:modified>
</cp:coreProperties>
</file>