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9245" cy="309245"/>
                <wp:effectExtent l="0" t="0" r="0" b="0"/>
                <wp:docPr id="21"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00000A"/>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00000A"/>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800000"/>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800000"/>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800000"/>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first, middle and last name in step 1 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800000"/>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800000"/>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800000"/>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800000"/>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800000"/>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800000"/>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-We already have a field called mailing address in step 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bookmarkStart w:id="0" w:name="__DdeLink__618_1447407155"/>
            <w:bookmarkEnd w:id="0"/>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785" cy="311785"/>
                            <wp:effectExtent l="0" t="0" r="0" b="0"/>
                            <wp:docPr id="52"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r>
                    <w:rPr/>
                    <mc:AlternateContent>
                      <mc:Choice Requires="wps">
                        <w:drawing>
                          <wp:inline distT="0" distB="0" distL="0" distR="0">
                            <wp:extent cx="311785" cy="311785"/>
                            <wp:effectExtent l="0" t="0" r="0" b="0"/>
                            <wp:docPr id="53"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785" cy="311785"/>
                            <wp:effectExtent l="0" t="0" r="0" b="0"/>
                            <wp:docPr id="58"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r>
                    <w:rPr/>
                    <mc:AlternateContent>
                      <mc:Choice Requires="wps">
                        <w:drawing>
                          <wp:inline distT="0" distB="0" distL="0" distR="0">
                            <wp:extent cx="311785" cy="311785"/>
                            <wp:effectExtent l="0" t="0" r="0" b="0"/>
                            <wp:docPr id="59"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color w:val="800000"/>
              </w:rPr>
            </w:pPr>
            <w:r>
              <w:rPr>
                <w:rFonts w:eastAsia="Times New Roman" w:cs="Segoe UI" w:ascii="Helvetica" w:hAnsi="Helvetica"/>
                <w:b/>
                <w:bCs/>
                <w:color w:val="800000"/>
                <w:sz w:val="30"/>
                <w:szCs w:val="30"/>
              </w:rPr>
              <w:t>Alternate Contact Person</w:t>
            </w:r>
          </w:p>
          <w:p>
            <w:pPr>
              <w:pStyle w:val="Normal"/>
              <w:numPr>
                <w:ilvl w:val="0"/>
                <w:numId w:val="2"/>
              </w:numPr>
              <w:spacing w:lineRule="auto" w:line="240" w:before="240" w:after="240"/>
              <w:ind w:left="0" w:hanging="360"/>
              <w:outlineLvl w:val="1"/>
              <w:rPr>
                <w:color w:val="00CC33"/>
              </w:rPr>
            </w:pPr>
            <w:r>
              <w:rPr>
                <w:rFonts w:eastAsia="Times New Roman" w:cs="Segoe UI" w:ascii="Helvetica" w:hAnsi="Helvetica"/>
                <w:b/>
                <w:bCs/>
                <w:color w:val="00CC33"/>
                <w:sz w:val="30"/>
                <w:szCs w:val="30"/>
              </w:rPr>
              <w:t>-We already have this</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color w:val="FF3333"/>
              </w:rPr>
            </w:pPr>
            <w:r>
              <w:rPr>
                <w:rFonts w:eastAsia="Times New Roman" w:cs="Segoe UI" w:ascii="inherit" w:hAnsi="inherit"/>
                <w:color w:val="FF3333"/>
                <w:sz w:val="20"/>
                <w:szCs w:val="20"/>
              </w:rPr>
              <w:t>How would you like to send us a copy of the court order?</w:t>
            </w:r>
            <w:r>
              <w:rPr>
                <w:rFonts w:eastAsia="Times New Roman" w:cs="Segoe UI" w:ascii="inherit" w:hAnsi="inherit"/>
                <w:color w:val="00FF66"/>
                <w:sz w:val="20"/>
                <w:szCs w:val="20"/>
              </w:rPr>
              <w:t xml:space="preserve"> </w:t>
            </w:r>
            <w:r>
              <w:rPr>
                <w:rFonts w:eastAsia="Times New Roman" w:cs="Segoe UI" w:ascii="inherit" w:hAnsi="inherit"/>
                <w:color w:val="00CC33"/>
                <w:sz w:val="20"/>
                <w:szCs w:val="20"/>
              </w:rPr>
              <w:t>-What are the options?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444444"/>
                <w:sz w:val="20"/>
                <w:szCs w:val="20"/>
              </w:rPr>
              <w:t>The Person that Owes You Money</w:t>
            </w:r>
          </w:p>
          <w:p>
            <w:pPr>
              <w:pStyle w:val="Normal"/>
              <w:numPr>
                <w:ilvl w:val="0"/>
                <w:numId w:val="2"/>
              </w:numPr>
              <w:spacing w:lineRule="auto" w:line="240" w:beforeAutospacing="1" w:after="150"/>
              <w:ind w:left="0" w:hanging="360"/>
              <w:rPr>
                <w:color w:val="00CC33"/>
              </w:rPr>
            </w:pPr>
            <w:r>
              <w:rPr>
                <w:rFonts w:eastAsia="Times New Roman" w:cs="Segoe UI" w:ascii="inherit" w:hAnsi="inherit"/>
                <w:color w:val="00CC33"/>
                <w:sz w:val="20"/>
                <w:szCs w:val="20"/>
              </w:rPr>
              <w:t>-We already have fields on the person that owes money. Maybe merge these?</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785" cy="311785"/>
                            <wp:effectExtent l="0" t="0" r="0" b="0"/>
                            <wp:docPr id="75"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1785" cy="311785"/>
                            <wp:effectExtent l="0" t="0" r="0" b="0"/>
                            <wp:docPr id="76"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color w:val="800000"/>
              </w:rPr>
            </w:pPr>
            <w:r>
              <w:rPr>
                <w:rFonts w:eastAsia="Times New Roman" w:cs="Segoe UI" w:ascii="inherit" w:hAnsi="inherit"/>
                <w:color w:val="800000"/>
                <w:sz w:val="17"/>
                <w:szCs w:val="17"/>
              </w:rPr>
              <w:t>5 of 8 items shown. Edit field to view all</w:t>
            </w:r>
          </w:p>
          <w:p>
            <w:pPr>
              <w:pStyle w:val="Normal"/>
              <w:numPr>
                <w:ilvl w:val="1"/>
                <w:numId w:val="2"/>
              </w:numPr>
              <w:spacing w:lineRule="auto" w:line="240" w:beforeAutospacing="1" w:after="90"/>
              <w:ind w:left="0" w:hanging="360"/>
              <w:rPr>
                <w:color w:val="00CC33"/>
              </w:rPr>
            </w:pPr>
            <w:r>
              <w:rPr>
                <w:rFonts w:eastAsia="Times New Roman" w:cs="Segoe UI" w:ascii="inherit" w:hAnsi="inherit"/>
                <w:color w:val="00CC33"/>
                <w:sz w:val="17"/>
                <w:szCs w:val="17"/>
              </w:rPr>
              <w:t>-Need all options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1" w:name="_GoBack"/>
            <w:bookmarkStart w:id="2" w:name="_GoBack"/>
            <w:bookmarkEnd w:id="2"/>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11785" cy="311785"/>
                            <wp:effectExtent l="0" t="0" r="0" b="0"/>
                            <wp:docPr id="127"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11785" cy="311785"/>
                            <wp:effectExtent l="0" t="0" r="0" b="0"/>
                            <wp:docPr id="128"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Petitioner? - </w:t>
      </w:r>
      <w:r>
        <w:rPr>
          <w:rFonts w:ascii="arial;sans-serif" w:hAnsi="arial;sans-serif"/>
          <w:b w:val="false"/>
          <w:i w:val="false"/>
          <w:caps w:val="false"/>
          <w:smallCaps w:val="false"/>
          <w:color w:val="222222"/>
          <w:spacing w:val="0"/>
          <w:sz w:val="20"/>
        </w:rPr>
        <w:t>same as client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Respondent?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Circuit? </w:t>
      </w:r>
      <w:r>
        <w:rPr>
          <w:rFonts w:ascii="arial;sans-serif" w:hAnsi="arial;sans-serif"/>
          <w:b w:val="false"/>
          <w:i w:val="false"/>
          <w:caps w:val="false"/>
          <w:smallCaps w:val="false"/>
          <w:color w:val="222222"/>
          <w:spacing w:val="0"/>
          <w:sz w:val="20"/>
        </w:rPr>
        <w:t>Do we have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Drivers license number of Payor -</w:t>
      </w:r>
      <w:r>
        <w:rPr>
          <w:rFonts w:ascii="arial;sans-serif" w:hAnsi="arial;sans-serif"/>
          <w:b w:val="false"/>
          <w:i w:val="false"/>
          <w:caps w:val="false"/>
          <w:smallCaps w:val="false"/>
          <w:color w:val="222222"/>
          <w:spacing w:val="0"/>
          <w:sz w:val="20"/>
        </w:rPr>
        <w:t>owes money license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owes money</w:t>
      </w:r>
      <w:r>
        <w:rPr>
          <w:rFonts w:ascii="arial;sans-serif" w:hAnsi="arial;sans-serif"/>
          <w:b w:val="false"/>
          <w:i w:val="false"/>
          <w:caps w:val="false"/>
          <w:smallCaps w:val="false"/>
          <w:color w:val="222222"/>
          <w:spacing w:val="0"/>
          <w:sz w:val="20"/>
        </w:rPr>
        <w:t xml:space="preserve"> employer address and telephone number?</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Owes money</w:t>
      </w:r>
      <w:r>
        <w:rPr>
          <w:rFonts w:ascii="arial;sans-serif" w:hAnsi="arial;sans-serif"/>
          <w:b w:val="false"/>
          <w:i w:val="false"/>
          <w:caps w:val="false"/>
          <w:smallCaps w:val="false"/>
          <w:color w:val="222222"/>
          <w:spacing w:val="0"/>
          <w:sz w:val="20"/>
        </w:rPr>
        <w:t xml:space="preserve"> professional license?</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Is </w:t>
      </w:r>
      <w:r>
        <w:rPr>
          <w:rFonts w:ascii="arial;sans-serif" w:hAnsi="arial;sans-serif"/>
          <w:b w:val="false"/>
          <w:i w:val="false"/>
          <w:caps w:val="false"/>
          <w:smallCaps w:val="false"/>
          <w:color w:val="222222"/>
          <w:spacing w:val="0"/>
          <w:sz w:val="20"/>
        </w:rPr>
        <w:t>owes money</w:t>
      </w:r>
      <w:r>
        <w:rPr>
          <w:rFonts w:ascii="arial;sans-serif" w:hAnsi="arial;sans-serif"/>
          <w:b w:val="false"/>
          <w:i w:val="false"/>
          <w:caps w:val="false"/>
          <w:smallCaps w:val="false"/>
          <w:color w:val="222222"/>
          <w:spacing w:val="0"/>
          <w:sz w:val="20"/>
        </w:rPr>
        <w:t xml:space="preserve"> represented by counsel?</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Does </w:t>
      </w:r>
      <w:r>
        <w:rPr>
          <w:rFonts w:ascii="arial;sans-serif" w:hAnsi="arial;sans-serif"/>
          <w:b w:val="false"/>
          <w:i w:val="false"/>
          <w:caps w:val="false"/>
          <w:smallCaps w:val="false"/>
          <w:color w:val="222222"/>
          <w:spacing w:val="0"/>
          <w:sz w:val="20"/>
        </w:rPr>
        <w:t>owes money</w:t>
      </w:r>
      <w:r>
        <w:rPr>
          <w:rFonts w:ascii="arial;sans-serif" w:hAnsi="arial;sans-serif"/>
          <w:b w:val="false"/>
          <w:i w:val="false"/>
          <w:caps w:val="false"/>
          <w:smallCaps w:val="false"/>
          <w:color w:val="222222"/>
          <w:spacing w:val="0"/>
          <w:sz w:val="20"/>
        </w:rPr>
        <w:t xml:space="preserve"> own any assets?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-Social Security number - </w:t>
      </w:r>
      <w:r>
        <w:rPr>
          <w:rFonts w:ascii="arial;sans-serif" w:hAnsi="arial;sans-serif"/>
          <w:b w:val="false"/>
          <w:i w:val="false"/>
          <w:caps w:val="false"/>
          <w:smallCaps w:val="false"/>
          <w:color w:val="222222"/>
          <w:spacing w:val="0"/>
          <w:sz w:val="20"/>
        </w:rPr>
        <w:t>add</w:t>
      </w:r>
    </w:p>
    <w:p>
      <w:pPr>
        <w:pStyle w:val="TextBody"/>
        <w:widowControl/>
        <w:spacing w:before="0" w:after="0"/>
        <w:ind w:left="0" w:right="0" w:hanging="0"/>
        <w:rPr/>
      </w:pPr>
      <w:r>
        <w:rPr>
          <w:rFonts w:ascii="arial;sans-serif" w:hAnsi="arial;sans-serif"/>
          <w:b w:val="false"/>
          <w:i w:val="false"/>
          <w:caps w:val="false"/>
          <w:smallCaps w:val="false"/>
          <w:color w:val="222222"/>
          <w:spacing w:val="0"/>
          <w:sz w:val="20"/>
        </w:rPr>
        <w:t xml:space="preserve">-date of emancipation - </w:t>
      </w:r>
      <w:r>
        <w:rPr>
          <w:rFonts w:ascii="arial;sans-serif" w:hAnsi="arial;sans-serif"/>
          <w:b w:val="false"/>
          <w:i w:val="false"/>
          <w:caps w:val="false"/>
          <w:smallCaps w:val="false"/>
          <w:color w:val="222222"/>
          <w:spacing w:val="0"/>
          <w:sz w:val="20"/>
        </w:rPr>
        <w:t>add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child support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inherit" w:hAnsi="inherit" w:cs="Symbol"/>
      <w:b/>
      <w:sz w:val="21"/>
    </w:rPr>
  </w:style>
  <w:style w:type="character" w:styleId="ListLabel56">
    <w:name w:val="ListLabel 56"/>
    <w:qFormat/>
    <w:rPr>
      <w:rFonts w:ascii="inherit" w:hAnsi="inherit" w:cs="Courier New"/>
      <w:sz w:val="21"/>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inherit" w:hAnsi="inherit" w:cs="Symbol"/>
      <w:b/>
      <w:sz w:val="20"/>
    </w:rPr>
  </w:style>
  <w:style w:type="character" w:styleId="ListLabel65">
    <w:name w:val="ListLabel 65"/>
    <w:qFormat/>
    <w:rPr>
      <w:rFonts w:ascii="inherit" w:hAnsi="inherit"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inherit" w:hAnsi="inherit" w:cs="Symbol"/>
      <w:b/>
      <w:sz w:val="21"/>
    </w:rPr>
  </w:style>
  <w:style w:type="character" w:styleId="ListLabel74">
    <w:name w:val="ListLabel 74"/>
    <w:qFormat/>
    <w:rPr>
      <w:rFonts w:ascii="inherit" w:hAnsi="inherit" w:cs="Courier New"/>
      <w:sz w:val="21"/>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inherit" w:hAnsi="inherit" w:cs="Symbol"/>
      <w:b/>
      <w:sz w:val="20"/>
    </w:rPr>
  </w:style>
  <w:style w:type="character" w:styleId="ListLabel83">
    <w:name w:val="ListLabel 83"/>
    <w:qFormat/>
    <w:rPr>
      <w:rFonts w:ascii="inherit" w:hAnsi="inherit"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inherit" w:hAnsi="inherit" w:cs="Symbol"/>
      <w:b/>
      <w:sz w:val="21"/>
    </w:rPr>
  </w:style>
  <w:style w:type="character" w:styleId="ListLabel92">
    <w:name w:val="ListLabel 92"/>
    <w:qFormat/>
    <w:rPr>
      <w:rFonts w:ascii="inherit" w:hAnsi="inherit" w:cs="Courier New"/>
      <w:sz w:val="21"/>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inherit" w:hAnsi="inherit" w:cs="Symbol"/>
      <w:b/>
      <w:sz w:val="20"/>
    </w:rPr>
  </w:style>
  <w:style w:type="character" w:styleId="ListLabel101">
    <w:name w:val="ListLabel 101"/>
    <w:qFormat/>
    <w:rPr>
      <w:rFonts w:ascii="inherit" w:hAnsi="inherit"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inherit" w:hAnsi="inherit" w:cs="Symbol"/>
      <w:b/>
      <w:sz w:val="21"/>
    </w:rPr>
  </w:style>
  <w:style w:type="character" w:styleId="ListLabel110">
    <w:name w:val="ListLabel 110"/>
    <w:qFormat/>
    <w:rPr>
      <w:rFonts w:ascii="inherit" w:hAnsi="inherit" w:cs="Courier New"/>
      <w:sz w:val="21"/>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inherit" w:hAnsi="inherit" w:cs="Symbol"/>
      <w:b/>
      <w:sz w:val="20"/>
    </w:rPr>
  </w:style>
  <w:style w:type="character" w:styleId="ListLabel119">
    <w:name w:val="ListLabel 119"/>
    <w:qFormat/>
    <w:rPr>
      <w:rFonts w:ascii="inherit" w:hAnsi="inherit"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Application>LibreOffice/5.1.6.2$Linux_X86_64 LibreOffice_project/10m0$Build-2</Application>
  <Pages>20</Pages>
  <Words>4508</Words>
  <Characters>22289</Characters>
  <CharactersWithSpaces>26547</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2018-04-11T13:18:01Z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