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Decree of Zau al-Makan Concerning the Silk Road Tariff</w:t>
      </w:r>
    </w:p>
    <w:p>
      <w:r>
        <w:t>Year 717</w:t>
      </w:r>
    </w:p>
    <w:p>
      <w:r>
        <w:t>In the year 717, in the season following the lifting of the siege, I, Zau al-Makan, son of Omar bin al-Nu'uman, do proclaim this decree to all caravan-masters and tax-collectors of the realm.</w:t>
      </w:r>
    </w:p>
    <w:p>
      <w:r>
        <w:t>Whereas the guild known as Djinn-Forged Ironworks did furnish arms and siege-engines to the defenders of the Oasis of Whispering Sands without delay or excess price, and whereas their smiths labored through three winters without rest,</w:t>
      </w:r>
    </w:p>
    <w:p>
      <w:r>
        <w:t>Let it be known that the caravan tariff upon all iron and steel goods carried by Djinn-Forged Ironworks through the Peak of the Sleeping Djinn shall be reduced from the customary twelve parts in one hundred to but four parts in one hundred, for a term of five years from this decree.</w:t>
      </w:r>
    </w:p>
    <w:p>
      <w:r>
        <w:t>This exemption applies to no other guild, and may be revoked should the Ironworks fail to supply the royal armories in time of need.</w:t>
      </w:r>
    </w:p>
    <w:p>
      <w:r>
        <w:t>Sealed in the hall of the Oasis of Whispering Sands, by order of Zau al-Makan.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