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Pr>
      <w:r>
        <w:rPr>
          <w:rFonts w:ascii="Calibri" w:hAnsi="Calibri"/>
          <w:b/>
          <w:i w:val="0"/>
          <w:color w:val="0B2545"/>
          <w:sz w:val="46"/>
        </w:rPr>
        <w:t>iOS ADE Enrolment Policy Migration</w:t>
      </w:r>
    </w:p>
    <w:p>
      <w:pPr>
        <w:spacing w:after="320"/>
      </w:pPr>
      <w:r>
        <w:rPr>
          <w:rFonts w:ascii="Calibri" w:hAnsi="Calibri"/>
          <w:b w:val="0"/>
          <w:i w:val="0"/>
          <w:color w:val="5B6573"/>
          <w:sz w:val="27"/>
        </w:rPr>
        <w:t>Diagnosis, test plan and controlled implementation plan</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60" w:type="dxa"/>
              <w:start w:w="120" w:type="dxa"/>
              <w:bottom w:w="60" w:type="dxa"/>
              <w:end w:w="120" w:type="dxa"/>
            </w:tcMar>
            <w:tcBorders>
              <w:top w:val="single" w:sz="0" w:space="0" w:color="FFFFFF"/>
              <w:left w:val="single" w:sz="0" w:space="0" w:color="FFFFFF"/>
              <w:bottom w:val="single" w:sz="0" w:space="0" w:color="FFFFFF"/>
              <w:right w:val="single" w:sz="0" w:space="0" w:color="FFFFFF"/>
            </w:tcBorders>
            <w:vAlign w:val="center"/>
          </w:tcPr>
          <w:p>
            <w:pPr>
              <w:spacing w:after="0"/>
            </w:pPr>
            <w:r>
              <w:rPr>
                <w:rFonts w:ascii="Calibri" w:hAnsi="Calibri"/>
                <w:b/>
                <w:i w:val="0"/>
                <w:color w:val="5B6573"/>
                <w:sz w:val="18"/>
              </w:rPr>
              <w:t>Scope</w:t>
            </w:r>
          </w:p>
        </w:tc>
        <w:tc>
          <w:tcPr>
            <w:tcW w:type="dxa" w:w="4680"/>
            <w:tcMar>
              <w:top w:w="60" w:type="dxa"/>
              <w:start w:w="120" w:type="dxa"/>
              <w:bottom w:w="60" w:type="dxa"/>
              <w:end w:w="120" w:type="dxa"/>
            </w:tcMar>
            <w:tcBorders>
              <w:top w:val="single" w:sz="0" w:space="0" w:color="FFFFFF"/>
              <w:left w:val="single" w:sz="0" w:space="0" w:color="FFFFFF"/>
              <w:bottom w:val="single" w:sz="0" w:space="0" w:color="FFFFFF"/>
              <w:right w:val="single" w:sz="0" w:space="0" w:color="FFFFFF"/>
            </w:tcBorders>
            <w:vAlign w:val="center"/>
          </w:tcPr>
          <w:p>
            <w:pPr>
              <w:spacing w:after="0"/>
            </w:pPr>
            <w:r>
              <w:rPr>
                <w:rFonts w:ascii="Calibri" w:hAnsi="Calibri"/>
                <w:b w:val="0"/>
                <w:i w:val="0"/>
                <w:color w:val="000000"/>
                <w:sz w:val="20"/>
              </w:rPr>
              <w:t>iOS/iPadOS Automated Device Enrolment (ADE)</w:t>
            </w:r>
          </w:p>
        </w:tc>
      </w:tr>
      <w:tr>
        <w:tc>
          <w:tcPr>
            <w:tcW w:type="dxa" w:w="4680"/>
            <w:tcMar>
              <w:top w:w="60" w:type="dxa"/>
              <w:start w:w="120" w:type="dxa"/>
              <w:bottom w:w="60" w:type="dxa"/>
              <w:end w:w="120" w:type="dxa"/>
            </w:tcMar>
            <w:tcBorders>
              <w:top w:val="single" w:sz="0" w:space="0" w:color="FFFFFF"/>
              <w:left w:val="single" w:sz="0" w:space="0" w:color="FFFFFF"/>
              <w:bottom w:val="single" w:sz="0" w:space="0" w:color="FFFFFF"/>
              <w:right w:val="single" w:sz="0" w:space="0" w:color="FFFFFF"/>
            </w:tcBorders>
            <w:vAlign w:val="center"/>
          </w:tcPr>
          <w:p>
            <w:pPr>
              <w:spacing w:after="0"/>
            </w:pPr>
            <w:r>
              <w:rPr>
                <w:rFonts w:ascii="Calibri" w:hAnsi="Calibri"/>
                <w:b/>
                <w:i w:val="0"/>
                <w:color w:val="5B6573"/>
                <w:sz w:val="18"/>
              </w:rPr>
              <w:t>Purpose</w:t>
            </w:r>
          </w:p>
        </w:tc>
        <w:tc>
          <w:tcPr>
            <w:tcW w:type="dxa" w:w="4680"/>
            <w:tcMar>
              <w:top w:w="60" w:type="dxa"/>
              <w:start w:w="120" w:type="dxa"/>
              <w:bottom w:w="60" w:type="dxa"/>
              <w:end w:w="120" w:type="dxa"/>
            </w:tcMar>
            <w:tcBorders>
              <w:top w:val="single" w:sz="0" w:space="0" w:color="FFFFFF"/>
              <w:left w:val="single" w:sz="0" w:space="0" w:color="FFFFFF"/>
              <w:bottom w:val="single" w:sz="0" w:space="0" w:color="FFFFFF"/>
              <w:right w:val="single" w:sz="0" w:space="0" w:color="FFFFFF"/>
            </w:tcBorders>
            <w:vAlign w:val="center"/>
          </w:tcPr>
          <w:p>
            <w:pPr>
              <w:spacing w:after="0"/>
            </w:pPr>
            <w:r>
              <w:rPr>
                <w:rFonts w:ascii="Calibri" w:hAnsi="Calibri"/>
                <w:b w:val="0"/>
                <w:i w:val="0"/>
                <w:color w:val="000000"/>
                <w:sz w:val="20"/>
              </w:rPr>
              <w:t>Validate and migrate legacy Profiles to new Policies</w:t>
            </w:r>
          </w:p>
        </w:tc>
      </w:tr>
      <w:tr>
        <w:tc>
          <w:tcPr>
            <w:tcW w:type="dxa" w:w="4680"/>
            <w:tcMar>
              <w:top w:w="60" w:type="dxa"/>
              <w:start w:w="120" w:type="dxa"/>
              <w:bottom w:w="60" w:type="dxa"/>
              <w:end w:w="120" w:type="dxa"/>
            </w:tcMar>
            <w:tcBorders>
              <w:top w:val="single" w:sz="0" w:space="0" w:color="FFFFFF"/>
              <w:left w:val="single" w:sz="0" w:space="0" w:color="FFFFFF"/>
              <w:bottom w:val="single" w:sz="0" w:space="0" w:color="FFFFFF"/>
              <w:right w:val="single" w:sz="0" w:space="0" w:color="FFFFFF"/>
            </w:tcBorders>
            <w:vAlign w:val="center"/>
          </w:tcPr>
          <w:p>
            <w:pPr>
              <w:spacing w:after="0"/>
            </w:pPr>
            <w:r>
              <w:rPr>
                <w:rFonts w:ascii="Calibri" w:hAnsi="Calibri"/>
                <w:b/>
                <w:i w:val="0"/>
                <w:color w:val="5B6573"/>
                <w:sz w:val="18"/>
              </w:rPr>
              <w:t>Version</w:t>
            </w:r>
          </w:p>
        </w:tc>
        <w:tc>
          <w:tcPr>
            <w:tcW w:type="dxa" w:w="4680"/>
            <w:tcMar>
              <w:top w:w="60" w:type="dxa"/>
              <w:start w:w="120" w:type="dxa"/>
              <w:bottom w:w="60" w:type="dxa"/>
              <w:end w:w="120" w:type="dxa"/>
            </w:tcMar>
            <w:tcBorders>
              <w:top w:val="single" w:sz="0" w:space="0" w:color="FFFFFF"/>
              <w:left w:val="single" w:sz="0" w:space="0" w:color="FFFFFF"/>
              <w:bottom w:val="single" w:sz="0" w:space="0" w:color="FFFFFF"/>
              <w:right w:val="single" w:sz="0" w:space="0" w:color="FFFFFF"/>
            </w:tcBorders>
            <w:vAlign w:val="center"/>
          </w:tcPr>
          <w:p>
            <w:pPr>
              <w:spacing w:after="0"/>
            </w:pPr>
            <w:r>
              <w:rPr>
                <w:rFonts w:ascii="Calibri" w:hAnsi="Calibri"/>
                <w:b w:val="0"/>
                <w:i w:val="0"/>
                <w:color w:val="000000"/>
                <w:sz w:val="20"/>
              </w:rPr>
              <w:t>1.0 | 9 July 2026</w:t>
            </w:r>
          </w:p>
        </w:tc>
      </w:tr>
    </w:tbl>
    <w:p>
      <w:pPr>
        <w:spacing w:before="200" w:after="160"/>
        <w:pBdr>
          <w:bottom w:val="single" w:sz="12" w:space="5" w:color="2E74B5"/>
        </w:pBdr>
      </w:pPr>
    </w:p>
    <w:tbl>
      <w:tblPr>
        <w:tblW w:type="dxa" w:w="9360"/>
        <w:jc w:val="left"/>
        <w:tblLayout w:type="fixed"/>
        <w:tblLook w:firstColumn="1" w:firstRow="1" w:lastColumn="0" w:lastRow="0" w:noHBand="0" w:noVBand="1" w:val="04A0"/>
        <w:tblInd w:w="180" w:type="dxa"/>
      </w:tblPr>
      <w:tblGrid>
        <w:gridCol w:w="9360"/>
      </w:tblGrid>
      <w:tr>
        <w:tc>
          <w:tcPr>
            <w:tcW w:type="dxa" w:w="9360"/>
            <w:shd w:fill="EAF1F8" w:val="clear"/>
            <w:tcBorders>
              <w:top w:val="single" w:sz="8" w:space="0" w:color="B8CCE4"/>
              <w:left w:val="single" w:sz="8" w:space="0" w:color="B8CCE4"/>
              <w:bottom w:val="single" w:sz="8" w:space="0" w:color="B8CCE4"/>
              <w:right w:val="single" w:sz="8" w:space="0" w:color="B8CCE4"/>
            </w:tcBorders>
            <w:tcMar>
              <w:top w:w="130" w:type="dxa"/>
              <w:start w:w="180" w:type="dxa"/>
              <w:bottom w:w="130" w:type="dxa"/>
              <w:end w:w="180" w:type="dxa"/>
            </w:tcMar>
            <w:vAlign w:val="center"/>
          </w:tcPr>
          <w:p>
            <w:pPr>
              <w:spacing w:after="0"/>
            </w:pPr>
            <w:r>
              <w:rPr>
                <w:rFonts w:ascii="Calibri" w:hAnsi="Calibri"/>
                <w:b/>
                <w:i w:val="0"/>
                <w:color w:val="1F4D78"/>
                <w:sz w:val="20"/>
              </w:rPr>
              <w:t xml:space="preserve">KEY FINDING  </w:t>
            </w:r>
            <w:r>
              <w:rPr>
                <w:rFonts w:ascii="Calibri" w:hAnsi="Calibri"/>
                <w:b w:val="0"/>
                <w:i w:val="0"/>
                <w:color w:val="0B2545"/>
                <w:sz w:val="21"/>
              </w:rPr>
              <w:t>Changing the default enrolment Policy does not migrate serial numbers that remain assigned to a legacy Profile. Explicitly reassign test and production serials to the new Policy before wiping or activating them.</w:t>
            </w:r>
          </w:p>
        </w:tc>
      </w:tr>
    </w:tbl>
    <w:p>
      <w:pPr>
        <w:spacing w:after="80" w:before="0"/>
      </w:pPr>
    </w:p>
    <w:p>
      <w:pPr>
        <w:pStyle w:val="Heading1"/>
        <w:keepNext/>
      </w:pPr>
      <w:r>
        <w:rPr>
          <w:rFonts w:ascii="Calibri" w:hAnsi="Calibri"/>
          <w:b/>
          <w:i w:val="0"/>
          <w:color w:val="2E74B5"/>
          <w:sz w:val="32"/>
        </w:rPr>
        <w:t>1. Diagnosis and immediate remediation</w:t>
      </w:r>
    </w:p>
    <w:p>
      <w:pPr>
        <w:spacing w:after="120"/>
      </w:pPr>
      <w:r>
        <w:rPr>
          <w:rFonts w:ascii="Calibri" w:hAnsi="Calibri"/>
          <w:b w:val="0"/>
          <w:i w:val="0"/>
          <w:color w:val="000000"/>
          <w:sz w:val="22"/>
        </w:rPr>
        <w:t>The observed behaviour is consistent with a device serial number that remains assigned to a legacy Automated Device Enrolment (ADE) Profile. New iOS/iPadOS ADE Policies coexist with legacy Profiles, and existing Profile assignments are not moved automatically. The default Policy is selected per ADE token; it is not a tenant-wide replacement rule.</w:t>
      </w:r>
    </w:p>
    <w:tbl>
      <w:tblPr>
        <w:tblW w:type="dxa" w:w="9360"/>
        <w:jc w:val="left"/>
        <w:tblLayout w:type="fixed"/>
        <w:tblLook w:firstColumn="1" w:firstRow="1" w:lastColumn="0" w:lastRow="0" w:noHBand="0" w:noVBand="1" w:val="04A0"/>
        <w:tblInd w:w="180" w:type="dxa"/>
      </w:tblPr>
      <w:tblGrid>
        <w:gridCol w:w="9360"/>
      </w:tblGrid>
      <w:tr>
        <w:tc>
          <w:tcPr>
            <w:tcW w:type="dxa" w:w="9360"/>
            <w:shd w:fill="F2F4F7" w:val="clear"/>
            <w:tcBorders>
              <w:top w:val="single" w:sz="6" w:space="0" w:color="D7DDE5"/>
              <w:left w:val="single" w:sz="6" w:space="0" w:color="D7DDE5"/>
              <w:bottom w:val="single" w:sz="6" w:space="0" w:color="D7DDE5"/>
              <w:right w:val="single" w:sz="6" w:space="0" w:color="D7DDE5"/>
            </w:tcBorders>
            <w:tcMar>
              <w:top w:w="120" w:type="dxa"/>
              <w:start w:w="180" w:type="dxa"/>
              <w:bottom w:w="120" w:type="dxa"/>
              <w:end w:w="180" w:type="dxa"/>
            </w:tcMar>
          </w:tcPr>
          <w:p>
            <w:pPr>
              <w:spacing w:after="60"/>
            </w:pPr>
            <w:r>
              <w:rPr>
                <w:rFonts w:ascii="Calibri" w:hAnsi="Calibri"/>
                <w:b/>
                <w:i w:val="0"/>
                <w:color w:val="1F4D78"/>
                <w:sz w:val="20"/>
              </w:rPr>
              <w:t>Policy selection at activation</w:t>
            </w:r>
          </w:p>
          <w:p>
            <w:pPr>
              <w:spacing w:after="40"/>
              <w:ind w:left="360" w:hanging="230"/>
            </w:pPr>
            <w:r>
              <w:rPr>
                <w:rFonts w:ascii="Calibri" w:hAnsi="Calibri"/>
                <w:b w:val="0"/>
                <w:i w:val="0"/>
                <w:color w:val="0B2545"/>
                <w:sz w:val="20"/>
              </w:rPr>
              <w:t>Apple device serial -&gt; Apple Business Manager / Apple School Manager MDM server -&gt; Intune ADE token</w:t>
            </w:r>
          </w:p>
          <w:p>
            <w:pPr>
              <w:spacing w:after="40"/>
              <w:ind w:left="360" w:hanging="230"/>
            </w:pPr>
            <w:r>
              <w:rPr>
                <w:rFonts w:ascii="Calibri" w:hAnsi="Calibri"/>
                <w:b w:val="0"/>
                <w:i w:val="0"/>
                <w:color w:val="0B2545"/>
                <w:sz w:val="20"/>
              </w:rPr>
              <w:t>Explicit serial assignment -&gt; the assigned legacy Profile or new Policy is used.</w:t>
            </w:r>
          </w:p>
          <w:p>
            <w:pPr>
              <w:spacing w:after="40"/>
              <w:ind w:left="360" w:hanging="230"/>
            </w:pPr>
            <w:r>
              <w:rPr>
                <w:rFonts w:ascii="Calibri" w:hAnsi="Calibri"/>
                <w:b w:val="0"/>
                <w:i w:val="0"/>
                <w:color w:val="0B2545"/>
                <w:sz w:val="20"/>
              </w:rPr>
              <w:t>No explicit serial assignment -&gt; the default Policy for that ADE token is used.</w:t>
            </w:r>
          </w:p>
        </w:tc>
      </w:tr>
    </w:tbl>
    <w:p>
      <w:pPr>
        <w:spacing w:after="40"/>
      </w:pPr>
    </w:p>
    <w:p>
      <w:pPr>
        <w:pStyle w:val="Heading2"/>
        <w:keepNext/>
      </w:pPr>
      <w:r>
        <w:rPr>
          <w:rFonts w:ascii="Calibri" w:hAnsi="Calibri"/>
          <w:b/>
          <w:i w:val="0"/>
          <w:color w:val="2E74B5"/>
          <w:sz w:val="26"/>
        </w:rPr>
        <w:t>Immediate remediation steps</w:t>
      </w:r>
    </w:p>
    <w:p>
      <w:pPr>
        <w:pStyle w:val="ListNumber"/>
        <w:spacing w:after="80" w:line="280" w:lineRule="auto"/>
        <w:ind w:left="720" w:hanging="360"/>
      </w:pPr>
      <w:r>
        <w:rPr>
          <w:rFonts w:ascii="Calibri" w:hAnsi="Calibri"/>
          <w:b w:val="0"/>
          <w:i w:val="0"/>
          <w:color w:val="000000"/>
          <w:sz w:val="22"/>
        </w:rPr>
        <w:t>Open the ADE token that owns the test device: Devices &gt; Enrolment &gt; Apple &gt; Enrolment program tokens &gt; [token] &gt; Devices.</w:t>
      </w:r>
    </w:p>
    <w:p>
      <w:pPr>
        <w:pStyle w:val="ListNumber"/>
        <w:spacing w:after="80" w:line="280" w:lineRule="auto"/>
        <w:ind w:left="720" w:hanging="360"/>
      </w:pPr>
      <w:r>
        <w:rPr>
          <w:rFonts w:ascii="Calibri" w:hAnsi="Calibri"/>
          <w:b w:val="0"/>
          <w:i w:val="0"/>
          <w:color w:val="000000"/>
          <w:sz w:val="22"/>
        </w:rPr>
        <w:t>Search for the device serial number and confirm it is assigned to the expected Apple Business Manager or Apple School Manager MDM server and Intune ADE token.</w:t>
      </w:r>
    </w:p>
    <w:p>
      <w:pPr>
        <w:pStyle w:val="ListNumber"/>
        <w:spacing w:after="80" w:line="280" w:lineRule="auto"/>
        <w:ind w:left="720" w:hanging="360"/>
      </w:pPr>
      <w:r>
        <w:rPr>
          <w:rFonts w:ascii="Calibri" w:hAnsi="Calibri"/>
          <w:b w:val="0"/>
          <w:i w:val="0"/>
          <w:color w:val="000000"/>
          <w:sz w:val="22"/>
        </w:rPr>
        <w:t>From Enrolment policies &gt; [new Policy] &gt; Devices, select the exact serial number and choose Assign policy.</w:t>
      </w:r>
    </w:p>
    <w:p>
      <w:pPr>
        <w:pStyle w:val="ListNumber"/>
        <w:spacing w:after="80" w:line="280" w:lineRule="auto"/>
        <w:ind w:left="720" w:hanging="360"/>
      </w:pPr>
      <w:r>
        <w:rPr>
          <w:rFonts w:ascii="Calibri" w:hAnsi="Calibri"/>
          <w:b w:val="0"/>
          <w:i w:val="0"/>
          <w:color w:val="000000"/>
          <w:sz w:val="22"/>
        </w:rPr>
        <w:t>Confirm the new Policy lists the serial and the legacy Profile no longer lists it. Sync the token and wait for the assignment to be visible in Intune.</w:t>
      </w:r>
    </w:p>
    <w:p>
      <w:pPr>
        <w:pStyle w:val="ListNumber"/>
        <w:spacing w:after="80" w:line="280" w:lineRule="auto"/>
        <w:ind w:left="720" w:hanging="360"/>
      </w:pPr>
      <w:r>
        <w:rPr>
          <w:rFonts w:ascii="Calibri" w:hAnsi="Calibri"/>
          <w:b w:val="0"/>
          <w:i w:val="0"/>
          <w:color w:val="000000"/>
          <w:sz w:val="22"/>
        </w:rPr>
        <w:t>Factory-reset only after the server-side policy assignment is confirmed, then activate the device on a reliable network.</w:t>
      </w:r>
    </w:p>
    <w:p>
      <w:pPr>
        <w:spacing w:after="40"/>
      </w:pPr>
      <w:r>
        <w:rPr>
          <w:rFonts w:ascii="Calibri" w:hAnsi="Calibri"/>
          <w:b w:val="0"/>
          <w:i w:val="0"/>
          <w:color w:val="000000"/>
          <w:sz w:val="22"/>
        </w:rPr>
        <w:t>Do not release the device from Apple Business Manager or Apple School Manager merely to change enrolment Policy. The required action is the serial-number policy reassignment in Intune.</w:t>
      </w:r>
    </w:p>
    <w:p>
      <w:pPr>
        <w:pStyle w:val="Heading1"/>
        <w:keepNext/>
      </w:pPr>
      <w:r>
        <w:rPr>
          <w:rFonts w:ascii="Calibri" w:hAnsi="Calibri"/>
          <w:b/>
          <w:i w:val="0"/>
          <w:color w:val="2E74B5"/>
          <w:sz w:val="32"/>
        </w:rPr>
        <w:t>2. Test plan</w:t>
      </w:r>
    </w:p>
    <w:p>
      <w:pPr>
        <w:spacing w:after="120"/>
      </w:pPr>
      <w:r>
        <w:rPr>
          <w:rFonts w:ascii="Calibri" w:hAnsi="Calibri"/>
          <w:b w:val="0"/>
          <w:i w:val="0"/>
          <w:color w:val="000000"/>
          <w:sz w:val="22"/>
        </w:rPr>
        <w:t>Use dedicated test devices and complete each test against the same ADE token and device persona that will be used in production. Keep the legacy Profile available until rollback has been demonstrated.</w:t>
      </w:r>
    </w:p>
    <w:tbl>
      <w:tblPr>
        <w:tblW w:type="dxa" w:w="9360"/>
        <w:jc w:val="left"/>
        <w:tblLayout w:type="fixed"/>
        <w:tblLook w:firstColumn="1" w:firstRow="1" w:lastColumn="0" w:lastRow="0" w:noHBand="0" w:noVBand="1" w:val="04A0"/>
        <w:tblInd w:w="120" w:type="dxa"/>
      </w:tblPr>
      <w:tblGrid>
        <w:gridCol w:w="1700"/>
        <w:gridCol w:w="4580"/>
        <w:gridCol w:w="3080"/>
      </w:tblGrid>
      <w:tr>
        <w:trPr>
          <w:tblHeader w:val="true"/>
        </w:trPr>
        <w:tc>
          <w:tcPr>
            <w:tcW w:type="dxa" w:w="1700"/>
            <w:shd w:fill="F2F4F7" w:val="clear"/>
            <w:tcBorders>
              <w:top w:val="single" w:sz="6" w:space="0" w:color="D7DDE5"/>
              <w:left w:val="single" w:sz="6" w:space="0" w:color="D7DDE5"/>
              <w:bottom w:val="single" w:sz="6" w:space="0" w:color="D7DDE5"/>
              <w:right w:val="single" w:sz="6" w:space="0" w:color="D7DDE5"/>
            </w:tcBorders>
            <w:tcMar>
              <w:top w:w="80" w:type="dxa"/>
              <w:start w:w="120" w:type="dxa"/>
              <w:bottom w:w="80" w:type="dxa"/>
              <w:end w:w="120" w:type="dxa"/>
            </w:tcMar>
            <w:vAlign w:val="center"/>
          </w:tcPr>
          <w:p>
            <w:pPr>
              <w:spacing w:after="0"/>
              <w:jc w:val="left"/>
            </w:pPr>
            <w:r/>
            <w:r>
              <w:rPr>
                <w:rFonts w:ascii="Calibri" w:hAnsi="Calibri"/>
                <w:b/>
                <w:i w:val="0"/>
                <w:color w:val="1F4D78"/>
                <w:sz w:val="18"/>
              </w:rPr>
              <w:t>Test</w:t>
            </w:r>
          </w:p>
        </w:tc>
        <w:tc>
          <w:tcPr>
            <w:tcW w:type="dxa" w:w="4580"/>
            <w:shd w:fill="F2F4F7" w:val="clear"/>
            <w:tcBorders>
              <w:top w:val="single" w:sz="6" w:space="0" w:color="D7DDE5"/>
              <w:left w:val="single" w:sz="6" w:space="0" w:color="D7DDE5"/>
              <w:bottom w:val="single" w:sz="6" w:space="0" w:color="D7DDE5"/>
              <w:right w:val="single" w:sz="6" w:space="0" w:color="D7DDE5"/>
            </w:tcBorders>
            <w:tcMar>
              <w:top w:w="80" w:type="dxa"/>
              <w:start w:w="120" w:type="dxa"/>
              <w:bottom w:w="80" w:type="dxa"/>
              <w:end w:w="120" w:type="dxa"/>
            </w:tcMar>
            <w:vAlign w:val="center"/>
          </w:tcPr>
          <w:p>
            <w:pPr>
              <w:spacing w:after="0"/>
              <w:jc w:val="left"/>
            </w:pPr>
            <w:r/>
            <w:r>
              <w:rPr>
                <w:rFonts w:ascii="Calibri" w:hAnsi="Calibri"/>
                <w:b/>
                <w:i w:val="0"/>
                <w:color w:val="1F4D78"/>
                <w:sz w:val="18"/>
              </w:rPr>
              <w:t>Action</w:t>
            </w:r>
          </w:p>
        </w:tc>
        <w:tc>
          <w:tcPr>
            <w:tcW w:type="dxa" w:w="3080"/>
            <w:shd w:fill="F2F4F7" w:val="clear"/>
            <w:tcBorders>
              <w:top w:val="single" w:sz="6" w:space="0" w:color="D7DDE5"/>
              <w:left w:val="single" w:sz="6" w:space="0" w:color="D7DDE5"/>
              <w:bottom w:val="single" w:sz="6" w:space="0" w:color="D7DDE5"/>
              <w:right w:val="single" w:sz="6" w:space="0" w:color="D7DDE5"/>
            </w:tcBorders>
            <w:tcMar>
              <w:top w:w="80" w:type="dxa"/>
              <w:start w:w="120" w:type="dxa"/>
              <w:bottom w:w="80" w:type="dxa"/>
              <w:end w:w="120" w:type="dxa"/>
            </w:tcMar>
            <w:vAlign w:val="center"/>
          </w:tcPr>
          <w:p>
            <w:pPr>
              <w:spacing w:after="0"/>
              <w:jc w:val="left"/>
            </w:pPr>
            <w:r/>
            <w:r>
              <w:rPr>
                <w:rFonts w:ascii="Calibri" w:hAnsi="Calibri"/>
                <w:b/>
                <w:i w:val="0"/>
                <w:color w:val="1F4D78"/>
                <w:sz w:val="18"/>
              </w:rPr>
              <w:t>Pass criterion</w:t>
            </w:r>
          </w:p>
        </w:tc>
      </w:tr>
      <w:tr>
        <w:tc>
          <w:tcPr>
            <w:tcW w:type="dxa" w:w="1700"/>
            <w:tcBorders>
              <w:top w:val="single" w:sz="6" w:space="0" w:color="D7DDE5"/>
              <w:left w:val="single" w:sz="6" w:space="0" w:color="D7DDE5"/>
              <w:bottom w:val="single" w:sz="6" w:space="0" w:color="D7DDE5"/>
              <w:right w:val="single" w:sz="6" w:space="0" w:color="D7DDE5"/>
            </w:tcBorders>
            <w:tcMar>
              <w:top w:w="90" w:type="dxa"/>
              <w:start w:w="120" w:type="dxa"/>
              <w:bottom w:w="90" w:type="dxa"/>
              <w:end w:w="120" w:type="dxa"/>
            </w:tcMar>
            <w:vAlign w:val="center"/>
          </w:tcPr>
          <w:p>
            <w:pPr>
              <w:spacing w:after="0" w:line="252" w:lineRule="auto"/>
            </w:pPr>
            <w:r>
              <w:rPr>
                <w:rFonts w:ascii="Calibri" w:hAnsi="Calibri"/>
                <w:b/>
                <w:i w:val="0"/>
                <w:color w:val="000000"/>
                <w:sz w:val="17"/>
              </w:rPr>
              <w:t>1. Baseline</w:t>
            </w:r>
          </w:p>
        </w:tc>
        <w:tc>
          <w:tcPr>
            <w:tcW w:type="dxa" w:w="4580"/>
            <w:tcBorders>
              <w:top w:val="single" w:sz="6" w:space="0" w:color="D7DDE5"/>
              <w:left w:val="single" w:sz="6" w:space="0" w:color="D7DDE5"/>
              <w:bottom w:val="single" w:sz="6" w:space="0" w:color="D7DDE5"/>
              <w:right w:val="single" w:sz="6" w:space="0" w:color="D7DDE5"/>
            </w:tcBorders>
            <w:tcMar>
              <w:top w:w="90" w:type="dxa"/>
              <w:start w:w="120" w:type="dxa"/>
              <w:bottom w:w="90" w:type="dxa"/>
              <w:end w:w="120" w:type="dxa"/>
            </w:tcMar>
            <w:vAlign w:val="center"/>
          </w:tcPr>
          <w:p>
            <w:pPr>
              <w:spacing w:after="0" w:line="252" w:lineRule="auto"/>
            </w:pPr>
            <w:r>
              <w:rPr>
                <w:rFonts w:ascii="Calibri" w:hAnsi="Calibri"/>
                <w:b w:val="0"/>
                <w:i w:val="0"/>
                <w:color w:val="000000"/>
                <w:sz w:val="17"/>
              </w:rPr>
              <w:t>Capture the test serial, ABM/ASM MDM server, ADE token, legacy Profile, authentication method and key settings.</w:t>
            </w:r>
          </w:p>
        </w:tc>
        <w:tc>
          <w:tcPr>
            <w:tcW w:type="dxa" w:w="3080"/>
            <w:tcBorders>
              <w:top w:val="single" w:sz="6" w:space="0" w:color="D7DDE5"/>
              <w:left w:val="single" w:sz="6" w:space="0" w:color="D7DDE5"/>
              <w:bottom w:val="single" w:sz="6" w:space="0" w:color="D7DDE5"/>
              <w:right w:val="single" w:sz="6" w:space="0" w:color="D7DDE5"/>
            </w:tcBorders>
            <w:tcMar>
              <w:top w:w="90" w:type="dxa"/>
              <w:start w:w="120" w:type="dxa"/>
              <w:bottom w:w="90" w:type="dxa"/>
              <w:end w:w="120" w:type="dxa"/>
            </w:tcMar>
            <w:vAlign w:val="center"/>
          </w:tcPr>
          <w:p>
            <w:pPr>
              <w:spacing w:after="0" w:line="252" w:lineRule="auto"/>
            </w:pPr>
            <w:r>
              <w:rPr>
                <w:rFonts w:ascii="Calibri" w:hAnsi="Calibri"/>
                <w:b w:val="0"/>
                <w:i w:val="0"/>
                <w:color w:val="000000"/>
                <w:sz w:val="17"/>
              </w:rPr>
              <w:t>The current assignment is visible and documented.</w:t>
            </w:r>
          </w:p>
        </w:tc>
      </w:tr>
      <w:tr>
        <w:tc>
          <w:tcPr>
            <w:tcW w:type="dxa" w:w="1700"/>
            <w:tcBorders>
              <w:top w:val="single" w:sz="6" w:space="0" w:color="D7DDE5"/>
              <w:left w:val="single" w:sz="6" w:space="0" w:color="D7DDE5"/>
              <w:bottom w:val="single" w:sz="6" w:space="0" w:color="D7DDE5"/>
              <w:right w:val="single" w:sz="6" w:space="0" w:color="D7DDE5"/>
            </w:tcBorders>
            <w:tcMar>
              <w:top w:w="90" w:type="dxa"/>
              <w:start w:w="120" w:type="dxa"/>
              <w:bottom w:w="90" w:type="dxa"/>
              <w:end w:w="120" w:type="dxa"/>
            </w:tcMar>
            <w:vAlign w:val="center"/>
          </w:tcPr>
          <w:p>
            <w:pPr>
              <w:spacing w:after="0" w:line="252" w:lineRule="auto"/>
            </w:pPr>
            <w:r>
              <w:rPr>
                <w:rFonts w:ascii="Calibri" w:hAnsi="Calibri"/>
                <w:b/>
                <w:i w:val="0"/>
                <w:color w:val="000000"/>
                <w:sz w:val="17"/>
              </w:rPr>
              <w:t>2. Direct migration</w:t>
            </w:r>
          </w:p>
        </w:tc>
        <w:tc>
          <w:tcPr>
            <w:tcW w:type="dxa" w:w="4580"/>
            <w:tcBorders>
              <w:top w:val="single" w:sz="6" w:space="0" w:color="D7DDE5"/>
              <w:left w:val="single" w:sz="6" w:space="0" w:color="D7DDE5"/>
              <w:bottom w:val="single" w:sz="6" w:space="0" w:color="D7DDE5"/>
              <w:right w:val="single" w:sz="6" w:space="0" w:color="D7DDE5"/>
            </w:tcBorders>
            <w:tcMar>
              <w:top w:w="90" w:type="dxa"/>
              <w:start w:w="120" w:type="dxa"/>
              <w:bottom w:w="90" w:type="dxa"/>
              <w:end w:w="120" w:type="dxa"/>
            </w:tcMar>
            <w:vAlign w:val="center"/>
          </w:tcPr>
          <w:p>
            <w:pPr>
              <w:spacing w:after="0" w:line="252" w:lineRule="auto"/>
            </w:pPr>
            <w:r>
              <w:rPr>
                <w:rFonts w:ascii="Calibri" w:hAnsi="Calibri"/>
                <w:b w:val="0"/>
                <w:i w:val="0"/>
                <w:color w:val="000000"/>
                <w:sz w:val="17"/>
              </w:rPr>
              <w:t>Assign the exact serial to the new Policy from the Policy Devices tab, then sync the token.</w:t>
            </w:r>
          </w:p>
        </w:tc>
        <w:tc>
          <w:tcPr>
            <w:tcW w:type="dxa" w:w="3080"/>
            <w:tcBorders>
              <w:top w:val="single" w:sz="6" w:space="0" w:color="D7DDE5"/>
              <w:left w:val="single" w:sz="6" w:space="0" w:color="D7DDE5"/>
              <w:bottom w:val="single" w:sz="6" w:space="0" w:color="D7DDE5"/>
              <w:right w:val="single" w:sz="6" w:space="0" w:color="D7DDE5"/>
            </w:tcBorders>
            <w:tcMar>
              <w:top w:w="90" w:type="dxa"/>
              <w:start w:w="120" w:type="dxa"/>
              <w:bottom w:w="90" w:type="dxa"/>
              <w:end w:w="120" w:type="dxa"/>
            </w:tcMar>
            <w:vAlign w:val="center"/>
          </w:tcPr>
          <w:p>
            <w:pPr>
              <w:spacing w:after="0" w:line="252" w:lineRule="auto"/>
            </w:pPr>
            <w:r>
              <w:rPr>
                <w:rFonts w:ascii="Calibri" w:hAnsi="Calibri"/>
                <w:b w:val="0"/>
                <w:i w:val="0"/>
                <w:color w:val="000000"/>
                <w:sz w:val="17"/>
              </w:rPr>
              <w:t>The new Policy lists the serial; the legacy Profile does not.</w:t>
            </w:r>
          </w:p>
        </w:tc>
      </w:tr>
      <w:tr>
        <w:tc>
          <w:tcPr>
            <w:tcW w:type="dxa" w:w="1700"/>
            <w:tcBorders>
              <w:top w:val="single" w:sz="6" w:space="0" w:color="D7DDE5"/>
              <w:left w:val="single" w:sz="6" w:space="0" w:color="D7DDE5"/>
              <w:bottom w:val="single" w:sz="6" w:space="0" w:color="D7DDE5"/>
              <w:right w:val="single" w:sz="6" w:space="0" w:color="D7DDE5"/>
            </w:tcBorders>
            <w:tcMar>
              <w:top w:w="90" w:type="dxa"/>
              <w:start w:w="120" w:type="dxa"/>
              <w:bottom w:w="90" w:type="dxa"/>
              <w:end w:w="120" w:type="dxa"/>
            </w:tcMar>
            <w:vAlign w:val="center"/>
          </w:tcPr>
          <w:p>
            <w:pPr>
              <w:spacing w:after="0" w:line="252" w:lineRule="auto"/>
            </w:pPr>
            <w:r>
              <w:rPr>
                <w:rFonts w:ascii="Calibri" w:hAnsi="Calibri"/>
                <w:b/>
                <w:i w:val="0"/>
                <w:color w:val="000000"/>
                <w:sz w:val="17"/>
              </w:rPr>
              <w:t>3. Re-enrolment</w:t>
            </w:r>
          </w:p>
        </w:tc>
        <w:tc>
          <w:tcPr>
            <w:tcW w:type="dxa" w:w="4580"/>
            <w:tcBorders>
              <w:top w:val="single" w:sz="6" w:space="0" w:color="D7DDE5"/>
              <w:left w:val="single" w:sz="6" w:space="0" w:color="D7DDE5"/>
              <w:bottom w:val="single" w:sz="6" w:space="0" w:color="D7DDE5"/>
              <w:right w:val="single" w:sz="6" w:space="0" w:color="D7DDE5"/>
            </w:tcBorders>
            <w:tcMar>
              <w:top w:w="90" w:type="dxa"/>
              <w:start w:w="120" w:type="dxa"/>
              <w:bottom w:w="90" w:type="dxa"/>
              <w:end w:w="120" w:type="dxa"/>
            </w:tcMar>
            <w:vAlign w:val="center"/>
          </w:tcPr>
          <w:p>
            <w:pPr>
              <w:spacing w:after="0" w:line="252" w:lineRule="auto"/>
            </w:pPr>
            <w:r>
              <w:rPr>
                <w:rFonts w:ascii="Calibri" w:hAnsi="Calibri"/>
                <w:b w:val="0"/>
                <w:i w:val="0"/>
                <w:color w:val="000000"/>
                <w:sz w:val="17"/>
              </w:rPr>
              <w:t>Factory-reset only after the server-side assignment is visible. Activate on a reliable, non-captive network.</w:t>
            </w:r>
          </w:p>
        </w:tc>
        <w:tc>
          <w:tcPr>
            <w:tcW w:type="dxa" w:w="3080"/>
            <w:tcBorders>
              <w:top w:val="single" w:sz="6" w:space="0" w:color="D7DDE5"/>
              <w:left w:val="single" w:sz="6" w:space="0" w:color="D7DDE5"/>
              <w:bottom w:val="single" w:sz="6" w:space="0" w:color="D7DDE5"/>
              <w:right w:val="single" w:sz="6" w:space="0" w:color="D7DDE5"/>
            </w:tcBorders>
            <w:tcMar>
              <w:top w:w="90" w:type="dxa"/>
              <w:start w:w="120" w:type="dxa"/>
              <w:bottom w:w="90" w:type="dxa"/>
              <w:end w:w="120" w:type="dxa"/>
            </w:tcMar>
            <w:vAlign w:val="center"/>
          </w:tcPr>
          <w:p>
            <w:pPr>
              <w:spacing w:after="0" w:line="252" w:lineRule="auto"/>
            </w:pPr>
            <w:r>
              <w:rPr>
                <w:rFonts w:ascii="Calibri" w:hAnsi="Calibri"/>
                <w:b w:val="0"/>
                <w:i w:val="0"/>
                <w:color w:val="000000"/>
                <w:sz w:val="17"/>
              </w:rPr>
              <w:t>The expected Setup Assistant journey and Policy settings apply.</w:t>
            </w:r>
          </w:p>
        </w:tc>
      </w:tr>
      <w:tr>
        <w:tc>
          <w:tcPr>
            <w:tcW w:type="dxa" w:w="1700"/>
            <w:tcBorders>
              <w:top w:val="single" w:sz="6" w:space="0" w:color="D7DDE5"/>
              <w:left w:val="single" w:sz="6" w:space="0" w:color="D7DDE5"/>
              <w:bottom w:val="single" w:sz="6" w:space="0" w:color="D7DDE5"/>
              <w:right w:val="single" w:sz="6" w:space="0" w:color="D7DDE5"/>
            </w:tcBorders>
            <w:tcMar>
              <w:top w:w="90" w:type="dxa"/>
              <w:start w:w="120" w:type="dxa"/>
              <w:bottom w:w="90" w:type="dxa"/>
              <w:end w:w="120" w:type="dxa"/>
            </w:tcMar>
            <w:vAlign w:val="center"/>
          </w:tcPr>
          <w:p>
            <w:pPr>
              <w:spacing w:after="0" w:line="252" w:lineRule="auto"/>
            </w:pPr>
            <w:r>
              <w:rPr>
                <w:rFonts w:ascii="Calibri" w:hAnsi="Calibri"/>
                <w:b/>
                <w:i w:val="0"/>
                <w:color w:val="000000"/>
                <w:sz w:val="17"/>
              </w:rPr>
              <w:t>4. Identity and compliance</w:t>
            </w:r>
          </w:p>
        </w:tc>
        <w:tc>
          <w:tcPr>
            <w:tcW w:type="dxa" w:w="4580"/>
            <w:tcBorders>
              <w:top w:val="single" w:sz="6" w:space="0" w:color="D7DDE5"/>
              <w:left w:val="single" w:sz="6" w:space="0" w:color="D7DDE5"/>
              <w:bottom w:val="single" w:sz="6" w:space="0" w:color="D7DDE5"/>
              <w:right w:val="single" w:sz="6" w:space="0" w:color="D7DDE5"/>
            </w:tcBorders>
            <w:tcMar>
              <w:top w:w="90" w:type="dxa"/>
              <w:start w:w="120" w:type="dxa"/>
              <w:bottom w:w="90" w:type="dxa"/>
              <w:end w:w="120" w:type="dxa"/>
            </w:tcMar>
            <w:vAlign w:val="center"/>
          </w:tcPr>
          <w:p>
            <w:pPr>
              <w:spacing w:after="0" w:line="252" w:lineRule="auto"/>
            </w:pPr>
            <w:r>
              <w:rPr>
                <w:rFonts w:ascii="Calibri" w:hAnsi="Calibri"/>
                <w:b w:val="0"/>
                <w:i w:val="0"/>
                <w:color w:val="000000"/>
                <w:sz w:val="17"/>
              </w:rPr>
              <w:t>Complete the intended identity flow, then validate registration, compliance and access to a Conditional Access-protected resource.</w:t>
            </w:r>
          </w:p>
        </w:tc>
        <w:tc>
          <w:tcPr>
            <w:tcW w:type="dxa" w:w="3080"/>
            <w:tcBorders>
              <w:top w:val="single" w:sz="6" w:space="0" w:color="D7DDE5"/>
              <w:left w:val="single" w:sz="6" w:space="0" w:color="D7DDE5"/>
              <w:bottom w:val="single" w:sz="6" w:space="0" w:color="D7DDE5"/>
              <w:right w:val="single" w:sz="6" w:space="0" w:color="D7DDE5"/>
            </w:tcBorders>
            <w:tcMar>
              <w:top w:w="90" w:type="dxa"/>
              <w:start w:w="120" w:type="dxa"/>
              <w:bottom w:w="90" w:type="dxa"/>
              <w:end w:w="120" w:type="dxa"/>
            </w:tcMar>
            <w:vAlign w:val="center"/>
          </w:tcPr>
          <w:p>
            <w:pPr>
              <w:spacing w:after="0" w:line="252" w:lineRule="auto"/>
            </w:pPr>
            <w:r>
              <w:rPr>
                <w:rFonts w:ascii="Calibri" w:hAnsi="Calibri"/>
                <w:b w:val="0"/>
                <w:i w:val="0"/>
                <w:color w:val="000000"/>
                <w:sz w:val="17"/>
              </w:rPr>
              <w:t>Correct user affinity, Entra registration and compliant status.</w:t>
            </w:r>
          </w:p>
        </w:tc>
      </w:tr>
      <w:tr>
        <w:tc>
          <w:tcPr>
            <w:tcW w:type="dxa" w:w="1700"/>
            <w:tcBorders>
              <w:top w:val="single" w:sz="6" w:space="0" w:color="D7DDE5"/>
              <w:left w:val="single" w:sz="6" w:space="0" w:color="D7DDE5"/>
              <w:bottom w:val="single" w:sz="6" w:space="0" w:color="D7DDE5"/>
              <w:right w:val="single" w:sz="6" w:space="0" w:color="D7DDE5"/>
            </w:tcBorders>
            <w:tcMar>
              <w:top w:w="90" w:type="dxa"/>
              <w:start w:w="120" w:type="dxa"/>
              <w:bottom w:w="90" w:type="dxa"/>
              <w:end w:w="120" w:type="dxa"/>
            </w:tcMar>
            <w:vAlign w:val="center"/>
          </w:tcPr>
          <w:p>
            <w:pPr>
              <w:spacing w:after="0" w:line="252" w:lineRule="auto"/>
            </w:pPr>
            <w:r>
              <w:rPr>
                <w:rFonts w:ascii="Calibri" w:hAnsi="Calibri"/>
                <w:b/>
                <w:i w:val="0"/>
                <w:color w:val="000000"/>
                <w:sz w:val="17"/>
              </w:rPr>
              <w:t>5. Workload parity</w:t>
            </w:r>
          </w:p>
        </w:tc>
        <w:tc>
          <w:tcPr>
            <w:tcW w:type="dxa" w:w="4580"/>
            <w:tcBorders>
              <w:top w:val="single" w:sz="6" w:space="0" w:color="D7DDE5"/>
              <w:left w:val="single" w:sz="6" w:space="0" w:color="D7DDE5"/>
              <w:bottom w:val="single" w:sz="6" w:space="0" w:color="D7DDE5"/>
              <w:right w:val="single" w:sz="6" w:space="0" w:color="D7DDE5"/>
            </w:tcBorders>
            <w:tcMar>
              <w:top w:w="90" w:type="dxa"/>
              <w:start w:w="120" w:type="dxa"/>
              <w:bottom w:w="90" w:type="dxa"/>
              <w:end w:w="120" w:type="dxa"/>
            </w:tcMar>
            <w:vAlign w:val="center"/>
          </w:tcPr>
          <w:p>
            <w:pPr>
              <w:spacing w:after="0" w:line="252" w:lineRule="auto"/>
            </w:pPr>
            <w:r>
              <w:rPr>
                <w:rFonts w:ascii="Calibri" w:hAnsi="Calibri"/>
                <w:b w:val="0"/>
                <w:i w:val="0"/>
                <w:color w:val="000000"/>
                <w:sz w:val="17"/>
              </w:rPr>
              <w:t>Test Wi-Fi, certificates, VPN, restrictions, required apps, device naming and support contact details.</w:t>
            </w:r>
          </w:p>
        </w:tc>
        <w:tc>
          <w:tcPr>
            <w:tcW w:type="dxa" w:w="3080"/>
            <w:tcBorders>
              <w:top w:val="single" w:sz="6" w:space="0" w:color="D7DDE5"/>
              <w:left w:val="single" w:sz="6" w:space="0" w:color="D7DDE5"/>
              <w:bottom w:val="single" w:sz="6" w:space="0" w:color="D7DDE5"/>
              <w:right w:val="single" w:sz="6" w:space="0" w:color="D7DDE5"/>
            </w:tcBorders>
            <w:tcMar>
              <w:top w:w="90" w:type="dxa"/>
              <w:start w:w="120" w:type="dxa"/>
              <w:bottom w:w="90" w:type="dxa"/>
              <w:end w:w="120" w:type="dxa"/>
            </w:tcMar>
            <w:vAlign w:val="center"/>
          </w:tcPr>
          <w:p>
            <w:pPr>
              <w:spacing w:after="0" w:line="252" w:lineRule="auto"/>
            </w:pPr>
            <w:r>
              <w:rPr>
                <w:rFonts w:ascii="Calibri" w:hAnsi="Calibri"/>
                <w:b w:val="0"/>
                <w:i w:val="0"/>
                <w:color w:val="000000"/>
                <w:sz w:val="17"/>
              </w:rPr>
              <w:t>All required configuration arrives and works.</w:t>
            </w:r>
          </w:p>
        </w:tc>
      </w:tr>
      <w:tr>
        <w:tc>
          <w:tcPr>
            <w:tcW w:type="dxa" w:w="1700"/>
            <w:tcBorders>
              <w:top w:val="single" w:sz="6" w:space="0" w:color="D7DDE5"/>
              <w:left w:val="single" w:sz="6" w:space="0" w:color="D7DDE5"/>
              <w:bottom w:val="single" w:sz="6" w:space="0" w:color="D7DDE5"/>
              <w:right w:val="single" w:sz="6" w:space="0" w:color="D7DDE5"/>
            </w:tcBorders>
            <w:tcMar>
              <w:top w:w="90" w:type="dxa"/>
              <w:start w:w="120" w:type="dxa"/>
              <w:bottom w:w="90" w:type="dxa"/>
              <w:end w:w="120" w:type="dxa"/>
            </w:tcMar>
            <w:vAlign w:val="center"/>
          </w:tcPr>
          <w:p>
            <w:pPr>
              <w:spacing w:after="0" w:line="252" w:lineRule="auto"/>
            </w:pPr>
            <w:r>
              <w:rPr>
                <w:rFonts w:ascii="Calibri" w:hAnsi="Calibri"/>
                <w:b/>
                <w:i w:val="0"/>
                <w:color w:val="000000"/>
                <w:sz w:val="17"/>
              </w:rPr>
              <w:t>6. Rollback</w:t>
            </w:r>
          </w:p>
        </w:tc>
        <w:tc>
          <w:tcPr>
            <w:tcW w:type="dxa" w:w="4580"/>
            <w:tcBorders>
              <w:top w:val="single" w:sz="6" w:space="0" w:color="D7DDE5"/>
              <w:left w:val="single" w:sz="6" w:space="0" w:color="D7DDE5"/>
              <w:bottom w:val="single" w:sz="6" w:space="0" w:color="D7DDE5"/>
              <w:right w:val="single" w:sz="6" w:space="0" w:color="D7DDE5"/>
            </w:tcBorders>
            <w:tcMar>
              <w:top w:w="90" w:type="dxa"/>
              <w:start w:w="120" w:type="dxa"/>
              <w:bottom w:w="90" w:type="dxa"/>
              <w:end w:w="120" w:type="dxa"/>
            </w:tcMar>
            <w:vAlign w:val="center"/>
          </w:tcPr>
          <w:p>
            <w:pPr>
              <w:spacing w:after="0" w:line="252" w:lineRule="auto"/>
            </w:pPr>
            <w:r>
              <w:rPr>
                <w:rFonts w:ascii="Calibri" w:hAnsi="Calibri"/>
                <w:b w:val="0"/>
                <w:i w:val="0"/>
                <w:color w:val="000000"/>
                <w:sz w:val="17"/>
              </w:rPr>
              <w:t>Reassign the same test serial to the legacy Profile and wipe again.</w:t>
            </w:r>
          </w:p>
        </w:tc>
        <w:tc>
          <w:tcPr>
            <w:tcW w:type="dxa" w:w="3080"/>
            <w:tcBorders>
              <w:top w:val="single" w:sz="6" w:space="0" w:color="D7DDE5"/>
              <w:left w:val="single" w:sz="6" w:space="0" w:color="D7DDE5"/>
              <w:bottom w:val="single" w:sz="6" w:space="0" w:color="D7DDE5"/>
              <w:right w:val="single" w:sz="6" w:space="0" w:color="D7DDE5"/>
            </w:tcBorders>
            <w:tcMar>
              <w:top w:w="90" w:type="dxa"/>
              <w:start w:w="120" w:type="dxa"/>
              <w:bottom w:w="90" w:type="dxa"/>
              <w:end w:w="120" w:type="dxa"/>
            </w:tcMar>
            <w:vAlign w:val="center"/>
          </w:tcPr>
          <w:p>
            <w:pPr>
              <w:spacing w:after="0" w:line="252" w:lineRule="auto"/>
            </w:pPr>
            <w:r>
              <w:rPr>
                <w:rFonts w:ascii="Calibri" w:hAnsi="Calibri"/>
                <w:b w:val="0"/>
                <w:i w:val="0"/>
                <w:color w:val="000000"/>
                <w:sz w:val="17"/>
              </w:rPr>
              <w:t>The previous enrolment experience returns successfully.</w:t>
            </w:r>
          </w:p>
        </w:tc>
      </w:tr>
      <w:tr>
        <w:tc>
          <w:tcPr>
            <w:tcW w:type="dxa" w:w="1700"/>
            <w:tcBorders>
              <w:top w:val="single" w:sz="6" w:space="0" w:color="D7DDE5"/>
              <w:left w:val="single" w:sz="6" w:space="0" w:color="D7DDE5"/>
              <w:bottom w:val="single" w:sz="6" w:space="0" w:color="D7DDE5"/>
              <w:right w:val="single" w:sz="6" w:space="0" w:color="D7DDE5"/>
            </w:tcBorders>
            <w:tcMar>
              <w:top w:w="90" w:type="dxa"/>
              <w:start w:w="120" w:type="dxa"/>
              <w:bottom w:w="90" w:type="dxa"/>
              <w:end w:w="120" w:type="dxa"/>
            </w:tcMar>
            <w:vAlign w:val="center"/>
          </w:tcPr>
          <w:p>
            <w:pPr>
              <w:spacing w:after="0" w:line="252" w:lineRule="auto"/>
            </w:pPr>
            <w:r>
              <w:rPr>
                <w:rFonts w:ascii="Calibri" w:hAnsi="Calibri"/>
                <w:b/>
                <w:i w:val="0"/>
                <w:color w:val="000000"/>
                <w:sz w:val="17"/>
              </w:rPr>
              <w:t>7. Default validation</w:t>
            </w:r>
          </w:p>
        </w:tc>
        <w:tc>
          <w:tcPr>
            <w:tcW w:type="dxa" w:w="4580"/>
            <w:tcBorders>
              <w:top w:val="single" w:sz="6" w:space="0" w:color="D7DDE5"/>
              <w:left w:val="single" w:sz="6" w:space="0" w:color="D7DDE5"/>
              <w:bottom w:val="single" w:sz="6" w:space="0" w:color="D7DDE5"/>
              <w:right w:val="single" w:sz="6" w:space="0" w:color="D7DDE5"/>
            </w:tcBorders>
            <w:tcMar>
              <w:top w:w="90" w:type="dxa"/>
              <w:start w:w="120" w:type="dxa"/>
              <w:bottom w:w="90" w:type="dxa"/>
              <w:end w:w="120" w:type="dxa"/>
            </w:tcMar>
            <w:vAlign w:val="center"/>
          </w:tcPr>
          <w:p>
            <w:pPr>
              <w:spacing w:after="0" w:line="252" w:lineRule="auto"/>
            </w:pPr>
            <w:r>
              <w:rPr>
                <w:rFonts w:ascii="Calibri" w:hAnsi="Calibri"/>
                <w:b w:val="0"/>
                <w:i w:val="0"/>
                <w:color w:val="000000"/>
                <w:sz w:val="17"/>
              </w:rPr>
              <w:t>Use a separate, previously unassigned test serial after setting the new default on a safe test token or during planned cutover.</w:t>
            </w:r>
          </w:p>
        </w:tc>
        <w:tc>
          <w:tcPr>
            <w:tcW w:type="dxa" w:w="3080"/>
            <w:tcBorders>
              <w:top w:val="single" w:sz="6" w:space="0" w:color="D7DDE5"/>
              <w:left w:val="single" w:sz="6" w:space="0" w:color="D7DDE5"/>
              <w:bottom w:val="single" w:sz="6" w:space="0" w:color="D7DDE5"/>
              <w:right w:val="single" w:sz="6" w:space="0" w:color="D7DDE5"/>
            </w:tcBorders>
            <w:tcMar>
              <w:top w:w="90" w:type="dxa"/>
              <w:start w:w="120" w:type="dxa"/>
              <w:bottom w:w="90" w:type="dxa"/>
              <w:end w:w="120" w:type="dxa"/>
            </w:tcMar>
            <w:vAlign w:val="center"/>
          </w:tcPr>
          <w:p>
            <w:pPr>
              <w:spacing w:after="0" w:line="252" w:lineRule="auto"/>
            </w:pPr>
            <w:r>
              <w:rPr>
                <w:rFonts w:ascii="Calibri" w:hAnsi="Calibri"/>
                <w:b w:val="0"/>
                <w:i w:val="0"/>
                <w:color w:val="000000"/>
                <w:sz w:val="17"/>
              </w:rPr>
              <w:t>The device receives the new default Policy.</w:t>
            </w:r>
          </w:p>
        </w:tc>
      </w:tr>
    </w:tbl>
    <w:p>
      <w:pPr>
        <w:spacing w:before="140" w:after="0"/>
      </w:pPr>
      <w:r>
        <w:rPr>
          <w:rFonts w:ascii="Calibri" w:hAnsi="Calibri"/>
          <w:b/>
          <w:i w:val="0"/>
          <w:color w:val="1F4D78"/>
          <w:sz w:val="19"/>
        </w:rPr>
        <w:t xml:space="preserve">Test evidence to retain: </w:t>
      </w:r>
      <w:r>
        <w:rPr>
          <w:rFonts w:ascii="Calibri" w:hAnsi="Calibri"/>
          <w:b w:val="0"/>
          <w:i w:val="0"/>
          <w:color w:val="5B6573"/>
          <w:sz w:val="19"/>
        </w:rPr>
        <w:t>serial number, token name, policy/profile assignment screenshots, activation timestamp and time zone, device model, iOS/iPadOS version, compliance result, and any Company Portal or Microsoft Authenticator diagnostics.</w:t>
      </w:r>
    </w:p>
    <w:p>
      <w:r>
        <w:br w:type="page"/>
      </w:r>
    </w:p>
    <w:p>
      <w:pPr>
        <w:pStyle w:val="Heading1"/>
        <w:keepNext/>
      </w:pPr>
      <w:r>
        <w:rPr>
          <w:rFonts w:ascii="Calibri" w:hAnsi="Calibri"/>
          <w:b/>
          <w:i w:val="0"/>
          <w:color w:val="2E74B5"/>
          <w:sz w:val="32"/>
        </w:rPr>
        <w:t>3. Migration readiness</w:t>
      </w:r>
    </w:p>
    <w:p>
      <w:pPr>
        <w:spacing w:after="120"/>
      </w:pPr>
      <w:r>
        <w:rPr>
          <w:rFonts w:ascii="Calibri" w:hAnsi="Calibri"/>
          <w:b w:val="0"/>
          <w:i w:val="0"/>
          <w:color w:val="000000"/>
          <w:sz w:val="22"/>
        </w:rPr>
        <w:t>Create the new Policies in parallel with the existing Profiles. Match existing configuration deliberately, then record intentional changes before any production serial assignment is moved.</w:t>
      </w:r>
    </w:p>
    <w:tbl>
      <w:tblPr>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shd w:fill="F2F4F7" w:val="clear"/>
            <w:tcBorders>
              <w:top w:val="single" w:sz="6" w:space="0" w:color="D7DDE5"/>
              <w:left w:val="single" w:sz="6" w:space="0" w:color="D7DDE5"/>
              <w:bottom w:val="single" w:sz="6" w:space="0" w:color="D7DDE5"/>
              <w:right w:val="single" w:sz="6" w:space="0" w:color="D7DDE5"/>
            </w:tcBorders>
            <w:tcMar>
              <w:top w:w="80" w:type="dxa"/>
              <w:start w:w="120" w:type="dxa"/>
              <w:bottom w:w="80" w:type="dxa"/>
              <w:end w:w="120" w:type="dxa"/>
            </w:tcMar>
          </w:tcPr>
          <w:p>
            <w:pPr>
              <w:spacing w:after="0"/>
            </w:pPr>
            <w:r>
              <w:rPr>
                <w:rFonts w:ascii="Calibri" w:hAnsi="Calibri"/>
                <w:b/>
                <w:i w:val="0"/>
                <w:color w:val="1F4D78"/>
                <w:sz w:val="18"/>
              </w:rPr>
              <w:t>Area</w:t>
            </w:r>
          </w:p>
        </w:tc>
        <w:tc>
          <w:tcPr>
            <w:tcW w:type="dxa" w:w="7060"/>
            <w:shd w:fill="F2F4F7" w:val="clear"/>
            <w:tcBorders>
              <w:top w:val="single" w:sz="6" w:space="0" w:color="D7DDE5"/>
              <w:left w:val="single" w:sz="6" w:space="0" w:color="D7DDE5"/>
              <w:bottom w:val="single" w:sz="6" w:space="0" w:color="D7DDE5"/>
              <w:right w:val="single" w:sz="6" w:space="0" w:color="D7DDE5"/>
            </w:tcBorders>
            <w:tcMar>
              <w:top w:w="80" w:type="dxa"/>
              <w:start w:w="120" w:type="dxa"/>
              <w:bottom w:w="80" w:type="dxa"/>
              <w:end w:w="120" w:type="dxa"/>
            </w:tcMar>
          </w:tcPr>
          <w:p>
            <w:pPr>
              <w:spacing w:after="0"/>
            </w:pPr>
            <w:r>
              <w:rPr>
                <w:rFonts w:ascii="Calibri" w:hAnsi="Calibri"/>
                <w:b/>
                <w:i w:val="0"/>
                <w:color w:val="1F4D78"/>
                <w:sz w:val="18"/>
              </w:rPr>
              <w:t>Required decision and validation</w:t>
            </w:r>
          </w:p>
        </w:tc>
      </w:tr>
      <w:tr>
        <w:tc>
          <w:tcPr>
            <w:tcW w:type="dxa" w:w="2300"/>
            <w:tcBorders>
              <w:top w:val="single" w:sz="6" w:space="0" w:color="D7DDE5"/>
              <w:left w:val="single" w:sz="6" w:space="0" w:color="D7DDE5"/>
              <w:bottom w:val="single" w:sz="6" w:space="0" w:color="D7DDE5"/>
              <w:right w:val="single" w:sz="6" w:space="0" w:color="D7DDE5"/>
            </w:tcBorders>
            <w:tcMar>
              <w:top w:w="80" w:type="dxa"/>
              <w:start w:w="120" w:type="dxa"/>
              <w:bottom w:w="80" w:type="dxa"/>
              <w:end w:w="120" w:type="dxa"/>
            </w:tcMar>
            <w:vAlign w:val="center"/>
          </w:tcPr>
          <w:p>
            <w:pPr>
              <w:spacing w:after="0" w:line="252" w:lineRule="auto"/>
            </w:pPr>
            <w:r>
              <w:rPr>
                <w:rFonts w:ascii="Calibri" w:hAnsi="Calibri"/>
                <w:b/>
                <w:i w:val="0"/>
                <w:color w:val="000000"/>
                <w:sz w:val="18"/>
              </w:rPr>
              <w:t>Company Portal</w:t>
            </w:r>
          </w:p>
        </w:tc>
        <w:tc>
          <w:tcPr>
            <w:tcW w:type="dxa" w:w="7060"/>
            <w:tcBorders>
              <w:top w:val="single" w:sz="6" w:space="0" w:color="D7DDE5"/>
              <w:left w:val="single" w:sz="6" w:space="0" w:color="D7DDE5"/>
              <w:bottom w:val="single" w:sz="6" w:space="0" w:color="D7DDE5"/>
              <w:right w:val="single" w:sz="6" w:space="0" w:color="D7DDE5"/>
            </w:tcBorders>
            <w:tcMar>
              <w:top w:w="80" w:type="dxa"/>
              <w:start w:w="120" w:type="dxa"/>
              <w:bottom w:w="80" w:type="dxa"/>
              <w:end w:w="120" w:type="dxa"/>
            </w:tcMar>
            <w:vAlign w:val="center"/>
          </w:tcPr>
          <w:p>
            <w:pPr>
              <w:spacing w:after="0" w:line="252" w:lineRule="auto"/>
            </w:pPr>
            <w:r>
              <w:rPr>
                <w:rFonts w:ascii="Calibri" w:hAnsi="Calibri"/>
                <w:b w:val="0"/>
                <w:i w:val="0"/>
                <w:color w:val="000000"/>
                <w:sz w:val="18"/>
              </w:rPr>
              <w:t>New Policies do not automatically deploy Company Portal. Choose JIT registration or deploy Company Portal explicitly as a required, device-licensed VPP app.</w:t>
            </w:r>
          </w:p>
        </w:tc>
      </w:tr>
      <w:tr>
        <w:tc>
          <w:tcPr>
            <w:tcW w:type="dxa" w:w="2300"/>
            <w:tcBorders>
              <w:top w:val="single" w:sz="6" w:space="0" w:color="D7DDE5"/>
              <w:left w:val="single" w:sz="6" w:space="0" w:color="D7DDE5"/>
              <w:bottom w:val="single" w:sz="6" w:space="0" w:color="D7DDE5"/>
              <w:right w:val="single" w:sz="6" w:space="0" w:color="D7DDE5"/>
            </w:tcBorders>
            <w:tcMar>
              <w:top w:w="80" w:type="dxa"/>
              <w:start w:w="120" w:type="dxa"/>
              <w:bottom w:w="80" w:type="dxa"/>
              <w:end w:w="120" w:type="dxa"/>
            </w:tcMar>
            <w:vAlign w:val="center"/>
          </w:tcPr>
          <w:p>
            <w:pPr>
              <w:spacing w:after="0" w:line="252" w:lineRule="auto"/>
            </w:pPr>
            <w:r>
              <w:rPr>
                <w:rFonts w:ascii="Calibri" w:hAnsi="Calibri"/>
                <w:b/>
                <w:i w:val="0"/>
                <w:color w:val="000000"/>
                <w:sz w:val="18"/>
              </w:rPr>
              <w:t>Authentication</w:t>
            </w:r>
          </w:p>
        </w:tc>
        <w:tc>
          <w:tcPr>
            <w:tcW w:type="dxa" w:w="7060"/>
            <w:tcBorders>
              <w:top w:val="single" w:sz="6" w:space="0" w:color="D7DDE5"/>
              <w:left w:val="single" w:sz="6" w:space="0" w:color="D7DDE5"/>
              <w:bottom w:val="single" w:sz="6" w:space="0" w:color="D7DDE5"/>
              <w:right w:val="single" w:sz="6" w:space="0" w:color="D7DDE5"/>
            </w:tcBorders>
            <w:tcMar>
              <w:top w:w="80" w:type="dxa"/>
              <w:start w:w="120" w:type="dxa"/>
              <w:bottom w:w="80" w:type="dxa"/>
              <w:end w:w="120" w:type="dxa"/>
            </w:tcMar>
            <w:vAlign w:val="center"/>
          </w:tcPr>
          <w:p>
            <w:pPr>
              <w:spacing w:after="0" w:line="252" w:lineRule="auto"/>
            </w:pPr>
            <w:r>
              <w:rPr>
                <w:rFonts w:ascii="Calibri" w:hAnsi="Calibri"/>
                <w:b w:val="0"/>
                <w:i w:val="0"/>
                <w:color w:val="000000"/>
                <w:sz w:val="18"/>
              </w:rPr>
              <w:t>Use Setup Assistant with modern authentication for user-affinity devices. Validate multi-factor authentication and the first work-app sign-in.</w:t>
            </w:r>
          </w:p>
        </w:tc>
      </w:tr>
      <w:tr>
        <w:tc>
          <w:tcPr>
            <w:tcW w:type="dxa" w:w="2300"/>
            <w:tcBorders>
              <w:top w:val="single" w:sz="6" w:space="0" w:color="D7DDE5"/>
              <w:left w:val="single" w:sz="6" w:space="0" w:color="D7DDE5"/>
              <w:bottom w:val="single" w:sz="6" w:space="0" w:color="D7DDE5"/>
              <w:right w:val="single" w:sz="6" w:space="0" w:color="D7DDE5"/>
            </w:tcBorders>
            <w:tcMar>
              <w:top w:w="80" w:type="dxa"/>
              <w:start w:w="120" w:type="dxa"/>
              <w:bottom w:w="80" w:type="dxa"/>
              <w:end w:w="120" w:type="dxa"/>
            </w:tcMar>
            <w:vAlign w:val="center"/>
          </w:tcPr>
          <w:p>
            <w:pPr>
              <w:spacing w:after="0" w:line="252" w:lineRule="auto"/>
            </w:pPr>
            <w:r>
              <w:rPr>
                <w:rFonts w:ascii="Calibri" w:hAnsi="Calibri"/>
                <w:b/>
                <w:i w:val="0"/>
                <w:color w:val="000000"/>
                <w:sz w:val="18"/>
              </w:rPr>
              <w:t>Policy targeting</w:t>
            </w:r>
          </w:p>
        </w:tc>
        <w:tc>
          <w:tcPr>
            <w:tcW w:type="dxa" w:w="7060"/>
            <w:tcBorders>
              <w:top w:val="single" w:sz="6" w:space="0" w:color="D7DDE5"/>
              <w:left w:val="single" w:sz="6" w:space="0" w:color="D7DDE5"/>
              <w:bottom w:val="single" w:sz="6" w:space="0" w:color="D7DDE5"/>
              <w:right w:val="single" w:sz="6" w:space="0" w:color="D7DDE5"/>
            </w:tcBorders>
            <w:tcMar>
              <w:top w:w="80" w:type="dxa"/>
              <w:start w:w="120" w:type="dxa"/>
              <w:bottom w:w="80" w:type="dxa"/>
              <w:end w:w="120" w:type="dxa"/>
            </w:tcMar>
            <w:vAlign w:val="center"/>
          </w:tcPr>
          <w:p>
            <w:pPr>
              <w:spacing w:after="0" w:line="252" w:lineRule="auto"/>
            </w:pPr>
            <w:r>
              <w:rPr>
                <w:rFonts w:ascii="Calibri" w:hAnsi="Calibri"/>
                <w:b w:val="0"/>
                <w:i w:val="0"/>
                <w:color w:val="000000"/>
                <w:sz w:val="18"/>
              </w:rPr>
              <w:t>Update dynamic groups and assignment filters that reference enrollmentProfileName so the new Policy names are included.</w:t>
            </w:r>
          </w:p>
        </w:tc>
      </w:tr>
      <w:tr>
        <w:tc>
          <w:tcPr>
            <w:tcW w:type="dxa" w:w="2300"/>
            <w:tcBorders>
              <w:top w:val="single" w:sz="6" w:space="0" w:color="D7DDE5"/>
              <w:left w:val="single" w:sz="6" w:space="0" w:color="D7DDE5"/>
              <w:bottom w:val="single" w:sz="6" w:space="0" w:color="D7DDE5"/>
              <w:right w:val="single" w:sz="6" w:space="0" w:color="D7DDE5"/>
            </w:tcBorders>
            <w:tcMar>
              <w:top w:w="80" w:type="dxa"/>
              <w:start w:w="120" w:type="dxa"/>
              <w:bottom w:w="80" w:type="dxa"/>
              <w:end w:w="120" w:type="dxa"/>
            </w:tcMar>
            <w:vAlign w:val="center"/>
          </w:tcPr>
          <w:p>
            <w:pPr>
              <w:spacing w:after="0" w:line="252" w:lineRule="auto"/>
            </w:pPr>
            <w:r>
              <w:rPr>
                <w:rFonts w:ascii="Calibri" w:hAnsi="Calibri"/>
                <w:b/>
                <w:i w:val="0"/>
                <w:color w:val="000000"/>
                <w:sz w:val="18"/>
              </w:rPr>
              <w:t>Await final configuration</w:t>
            </w:r>
          </w:p>
        </w:tc>
        <w:tc>
          <w:tcPr>
            <w:tcW w:type="dxa" w:w="7060"/>
            <w:tcBorders>
              <w:top w:val="single" w:sz="6" w:space="0" w:color="D7DDE5"/>
              <w:left w:val="single" w:sz="6" w:space="0" w:color="D7DDE5"/>
              <w:bottom w:val="single" w:sz="6" w:space="0" w:color="D7DDE5"/>
              <w:right w:val="single" w:sz="6" w:space="0" w:color="D7DDE5"/>
            </w:tcBorders>
            <w:tcMar>
              <w:top w:w="80" w:type="dxa"/>
              <w:start w:w="120" w:type="dxa"/>
              <w:bottom w:w="80" w:type="dxa"/>
              <w:end w:w="120" w:type="dxa"/>
            </w:tcMar>
            <w:vAlign w:val="center"/>
          </w:tcPr>
          <w:p>
            <w:pPr>
              <w:spacing w:after="0" w:line="252" w:lineRule="auto"/>
            </w:pPr>
            <w:r>
              <w:rPr>
                <w:rFonts w:ascii="Calibri" w:hAnsi="Calibri"/>
                <w:b w:val="0"/>
                <w:i w:val="0"/>
                <w:color w:val="000000"/>
                <w:sz w:val="18"/>
              </w:rPr>
              <w:t>Set to Yes unless a tested exception is required. Confirm critical configuration arrives before the home screen is released.</w:t>
            </w:r>
          </w:p>
        </w:tc>
      </w:tr>
      <w:tr>
        <w:tc>
          <w:tcPr>
            <w:tcW w:type="dxa" w:w="2300"/>
            <w:tcBorders>
              <w:top w:val="single" w:sz="6" w:space="0" w:color="D7DDE5"/>
              <w:left w:val="single" w:sz="6" w:space="0" w:color="D7DDE5"/>
              <w:bottom w:val="single" w:sz="6" w:space="0" w:color="D7DDE5"/>
              <w:right w:val="single" w:sz="6" w:space="0" w:color="D7DDE5"/>
            </w:tcBorders>
            <w:tcMar>
              <w:top w:w="80" w:type="dxa"/>
              <w:start w:w="120" w:type="dxa"/>
              <w:bottom w:w="80" w:type="dxa"/>
              <w:end w:w="120" w:type="dxa"/>
            </w:tcMar>
            <w:vAlign w:val="center"/>
          </w:tcPr>
          <w:p>
            <w:pPr>
              <w:spacing w:after="0" w:line="252" w:lineRule="auto"/>
            </w:pPr>
            <w:r>
              <w:rPr>
                <w:rFonts w:ascii="Calibri" w:hAnsi="Calibri"/>
                <w:b/>
                <w:i w:val="0"/>
                <w:color w:val="000000"/>
                <w:sz w:val="18"/>
              </w:rPr>
              <w:t>Naming and shared scenarios</w:t>
            </w:r>
          </w:p>
        </w:tc>
        <w:tc>
          <w:tcPr>
            <w:tcW w:type="dxa" w:w="7060"/>
            <w:tcBorders>
              <w:top w:val="single" w:sz="6" w:space="0" w:color="D7DDE5"/>
              <w:left w:val="single" w:sz="6" w:space="0" w:color="D7DDE5"/>
              <w:bottom w:val="single" w:sz="6" w:space="0" w:color="D7DDE5"/>
              <w:right w:val="single" w:sz="6" w:space="0" w:color="D7DDE5"/>
            </w:tcBorders>
            <w:tcMar>
              <w:top w:w="80" w:type="dxa"/>
              <w:start w:w="120" w:type="dxa"/>
              <w:bottom w:w="80" w:type="dxa"/>
              <w:end w:w="120" w:type="dxa"/>
            </w:tcMar>
            <w:vAlign w:val="center"/>
          </w:tcPr>
          <w:p>
            <w:pPr>
              <w:spacing w:after="0" w:line="252" w:lineRule="auto"/>
            </w:pPr>
            <w:r>
              <w:rPr>
                <w:rFonts w:ascii="Calibri" w:hAnsi="Calibri"/>
                <w:b w:val="0"/>
                <w:i w:val="0"/>
                <w:color w:val="000000"/>
                <w:sz w:val="18"/>
              </w:rPr>
              <w:t>Carry over the device name template, locked enrolment, user affinity, shared mode and Shared iPad settings. Use separate Policies for genuinely different personas.</w:t>
            </w:r>
          </w:p>
        </w:tc>
      </w:tr>
    </w:tbl>
    <w:tbl>
      <w:tblPr>
        <w:tblW w:type="dxa" w:w="9360"/>
        <w:jc w:val="left"/>
        <w:tblLayout w:type="fixed"/>
        <w:tblLook w:firstColumn="1" w:firstRow="1" w:lastColumn="0" w:lastRow="0" w:noHBand="0" w:noVBand="1" w:val="04A0"/>
        <w:tblInd w:w="180" w:type="dxa"/>
      </w:tblPr>
      <w:tblGrid>
        <w:gridCol w:w="9360"/>
      </w:tblGrid>
      <w:tr>
        <w:tc>
          <w:tcPr>
            <w:tcW w:type="dxa" w:w="9360"/>
            <w:shd w:fill="EAF1F8" w:val="clear"/>
            <w:tcBorders>
              <w:top w:val="single" w:sz="8" w:space="0" w:color="B8CCE4"/>
              <w:left w:val="single" w:sz="8" w:space="0" w:color="B8CCE4"/>
              <w:bottom w:val="single" w:sz="8" w:space="0" w:color="B8CCE4"/>
              <w:right w:val="single" w:sz="8" w:space="0" w:color="B8CCE4"/>
            </w:tcBorders>
            <w:tcMar>
              <w:top w:w="130" w:type="dxa"/>
              <w:start w:w="180" w:type="dxa"/>
              <w:bottom w:w="130" w:type="dxa"/>
              <w:end w:w="180" w:type="dxa"/>
            </w:tcMar>
            <w:vAlign w:val="center"/>
          </w:tcPr>
          <w:p>
            <w:pPr>
              <w:spacing w:after="0"/>
            </w:pPr>
            <w:r>
              <w:rPr>
                <w:rFonts w:ascii="Calibri" w:hAnsi="Calibri"/>
                <w:b/>
                <w:i w:val="0"/>
                <w:color w:val="1F4D78"/>
                <w:sz w:val="20"/>
              </w:rPr>
              <w:t xml:space="preserve">IMPORTANT  </w:t>
            </w:r>
            <w:r>
              <w:rPr>
                <w:rFonts w:ascii="Calibri" w:hAnsi="Calibri"/>
                <w:b w:val="0"/>
                <w:i w:val="0"/>
                <w:color w:val="0B2545"/>
                <w:sz w:val="21"/>
              </w:rPr>
              <w:t>If Setup Assistant with modern authentication and JIT registration are used, deploy the Microsoft Entra SSO extension and Microsoft Authenticator, then test the first sign-in to the nominated work app. If Company Portal remains part of the design, deploy it separately and validate its app configuration.</w:t>
            </w:r>
          </w:p>
        </w:tc>
      </w:tr>
    </w:tbl>
    <w:p>
      <w:pPr>
        <w:spacing w:after="80" w:before="0"/>
      </w:pPr>
    </w:p>
    <w:p>
      <w:pPr>
        <w:pStyle w:val="Heading2"/>
        <w:keepNext/>
      </w:pPr>
      <w:r>
        <w:rPr>
          <w:rFonts w:ascii="Calibri" w:hAnsi="Calibri"/>
          <w:b/>
          <w:i w:val="0"/>
          <w:color w:val="2E74B5"/>
          <w:sz w:val="26"/>
        </w:rPr>
        <w:t>Readiness checklist</w:t>
      </w:r>
    </w:p>
    <w:p>
      <w:pPr>
        <w:pStyle w:val="ListBullet"/>
        <w:spacing w:after="80" w:line="280" w:lineRule="auto"/>
        <w:ind w:left="720" w:hanging="360"/>
      </w:pPr>
      <w:r>
        <w:rPr>
          <w:rFonts w:ascii="Calibri" w:hAnsi="Calibri"/>
          <w:b w:val="0"/>
          <w:i w:val="0"/>
          <w:color w:val="000000"/>
          <w:sz w:val="22"/>
        </w:rPr>
        <w:t>Inventory every ADE token, legacy Profile, assigned serial range, device persona, default configuration and dependent group or filter.</w:t>
      </w:r>
    </w:p>
    <w:p>
      <w:pPr>
        <w:pStyle w:val="ListBullet"/>
        <w:spacing w:after="80" w:line="280" w:lineRule="auto"/>
        <w:ind w:left="720" w:hanging="360"/>
      </w:pPr>
      <w:r>
        <w:rPr>
          <w:rFonts w:ascii="Calibri" w:hAnsi="Calibri"/>
          <w:b w:val="0"/>
          <w:i w:val="0"/>
          <w:color w:val="000000"/>
          <w:sz w:val="22"/>
        </w:rPr>
        <w:t>Create one new Policy for each distinct enrolment persona; avoid using a global default to collapse genuine differences.</w:t>
      </w:r>
    </w:p>
    <w:p>
      <w:pPr>
        <w:pStyle w:val="ListBullet"/>
        <w:spacing w:after="80" w:line="280" w:lineRule="auto"/>
        <w:ind w:left="720" w:hanging="360"/>
      </w:pPr>
      <w:r>
        <w:rPr>
          <w:rFonts w:ascii="Calibri" w:hAnsi="Calibri"/>
          <w:b w:val="0"/>
          <w:i w:val="0"/>
          <w:color w:val="000000"/>
          <w:sz w:val="22"/>
        </w:rPr>
        <w:t>Confirm Apple MDM Push and VPP tokens are valid and that Company Portal licensing and app assignment are correct where relevant.</w:t>
      </w:r>
    </w:p>
    <w:p>
      <w:pPr>
        <w:pStyle w:val="ListBullet"/>
        <w:spacing w:after="80" w:line="280" w:lineRule="auto"/>
        <w:ind w:left="720" w:hanging="360"/>
      </w:pPr>
      <w:r>
        <w:rPr>
          <w:rFonts w:ascii="Calibri" w:hAnsi="Calibri"/>
          <w:b w:val="0"/>
          <w:i w:val="0"/>
          <w:color w:val="000000"/>
          <w:sz w:val="22"/>
        </w:rPr>
        <w:t>Update targeting that uses enrollmentProfileName, including dynamic groups, filters, app assignments and configuration policy assignments.</w:t>
      </w:r>
    </w:p>
    <w:p>
      <w:pPr>
        <w:pStyle w:val="ListBullet"/>
        <w:spacing w:after="80" w:line="280" w:lineRule="auto"/>
        <w:ind w:left="720" w:hanging="360"/>
      </w:pPr>
      <w:r>
        <w:rPr>
          <w:rFonts w:ascii="Calibri" w:hAnsi="Calibri"/>
          <w:b w:val="0"/>
          <w:i w:val="0"/>
          <w:color w:val="000000"/>
          <w:sz w:val="22"/>
        </w:rPr>
        <w:t>Set Await final configuration to Yes unless there is a documented and tested exception.</w:t>
      </w:r>
    </w:p>
    <w:p>
      <w:pPr>
        <w:pStyle w:val="ListBullet"/>
        <w:spacing w:after="80" w:line="280" w:lineRule="auto"/>
        <w:ind w:left="720" w:hanging="360"/>
      </w:pPr>
      <w:r>
        <w:rPr>
          <w:rFonts w:ascii="Calibri" w:hAnsi="Calibri"/>
          <w:b w:val="0"/>
          <w:i w:val="0"/>
          <w:color w:val="000000"/>
          <w:sz w:val="22"/>
        </w:rPr>
        <w:t>Prepare end-user communications and support procedures for device wipes, enrolment changes and Conditional Access remediation.</w:t>
      </w:r>
    </w:p>
    <w:p>
      <w:r>
        <w:br w:type="page"/>
      </w:r>
    </w:p>
    <w:p>
      <w:pPr>
        <w:pStyle w:val="Heading1"/>
        <w:keepNext/>
      </w:pPr>
      <w:r>
        <w:rPr>
          <w:rFonts w:ascii="Calibri" w:hAnsi="Calibri"/>
          <w:b/>
          <w:i w:val="0"/>
          <w:color w:val="2E74B5"/>
          <w:sz w:val="32"/>
        </w:rPr>
        <w:t>4. Controlled implementation plan</w:t>
      </w:r>
    </w:p>
    <w:p>
      <w:pPr>
        <w:spacing w:after="100"/>
        <w:ind w:left="259" w:hanging="259"/>
      </w:pPr>
      <w:r>
        <w:rPr>
          <w:rFonts w:ascii="Calibri" w:hAnsi="Calibri"/>
          <w:b/>
          <w:i w:val="0"/>
          <w:color w:val="1F4D78"/>
          <w:sz w:val="22"/>
        </w:rPr>
        <w:t xml:space="preserve">Phase 1 - Build and review: </w:t>
      </w:r>
      <w:r>
        <w:rPr>
          <w:rFonts w:ascii="Calibri" w:hAnsi="Calibri"/>
          <w:b w:val="0"/>
          <w:i w:val="0"/>
          <w:color w:val="000000"/>
          <w:sz w:val="22"/>
        </w:rPr>
        <w:t>Create new Policies, map their settings to the legacy Profile inventory, and approve all configuration deltas.</w:t>
      </w:r>
    </w:p>
    <w:p>
      <w:pPr>
        <w:spacing w:after="100"/>
        <w:ind w:left="259" w:hanging="259"/>
      </w:pPr>
      <w:r>
        <w:rPr>
          <w:rFonts w:ascii="Calibri" w:hAnsi="Calibri"/>
          <w:b/>
          <w:i w:val="0"/>
          <w:color w:val="1F4D78"/>
          <w:sz w:val="22"/>
        </w:rPr>
        <w:t xml:space="preserve">Phase 2 - Technical pilot: </w:t>
      </w:r>
      <w:r>
        <w:rPr>
          <w:rFonts w:ascii="Calibri" w:hAnsi="Calibri"/>
          <w:b w:val="0"/>
          <w:i w:val="0"/>
          <w:color w:val="000000"/>
          <w:sz w:val="22"/>
        </w:rPr>
        <w:t>Explicitly migrate IT-owned test serials, complete the test plan, and retain a proven rollback path to the legacy Profile.</w:t>
      </w:r>
    </w:p>
    <w:p>
      <w:pPr>
        <w:spacing w:after="100"/>
        <w:ind w:left="259" w:hanging="259"/>
      </w:pPr>
      <w:r>
        <w:rPr>
          <w:rFonts w:ascii="Calibri" w:hAnsi="Calibri"/>
          <w:b/>
          <w:i w:val="0"/>
          <w:color w:val="1F4D78"/>
          <w:sz w:val="22"/>
        </w:rPr>
        <w:t xml:space="preserve">Phase 3 - Persona pilot: </w:t>
      </w:r>
      <w:r>
        <w:rPr>
          <w:rFonts w:ascii="Calibri" w:hAnsi="Calibri"/>
          <w:b w:val="0"/>
          <w:i w:val="0"/>
          <w:color w:val="000000"/>
          <w:sz w:val="22"/>
        </w:rPr>
        <w:t>Move a small representative group for each user-affinity, userless, shared-device and Shared iPad scenario in use. Monitor enrolment, compliance and app delivery.</w:t>
      </w:r>
    </w:p>
    <w:p>
      <w:pPr>
        <w:spacing w:after="100"/>
        <w:ind w:left="259" w:hanging="259"/>
      </w:pPr>
      <w:r>
        <w:rPr>
          <w:rFonts w:ascii="Calibri" w:hAnsi="Calibri"/>
          <w:b/>
          <w:i w:val="0"/>
          <w:color w:val="1F4D78"/>
          <w:sz w:val="22"/>
        </w:rPr>
        <w:t xml:space="preserve">Phase 4 - Batch migration: </w:t>
      </w:r>
      <w:r>
        <w:rPr>
          <w:rFonts w:ascii="Calibri" w:hAnsi="Calibri"/>
          <w:b w:val="0"/>
          <w:i w:val="0"/>
          <w:color w:val="000000"/>
          <w:sz w:val="22"/>
        </w:rPr>
        <w:t>Reassign production serials to the appropriate new Policy in controlled batches. Maintain an exception list and pause further batches if pass criteria are not met.</w:t>
      </w:r>
    </w:p>
    <w:p>
      <w:pPr>
        <w:spacing w:after="100"/>
        <w:ind w:left="259" w:hanging="259"/>
      </w:pPr>
      <w:r>
        <w:rPr>
          <w:rFonts w:ascii="Calibri" w:hAnsi="Calibri"/>
          <w:b/>
          <w:i w:val="0"/>
          <w:color w:val="1F4D78"/>
          <w:sz w:val="22"/>
        </w:rPr>
        <w:t xml:space="preserve">Phase 5 - Default cutover: </w:t>
      </w:r>
      <w:r>
        <w:rPr>
          <w:rFonts w:ascii="Calibri" w:hAnsi="Calibri"/>
          <w:b w:val="0"/>
          <w:i w:val="0"/>
          <w:color w:val="000000"/>
          <w:sz w:val="22"/>
        </w:rPr>
        <w:t>After pilot success, set the new Policy as the default on each relevant ADE token so new or unassigned inventory receives the correct Policy.</w:t>
      </w:r>
    </w:p>
    <w:p>
      <w:pPr>
        <w:spacing w:after="100"/>
        <w:ind w:left="259" w:hanging="259"/>
      </w:pPr>
      <w:r>
        <w:rPr>
          <w:rFonts w:ascii="Calibri" w:hAnsi="Calibri"/>
          <w:b/>
          <w:i w:val="0"/>
          <w:color w:val="1F4D78"/>
          <w:sz w:val="22"/>
        </w:rPr>
        <w:t xml:space="preserve">Phase 6 - Retirement: </w:t>
      </w:r>
      <w:r>
        <w:rPr>
          <w:rFonts w:ascii="Calibri" w:hAnsi="Calibri"/>
          <w:b w:val="0"/>
          <w:i w:val="0"/>
          <w:color w:val="000000"/>
          <w:sz w:val="22"/>
        </w:rPr>
        <w:t>Retain legacy Profiles through the agreed rollback period. Retire them only after no active serials, naming dependencies, filters or support processes rely on them.</w:t>
      </w:r>
    </w:p>
    <w:p>
      <w:pPr>
        <w:pStyle w:val="Heading2"/>
        <w:keepNext/>
      </w:pPr>
      <w:r>
        <w:rPr>
          <w:rFonts w:ascii="Calibri" w:hAnsi="Calibri"/>
          <w:b/>
          <w:i w:val="0"/>
          <w:color w:val="2E74B5"/>
          <w:sz w:val="26"/>
        </w:rPr>
        <w:t>Rollout controls and rollback</w:t>
      </w:r>
    </w:p>
    <w:p>
      <w:pPr>
        <w:pStyle w:val="ListBullet"/>
        <w:spacing w:after="80" w:line="280" w:lineRule="auto"/>
        <w:ind w:left="720" w:hanging="360"/>
      </w:pPr>
      <w:r>
        <w:rPr>
          <w:rFonts w:ascii="Calibri" w:hAnsi="Calibri"/>
          <w:b w:val="0"/>
          <w:i w:val="0"/>
          <w:color w:val="000000"/>
          <w:sz w:val="22"/>
        </w:rPr>
        <w:t>Do not use the default Policy as the migration mechanism for serials already assigned to a legacy Profile; explicitly reassign them.</w:t>
      </w:r>
    </w:p>
    <w:p>
      <w:pPr>
        <w:pStyle w:val="ListBullet"/>
        <w:spacing w:after="80" w:line="280" w:lineRule="auto"/>
        <w:ind w:left="720" w:hanging="360"/>
      </w:pPr>
      <w:r>
        <w:rPr>
          <w:rFonts w:ascii="Calibri" w:hAnsi="Calibri"/>
          <w:b w:val="0"/>
          <w:i w:val="0"/>
          <w:color w:val="000000"/>
          <w:sz w:val="22"/>
        </w:rPr>
        <w:t>Existing enrolled devices can remain in service. Enrolment Policy changes take effect when devices are factory-reset and activated again.</w:t>
      </w:r>
    </w:p>
    <w:p>
      <w:pPr>
        <w:pStyle w:val="ListBullet"/>
        <w:spacing w:after="80" w:line="280" w:lineRule="auto"/>
        <w:ind w:left="720" w:hanging="360"/>
      </w:pPr>
      <w:r>
        <w:rPr>
          <w:rFonts w:ascii="Calibri" w:hAnsi="Calibri"/>
          <w:b w:val="0"/>
          <w:i w:val="0"/>
          <w:color w:val="000000"/>
          <w:sz w:val="22"/>
        </w:rPr>
        <w:t>For a failed batch, stop subsequent migrations, restore the affected serial assignment to the legacy Profile, and wipe only the affected test or recovery devices.</w:t>
      </w:r>
    </w:p>
    <w:p>
      <w:pPr>
        <w:pStyle w:val="ListBullet"/>
        <w:spacing w:after="80" w:line="280" w:lineRule="auto"/>
        <w:ind w:left="720" w:hanging="360"/>
      </w:pPr>
      <w:r>
        <w:rPr>
          <w:rFonts w:ascii="Calibri" w:hAnsi="Calibri"/>
          <w:b w:val="0"/>
          <w:i w:val="0"/>
          <w:color w:val="000000"/>
          <w:sz w:val="22"/>
        </w:rPr>
        <w:t>Do not delete legacy Profiles during testing. Confirm device naming remains enforced by the replacement Policy before retirement.</w:t>
      </w:r>
    </w:p>
    <w:p>
      <w:pPr>
        <w:pStyle w:val="Heading2"/>
        <w:keepNext/>
      </w:pPr>
      <w:r>
        <w:rPr>
          <w:rFonts w:ascii="Calibri" w:hAnsi="Calibri"/>
          <w:b/>
          <w:i w:val="0"/>
          <w:color w:val="2E74B5"/>
          <w:sz w:val="26"/>
        </w:rPr>
        <w:t>Success criteria</w:t>
      </w:r>
    </w:p>
    <w:p>
      <w:pPr>
        <w:pStyle w:val="ListBullet"/>
        <w:spacing w:after="80" w:line="280" w:lineRule="auto"/>
        <w:ind w:left="720" w:hanging="360"/>
      </w:pPr>
      <w:r>
        <w:rPr>
          <w:rFonts w:ascii="Calibri" w:hAnsi="Calibri"/>
          <w:b w:val="0"/>
          <w:i w:val="0"/>
          <w:color w:val="000000"/>
          <w:sz w:val="22"/>
        </w:rPr>
        <w:t>Every migrated serial is assigned to the intended new Policy and no unapproved serial remains on a legacy Profile.</w:t>
      </w:r>
    </w:p>
    <w:p>
      <w:pPr>
        <w:pStyle w:val="ListBullet"/>
        <w:spacing w:after="80" w:line="280" w:lineRule="auto"/>
        <w:ind w:left="720" w:hanging="360"/>
      </w:pPr>
      <w:r>
        <w:rPr>
          <w:rFonts w:ascii="Calibri" w:hAnsi="Calibri"/>
          <w:b w:val="0"/>
          <w:i w:val="0"/>
          <w:color w:val="000000"/>
          <w:sz w:val="22"/>
        </w:rPr>
        <w:t>Setup Assistant, user affinity, Entra registration, compliance and Conditional Access work for each supported persona.</w:t>
      </w:r>
    </w:p>
    <w:p>
      <w:pPr>
        <w:pStyle w:val="ListBullet"/>
        <w:spacing w:after="80" w:line="280" w:lineRule="auto"/>
        <w:ind w:left="720" w:hanging="360"/>
      </w:pPr>
      <w:r>
        <w:rPr>
          <w:rFonts w:ascii="Calibri" w:hAnsi="Calibri"/>
          <w:b w:val="0"/>
          <w:i w:val="0"/>
          <w:color w:val="000000"/>
          <w:sz w:val="22"/>
        </w:rPr>
        <w:t>Required applications, certificates, Wi-Fi, VPN, restrictions and device naming arrive within the agreed provisioning window.</w:t>
      </w:r>
    </w:p>
    <w:p>
      <w:pPr>
        <w:pStyle w:val="ListBullet"/>
        <w:spacing w:after="80" w:line="280" w:lineRule="auto"/>
        <w:ind w:left="720" w:hanging="360"/>
      </w:pPr>
      <w:r>
        <w:rPr>
          <w:rFonts w:ascii="Calibri" w:hAnsi="Calibri"/>
          <w:b w:val="0"/>
          <w:i w:val="0"/>
          <w:color w:val="000000"/>
          <w:sz w:val="22"/>
        </w:rPr>
        <w:t>No critical enrolment, compliance or access incidents occur during the defined monitoring period for a rollout wave.</w:t>
      </w:r>
    </w:p>
    <w:p>
      <w:pPr>
        <w:pStyle w:val="ListBullet"/>
        <w:spacing w:after="80" w:line="280" w:lineRule="auto"/>
        <w:ind w:left="720" w:hanging="360"/>
      </w:pPr>
      <w:r>
        <w:rPr>
          <w:rFonts w:ascii="Calibri" w:hAnsi="Calibri"/>
          <w:b w:val="0"/>
          <w:i w:val="0"/>
          <w:color w:val="000000"/>
          <w:sz w:val="22"/>
        </w:rPr>
        <w:t>A documented rollback test has passed before production cutover.</w:t>
      </w:r>
    </w:p>
    <w:p>
      <w:pPr>
        <w:pStyle w:val="Heading1"/>
        <w:keepNext/>
      </w:pPr>
      <w:r>
        <w:rPr>
          <w:rFonts w:ascii="Calibri" w:hAnsi="Calibri"/>
          <w:b/>
          <w:i w:val="0"/>
          <w:color w:val="2E74B5"/>
          <w:sz w:val="32"/>
        </w:rPr>
        <w:t>References</w:t>
      </w:r>
    </w:p>
    <w:p>
      <w:pPr>
        <w:pStyle w:val="Reference"/>
        <w:ind w:left="259" w:hanging="259"/>
      </w:pPr>
      <w:r>
        <w:rPr>
          <w:rFonts w:ascii="Calibri" w:hAnsi="Calibri"/>
          <w:b w:val="0"/>
          <w:i w:val="0"/>
          <w:color w:val="5B6573"/>
          <w:sz w:val="18"/>
        </w:rPr>
        <w:t xml:space="preserve">1. Microsoft Intune Customer Success - New iOS/iPadOS, visionOS, tvOS and macOS ADE enrollment policies experience - </w:t>
      </w:r>
      <w:hyperlink r:id="rId11">
        <w:r>
          <w:rPr>
            <w:color w:val="2E74B5"/>
            <w:u w:val="single"/>
            <w:rFonts w:ascii="Calibri" w:hAnsi="Calibri"/>
          </w:rPr>
          <w:t>https://techcommunity.microsoft.com/blog/intunecustomersuccess/new-iosipados-visionos-tvos-and-macos-ade-enrollment-policies-experience/4393531</w:t>
        </w:r>
      </w:hyperlink>
    </w:p>
    <w:p>
      <w:pPr>
        <w:pStyle w:val="Reference"/>
        <w:ind w:left="259" w:hanging="259"/>
      </w:pPr>
      <w:r>
        <w:rPr>
          <w:rFonts w:ascii="Calibri" w:hAnsi="Calibri"/>
          <w:b w:val="0"/>
          <w:i w:val="0"/>
          <w:color w:val="5B6573"/>
          <w:sz w:val="18"/>
        </w:rPr>
        <w:t xml:space="preserve">2. Microsoft Learn - Tutorial: Set up Microsoft Intune enrollment for iOS/iPadOS devices in Apple Business - </w:t>
      </w:r>
      <w:hyperlink r:id="rId12">
        <w:r>
          <w:rPr>
            <w:color w:val="2E74B5"/>
            <w:u w:val="single"/>
            <w:rFonts w:ascii="Calibri" w:hAnsi="Calibri"/>
          </w:rPr>
          <w:t>https://learn.microsoft.com/en-us/intune/device-enrollment/apple/tutorial-automated-ios</w:t>
        </w:r>
      </w:hyperlink>
    </w:p>
    <w:p>
      <w:pPr>
        <w:pStyle w:val="Reference"/>
        <w:ind w:left="259" w:hanging="259"/>
      </w:pPr>
      <w:r>
        <w:rPr>
          <w:rFonts w:ascii="Calibri" w:hAnsi="Calibri"/>
          <w:b w:val="0"/>
          <w:i w:val="0"/>
          <w:color w:val="5B6573"/>
          <w:sz w:val="18"/>
        </w:rPr>
        <w:t xml:space="preserve">3. Microsoft Learn - Set up automated device enrollment (ADE) for iOS/iPadOS - </w:t>
      </w:r>
      <w:hyperlink r:id="rId13">
        <w:r>
          <w:rPr>
            <w:color w:val="2E74B5"/>
            <w:u w:val="single"/>
            <w:rFonts w:ascii="Calibri" w:hAnsi="Calibri"/>
          </w:rPr>
          <w:t>https://learn.microsoft.com/en-us/intune/device-enrollment/apple/setup-automated-ios</w:t>
        </w:r>
      </w:hyperlink>
    </w:p>
    <w:p>
      <w:pPr>
        <w:pStyle w:val="Reference"/>
        <w:ind w:left="259" w:hanging="259"/>
      </w:pPr>
      <w:r>
        <w:rPr>
          <w:rFonts w:ascii="Calibri" w:hAnsi="Calibri"/>
          <w:b w:val="0"/>
          <w:i w:val="0"/>
          <w:color w:val="5B6573"/>
          <w:sz w:val="18"/>
        </w:rPr>
        <w:t xml:space="preserve">4. Microsoft Learn - Set up just-in-time registration in Microsoft Intune - </w:t>
      </w:r>
      <w:hyperlink r:id="rId14">
        <w:r>
          <w:rPr>
            <w:color w:val="2E74B5"/>
            <w:u w:val="single"/>
            <w:rFonts w:ascii="Calibri" w:hAnsi="Calibri"/>
          </w:rPr>
          <w:t>https://learn.microsoft.com/en-us/intune/device-enrollment/apple/setup-just-in-time-registration</w:t>
        </w:r>
      </w:hyperlink>
    </w:p>
    <w:p>
      <w:pPr>
        <w:pStyle w:val="Reference"/>
        <w:ind w:left="259" w:hanging="259"/>
      </w:pPr>
      <w:r>
        <w:rPr>
          <w:rFonts w:ascii="Calibri" w:hAnsi="Calibri"/>
          <w:b w:val="0"/>
          <w:i w:val="0"/>
          <w:color w:val="5B6573"/>
          <w:sz w:val="18"/>
        </w:rPr>
        <w:t xml:space="preserve">5. Microsoft Learn - Assignment filter properties and operators reference - </w:t>
      </w:r>
      <w:hyperlink r:id="rId15">
        <w:r>
          <w:rPr>
            <w:color w:val="2E74B5"/>
            <w:u w:val="single"/>
            <w:rFonts w:ascii="Calibri" w:hAnsi="Calibri"/>
          </w:rPr>
          <w:t>https://learn.microsoft.com/en-us/intune/fundamentals/filters/ref-device-properties</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b w:val="0"/>
        <w:i w:val="0"/>
        <w:color w:val="5B6573"/>
        <w:sz w:val="17"/>
      </w:rPr>
      <w:t xml:space="preserve">iOS ADE Enrolment Policy Migration Plan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5B6573"/>
        <w:sz w:val="17"/>
      </w:rPr>
      <w:t>MICROSOFT INTUNE</w:t>
    </w:r>
    <w:r>
      <w:rPr>
        <w:rFonts w:ascii="Calibri" w:hAnsi="Calibri"/>
        <w:b w:val="0"/>
        <w:i w:val="0"/>
        <w:color w:val="5B6573"/>
        <w:sz w:val="17"/>
      </w:rPr>
      <w:t xml:space="preserve">  |  iOS ADE Enrolment Policy Migration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100" w:line="252" w:lineRule="auto"/>
    </w:pPr>
    <w:rPr>
      <w:rFonts w:ascii="Calibri" w:hAnsi="Calibri"/>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techcommunity.microsoft.com/blog/intunecustomersuccess/new-iosipados-visionos-tvos-and-macos-ade-enrollment-policies-experience/4393531" TargetMode="External"/><Relationship Id="rId12" Type="http://schemas.openxmlformats.org/officeDocument/2006/relationships/hyperlink" Target="https://learn.microsoft.com/en-us/intune/device-enrollment/apple/tutorial-automated-ios" TargetMode="External"/><Relationship Id="rId13" Type="http://schemas.openxmlformats.org/officeDocument/2006/relationships/hyperlink" Target="https://learn.microsoft.com/en-us/intune/device-enrollment/apple/setup-automated-ios" TargetMode="External"/><Relationship Id="rId14" Type="http://schemas.openxmlformats.org/officeDocument/2006/relationships/hyperlink" Target="https://learn.microsoft.com/en-us/intune/device-enrollment/apple/setup-just-in-time-registration" TargetMode="External"/><Relationship Id="rId15" Type="http://schemas.openxmlformats.org/officeDocument/2006/relationships/hyperlink" Target="https://learn.microsoft.com/en-us/intune/fundamentals/filters/ref-device-propert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iOS ADE Enrolment Policy Migration Plan</dc:title>
  <dc:subject>Microsoft Intune iOS/iPadOS ADE Policy Migration</dc:subject>
  <dc:creator>Endpoint Management</dc:creator>
  <cp:keywords/>
  <dc:description>Prepared for controlled migration from legacy iOS ADE Profiles to new ADE Policies.</dc:description>
  <cp:lastModifiedBy/>
  <cp:revision>1</cp:revision>
  <dcterms:created xsi:type="dcterms:W3CDTF">2013-12-23T23:15:00Z</dcterms:created>
  <dcterms:modified xsi:type="dcterms:W3CDTF">2013-12-23T23:15:00Z</dcterms:modified>
  <cp:category/>
</cp:coreProperties>
</file>