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a5ce85n4teb3" w:id="0"/>
      <w:bookmarkEnd w:id="0"/>
      <w:r w:rsidDel="00000000" w:rsidR="00000000" w:rsidRPr="00000000">
        <w:rPr>
          <w:rtl w:val="0"/>
        </w:rPr>
        <w:t xml:space="preserve">Dynamically Typed Languages: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language can be considered dynamically typed when the variable type is associated by the runtime values of the system not named fields.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Dynamically typed languages are often less verbose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dynamically typed languages, you don’t need to wait until a compiler is finished before changes can be tested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Debugging time is spent mostly on logic errors rather than syntax issues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refactoring the code, the area in which they affect is less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dldgc64hmkuf" w:id="1"/>
      <w:bookmarkEnd w:id="1"/>
      <w:r w:rsidDel="00000000" w:rsidR="00000000" w:rsidRPr="00000000">
        <w:rPr>
          <w:rtl w:val="0"/>
        </w:rPr>
        <w:t xml:space="preserve">Statically typed languages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language would be considered to be statically typed if the type of variables being used is known to the system at the time in which it is complied.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large amount of checking can be done with the compiler, this can catch some of the more trivial issues at an earlier stage.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work with relational databases easier than a dynamically typed language would be able 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more options with dynamically typed languages for compiler optimization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