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60" w:after="160"/>
        <w:jc w:val="left"/>
        <w:rPr/>
      </w:pPr>
      <w:bookmarkStart w:id="0" w:name="architectural-synthesis-of-modern-urban-"/>
      <w:bookmarkEnd w:id="0"/>
      <w:r>
        <w:rPr/>
        <w:t>Architectural Synthesis of Modern Urban Ecosystems</w:t>
      </w:r>
    </w:p>
    <w:p>
      <w:pPr>
        <w:pStyle w:val="Quotations"/>
        <w:bidi w:val="0"/>
        <w:spacing w:before="0" w:after="283"/>
        <w:ind w:left="567" w:right="567" w:hanging="0"/>
        <w:rPr/>
      </w:pPr>
      <w:r>
        <w:rPr>
          <w:rStyle w:val="StrongEmphasis"/>
        </w:rPr>
        <w:t>Abstract:</w:t>
      </w:r>
      <w:r>
        <w:rPr/>
        <w:t xml:space="preserve"> An analysis of resilient urban infrastructure, spatial harmony, and high-density residential integration in contemporary megacities.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2"/>
        <w:bidi w:val="0"/>
        <w:jc w:val="left"/>
        <w:rPr/>
      </w:pPr>
      <w:bookmarkStart w:id="1" w:name="introduction-core-foundations"/>
      <w:bookmarkEnd w:id="1"/>
      <w:r>
        <w:rPr/>
        <w:t>1. Introduction &amp; Core Foundations</w:t>
      </w:r>
    </w:p>
    <w:p>
      <w:pPr>
        <w:pStyle w:val="TextBody"/>
        <w:widowControl/>
        <w:bidi w:val="0"/>
        <w:spacing w:lineRule="auto" w:line="276" w:before="0" w:after="140"/>
        <w:rPr/>
      </w:pPr>
      <w:r>
        <w:rPr/>
        <w:t>Urban planning in the 21st century requires a delicate balance between structural density, environmental sustainability, and human-centric design. As population density shifts upward, architects must leverage advanced material science alongside modular layout patterns.</w:t>
      </w:r>
    </w:p>
    <w:p>
      <w:pPr>
        <w:pStyle w:val="Heading3"/>
        <w:bidi w:val="0"/>
        <w:jc w:val="left"/>
        <w:rPr/>
      </w:pPr>
      <w:bookmarkStart w:id="2" w:name="key-architectural-pillars"/>
      <w:bookmarkEnd w:id="2"/>
      <w:r>
        <w:rPr/>
        <w:t>Key Architectural Pillars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color w:val="C5221F"/>
          <w:shd w:fill="FCE8E6" w:val="clear"/>
        </w:rPr>
        <w:t>CRITICAL</w:t>
      </w:r>
      <w:r>
        <w:rPr/>
        <w:t xml:space="preserve"> </w:t>
      </w:r>
      <w:r>
        <w:rPr>
          <w:rStyle w:val="StrongEmphasis"/>
        </w:rPr>
        <w:t>Structural Resilience:</w:t>
      </w:r>
      <w:r>
        <w:rPr/>
        <w:t xml:space="preserve"> High-yield steel alloys and cross-laminated timber (</w:t>
      </w:r>
      <w:r>
        <w:rPr>
          <w:color w:val="1A73E8"/>
          <w:shd w:fill="E8F0FE" w:val="clear"/>
        </w:rPr>
        <w:t>CLT</w:t>
      </w:r>
      <w:r>
        <w:rPr/>
        <w:t xml:space="preserve">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color w:val="B06000"/>
          <w:shd w:fill="FEF7E0" w:val="clear"/>
        </w:rPr>
        <w:t>WARNING</w:t>
      </w:r>
      <w:r>
        <w:rPr/>
        <w:t xml:space="preserve"> </w:t>
      </w:r>
      <w:r>
        <w:rPr>
          <w:rStyle w:val="StrongEmphasis"/>
        </w:rPr>
        <w:t>Thermal Envelope:</w:t>
      </w:r>
      <w:r>
        <w:rPr/>
        <w:t xml:space="preserve"> Double-skin facade systems with dynamic shading elements (</w:t>
      </w:r>
      <w:r>
        <w:rPr>
          <w:color w:val="C5221F"/>
          <w:shd w:fill="FCE8E6" w:val="clear"/>
        </w:rPr>
        <w:t>High Solar Heat Gain</w:t>
      </w:r>
      <w:r>
        <w:rPr/>
        <w:t xml:space="preserve">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b/>
          <w:color w:val="137333"/>
          <w:shd w:fill="E6F4EA" w:val="clear"/>
        </w:rPr>
        <w:t>OPTIMAL</w:t>
      </w:r>
      <w:r>
        <w:rPr/>
        <w:t xml:space="preserve"> </w:t>
      </w:r>
      <w:r>
        <w:rPr>
          <w:rStyle w:val="StrongEmphasis"/>
        </w:rPr>
        <w:t>Passive Ventilation:</w:t>
      </w:r>
      <w:r>
        <w:rPr/>
        <w:t xml:space="preserve"> Natural stack effect driving cross-breeze airflow across living modules.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jc w:val="left"/>
        <w:rPr/>
      </w:pPr>
      <w:bookmarkStart w:id="3" w:name="spatial-mapping-zone-classifications"/>
      <w:bookmarkEnd w:id="3"/>
      <w:r>
        <w:rPr/>
        <w:t>2. Spatial Mapping &amp; Zone Classifications</w:t>
      </w:r>
    </w:p>
    <w:p>
      <w:pPr>
        <w:pStyle w:val="TextBody"/>
        <w:widowControl/>
        <w:bidi w:val="0"/>
        <w:spacing w:lineRule="auto" w:line="276" w:before="0" w:after="140"/>
        <w:rPr/>
      </w:pPr>
      <w:r>
        <w:rPr/>
        <w:t>To optimize municipal efficiency, urban zones are classified according to continuous thermal, acoustic, and utility impact metrics.</w:t>
      </w:r>
    </w:p>
    <w:tbl>
      <w:tblPr>
        <w:tblW w:w="82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2866"/>
        <w:gridCol w:w="2461"/>
        <w:gridCol w:w="1636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Zone Code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Category Description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Environmental Index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Target Status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</w:rPr>
              <w:t>Z-101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High-Density Residential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  <w:shd w:fill="D79921" w:val="clear"/>
              </w:rPr>
            </w:pPr>
            <w:r>
              <w:rPr>
                <w:color w:val="FFFFFF"/>
                <w:shd w:fill="D79921" w:val="clear"/>
              </w:rPr>
              <w:t>Moderate Heat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137333"/>
                <w:shd w:fill="E6F4EA" w:val="clear"/>
              </w:rPr>
            </w:pPr>
            <w:r>
              <w:rPr>
                <w:color w:val="137333"/>
                <w:shd w:fill="E6F4EA" w:val="clear"/>
              </w:rPr>
              <w:t xml:space="preserve">✔ </w:t>
            </w:r>
            <w:r>
              <w:rPr>
                <w:color w:val="137333"/>
                <w:shd w:fill="E6F4EA" w:val="clear"/>
              </w:rPr>
              <w:t>Active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</w:rPr>
              <w:t>Z-204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Commercial &amp; Transit Hub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  <w:shd w:fill="CC241D" w:val="clear"/>
              </w:rPr>
            </w:pPr>
            <w:r>
              <w:rPr>
                <w:color w:val="FFFFFF"/>
                <w:shd w:fill="CC241D" w:val="clear"/>
              </w:rPr>
              <w:t>Critical Noise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B06000"/>
                <w:shd w:fill="FEF7E0" w:val="clear"/>
              </w:rPr>
            </w:pPr>
            <w:r>
              <w:rPr>
                <w:color w:val="B06000"/>
                <w:shd w:fill="FEF7E0" w:val="clear"/>
              </w:rPr>
              <w:t xml:space="preserve">⚠ </w:t>
            </w:r>
            <w:r>
              <w:rPr>
                <w:color w:val="B06000"/>
                <w:shd w:fill="FEF7E0" w:val="clear"/>
              </w:rPr>
              <w:t>Review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</w:rPr>
              <w:t>Z-309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Public Green Belt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  <w:shd w:fill="689D6A" w:val="clear"/>
              </w:rPr>
            </w:pPr>
            <w:r>
              <w:rPr>
                <w:color w:val="FFFFFF"/>
                <w:shd w:fill="689D6A" w:val="clear"/>
              </w:rPr>
              <w:t>Low Carbon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137333"/>
                <w:shd w:fill="E6F4EA" w:val="clear"/>
              </w:rPr>
            </w:pPr>
            <w:r>
              <w:rPr>
                <w:color w:val="137333"/>
                <w:shd w:fill="E6F4EA" w:val="clear"/>
              </w:rPr>
              <w:t xml:space="preserve">✔ </w:t>
            </w:r>
            <w:r>
              <w:rPr>
                <w:color w:val="137333"/>
                <w:shd w:fill="E6F4EA" w:val="clear"/>
              </w:rPr>
              <w:t>Active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</w:rPr>
              <w:t>Z-412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Heavy Industrial Perimeter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  <w:shd w:fill="458588" w:val="clear"/>
              </w:rPr>
            </w:pPr>
            <w:r>
              <w:rPr>
                <w:color w:val="FFFFFF"/>
                <w:shd w:fill="458588" w:val="clear"/>
              </w:rPr>
              <w:t>High Emission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C5221F"/>
                <w:shd w:fill="FCE8E6" w:val="clear"/>
              </w:rPr>
            </w:pPr>
            <w:r>
              <w:rPr>
                <w:color w:val="C5221F"/>
                <w:shd w:fill="FCE8E6" w:val="clear"/>
              </w:rPr>
              <w:t xml:space="preserve">✖ </w:t>
            </w:r>
            <w:r>
              <w:rPr>
                <w:color w:val="C5221F"/>
                <w:shd w:fill="FCE8E6" w:val="clear"/>
              </w:rPr>
              <w:t>Restricted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2"/>
        <w:bidi w:val="0"/>
        <w:jc w:val="left"/>
        <w:rPr/>
      </w:pPr>
      <w:bookmarkStart w:id="4" w:name="comparative-material-performance"/>
      <w:bookmarkEnd w:id="4"/>
      <w:r>
        <w:rPr/>
        <w:t>3. Comparative Material Performance</w:t>
      </w:r>
    </w:p>
    <w:p>
      <w:pPr>
        <w:pStyle w:val="PreformattedText"/>
        <w:bidi w:val="0"/>
        <w:spacing w:before="0" w:after="0"/>
        <w:rPr/>
      </w:pPr>
      <w:r>
        <w:rPr>
          <w:rStyle w:val="SourceText"/>
        </w:rPr>
        <w:t>+-------------------+--------------------+--------------------+--------------------+</w:t>
      </w:r>
    </w:p>
    <w:p>
      <w:pPr>
        <w:pStyle w:val="PreformattedText"/>
        <w:bidi w:val="0"/>
        <w:spacing w:before="0" w:after="0"/>
        <w:rPr/>
      </w:pPr>
      <w:r>
        <w:rPr>
          <w:rStyle w:val="SourceText"/>
        </w:rPr>
        <w:t>| Material Vector   | Tensile Strength   | Carbon Footprint   | Thermal Mass       |</w:t>
      </w:r>
    </w:p>
    <w:p>
      <w:pPr>
        <w:pStyle w:val="PreformattedText"/>
        <w:bidi w:val="0"/>
        <w:spacing w:before="0" w:after="0"/>
        <w:rPr/>
      </w:pPr>
      <w:r>
        <w:rPr>
          <w:rStyle w:val="SourceText"/>
        </w:rPr>
        <w:t>+-------------------+--------------------+--------------------+--------------------+</w:t>
      </w:r>
    </w:p>
    <w:p>
      <w:pPr>
        <w:pStyle w:val="PreformattedText"/>
        <w:bidi w:val="0"/>
        <w:spacing w:before="0" w:after="0"/>
        <w:rPr/>
      </w:pPr>
      <w:r>
        <w:rPr>
          <w:rStyle w:val="SourceText"/>
        </w:rPr>
        <w:t>| Reinforced Concrete| &lt;span style="color:#b16286; font-weight:bold;"&gt;450 MPa&lt;/span&gt;            | &lt;span style="background:#fce8e6; color:#c5221f;"&gt;High (410 kg/m³)&lt;/span&gt;   | &lt;span style="background:#e8f0fe; color:#1a73e8;"&gt;Excellent&lt;/span&gt;           |</w:t>
      </w:r>
    </w:p>
    <w:p>
      <w:pPr>
        <w:pStyle w:val="PreformattedText"/>
        <w:bidi w:val="0"/>
        <w:spacing w:before="0" w:after="0"/>
        <w:rPr/>
      </w:pPr>
      <w:r>
        <w:rPr>
          <w:rStyle w:val="SourceText"/>
        </w:rPr>
        <w:t>| Cross-Laminated   | &lt;span style="color:#b16286; font-weight:bold;"&gt;120 MPa&lt;/span&gt;            | &lt;span style="background:#e6f4ea; color:#137333;"&gt;Negative (-180)&lt;/span&gt;    | &lt;span style="background:#fef7e0; color:#b06000;"&gt;Moderate&lt;/span&gt;            |</w:t>
      </w:r>
    </w:p>
    <w:p>
      <w:pPr>
        <w:pStyle w:val="PreformattedText"/>
        <w:bidi w:val="0"/>
        <w:spacing w:before="0" w:after="0"/>
        <w:rPr/>
      </w:pPr>
      <w:r>
        <w:rPr>
          <w:rStyle w:val="SourceText"/>
        </w:rPr>
        <w:t>| Aerated Autoclave  | &lt;span style="color:#b16286; font-weight:bold;"&gt;15 MPa&lt;/span&gt;             | &lt;span style="background:#e6f4ea; color:#137333;"&gt;Low (90 kg/m³)&lt;/span&gt;     | &lt;span style="background:#e8f0fe; color:#1a73e8;"&gt;Very High&lt;/span&gt;          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+-------------------+--------------------+--------------------+--------------------+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2"/>
        <w:bidi w:val="0"/>
        <w:jc w:val="left"/>
        <w:rPr/>
      </w:pPr>
      <w:bookmarkStart w:id="5" w:name="analytical-case-study-the-meridian-tower"/>
      <w:bookmarkEnd w:id="5"/>
      <w:r>
        <w:rPr/>
        <w:t>4. Analytical Case Study: The Meridian Tower</w:t>
      </w:r>
    </w:p>
    <w:p>
      <w:pPr>
        <w:pStyle w:val="TextBody"/>
        <w:widowControl/>
        <w:bidi w:val="0"/>
        <w:spacing w:lineRule="auto" w:line="276" w:before="0" w:after="140"/>
        <w:rPr/>
      </w:pPr>
      <w:r>
        <w:rPr/>
        <w:t>In the development of the Meridian Tower project, specific material choices directly influenced localized ambient temperature profiles.</w:t>
      </w:r>
    </w:p>
    <w:p>
      <w:pPr>
        <w:pStyle w:val="Heading3"/>
        <w:bidi w:val="0"/>
        <w:jc w:val="left"/>
        <w:rPr/>
      </w:pPr>
      <w:bookmarkStart w:id="6" w:name="thermal-dispersion-analysis"/>
      <w:bookmarkEnd w:id="6"/>
      <w:r>
        <w:rPr/>
        <w:t>Thermal Dispersion Analysis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rPr/>
      </w:pPr>
      <w:r>
        <w:rPr>
          <w:rStyle w:val="StrongEmphasis"/>
        </w:rPr>
        <w:t>Upper Canopy Layer:</w:t>
      </w:r>
      <w:r>
        <w:rPr/>
        <w:t xml:space="preserve"> Integrated with integrated solar tiles (</w:t>
      </w:r>
      <w:r>
        <w:rPr>
          <w:color w:val="1D2021"/>
          <w:shd w:fill="8EC07C" w:val="clear"/>
        </w:rPr>
        <w:t>Efficiency 22.4%</w:t>
      </w:r>
      <w:r>
        <w:rPr/>
        <w:t xml:space="preserve">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rPr/>
      </w:pPr>
      <w:r>
        <w:rPr>
          <w:rStyle w:val="StrongEmphasis"/>
        </w:rPr>
        <w:t>Mid-tier Atrium:</w:t>
      </w:r>
      <w:r>
        <w:rPr/>
        <w:t xml:space="preserve"> Uses low-emissivity double-glazed panels with </w:t>
      </w:r>
      <w:r>
        <w:rPr>
          <w:b/>
          <w:color w:val="282828"/>
          <w:shd w:fill="FABD2F" w:val="clear"/>
        </w:rPr>
        <w:t>Gold-tint IR filters</w:t>
      </w:r>
      <w:r>
        <w:rPr/>
        <w:t xml:space="preserve"> to reduce radiant heating.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left="720" w:hanging="360"/>
        <w:rPr/>
      </w:pPr>
      <w:r>
        <w:rPr>
          <w:rStyle w:val="StrongEmphasis"/>
        </w:rPr>
        <w:t>Sub-ground Foundations:</w:t>
      </w:r>
      <w:r>
        <w:rPr/>
        <w:t xml:space="preserve"> Geothermal heat exchangers delivering constant temperature regulation at </w:t>
      </w:r>
      <w:r>
        <w:rPr>
          <w:color w:val="0D1011"/>
          <w:shd w:fill="83A598" w:val="clear"/>
        </w:rPr>
        <w:t>14°C Baseline</w:t>
      </w:r>
      <w:r>
        <w:rPr/>
        <w:t xml:space="preserve">. </w:t>
      </w:r>
    </w:p>
    <w:p>
      <w:pPr>
        <w:pStyle w:val="Quotations"/>
        <w:bidi w:val="0"/>
        <w:rPr/>
      </w:pPr>
      <w:r>
        <w:rPr>
          <w:rStyle w:val="Emphasis"/>
        </w:rPr>
        <w:t>Note:</w:t>
      </w:r>
      <w:r>
        <w:rPr/>
        <w:t xml:space="preserve"> Highlighted metrics reflect seasonal peak operations. For standard off-peak evaluations, refer to </w:t>
      </w:r>
      <w:r>
        <w:rPr>
          <w:color w:val="FFFFFF"/>
          <w:shd w:fill="D3869B" w:val="clear"/>
        </w:rPr>
        <w:t>Appendix B-12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2"/>
        <w:bidi w:val="0"/>
        <w:jc w:val="left"/>
        <w:rPr/>
      </w:pPr>
      <w:bookmarkStart w:id="7" w:name="conclusion-recommendations"/>
      <w:bookmarkEnd w:id="7"/>
      <w:r>
        <w:rPr/>
        <w:t>5. Conclusion &amp; Recommendations</w:t>
      </w:r>
    </w:p>
    <w:p>
      <w:pPr>
        <w:pStyle w:val="TextBody"/>
        <w:widowControl/>
        <w:bidi w:val="0"/>
        <w:spacing w:lineRule="auto" w:line="276" w:before="0" w:after="140"/>
        <w:rPr/>
      </w:pPr>
      <w:r>
        <w:rPr/>
        <w:t xml:space="preserve">Future developments must mandate </w:t>
      </w:r>
      <w:r>
        <w:rPr>
          <w:b/>
          <w:color w:val="FFFFFF"/>
          <w:shd w:fill="FE8019" w:val="clear"/>
        </w:rPr>
        <w:t>Grade-A Net Zero</w:t>
      </w:r>
      <w:r>
        <w:rPr/>
        <w:t xml:space="preserve"> building codes across all downtown sectors. Using granular HTML inline tags allows project managers to flag, emphasize, and categorize structural documentation seamlessly.</w:t>
      </w:r>
    </w:p>
    <w:sectPr>
      <w:type w:val="nextPage"/>
      <w:pgSz w:w="11906" w:h="16838"/>
      <w:pgMar w:left="1559" w:right="1559" w:gutter="0" w:header="0" w:top="1531" w:footer="0" w:bottom="116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TC">
    <w:altName w:val="sans-serif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9"/>
      <w:jc w:val="both"/>
    </w:pPr>
    <w:rPr>
      <w:rFonts w:ascii="Noto Sans CJK TC;sans-serif" w:hAnsi="Noto Sans CJK TC;sans-serif" w:eastAsia="Noto Sans CJK TC;sans-serif" w:cs="Noto Sans CJK TC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285" w:before="260" w:after="160"/>
      <w:ind w:left="260" w:right="260" w:hanging="0"/>
      <w:jc w:val="left"/>
      <w:outlineLvl w:val="0"/>
    </w:pPr>
    <w:rPr>
      <w:rFonts w:ascii="Liberation Serif" w:hAnsi="Liberation Serif" w:eastAsia="Noto Serif CJK SC" w:cs="FreeSans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spacing w:lineRule="auto" w:line="288" w:before="200" w:after="120"/>
      <w:ind w:left="200" w:right="200" w:hanging="0"/>
      <w:jc w:val="left"/>
      <w:outlineLvl w:val="1"/>
    </w:pPr>
    <w:rPr>
      <w:rFonts w:ascii="Liberation Serif" w:hAnsi="Liberation Serif" w:eastAsia="Noto Serif CJK SC" w:cs="FreeSans"/>
      <w:b/>
      <w:bCs/>
      <w:sz w:val="25"/>
      <w:szCs w:val="25"/>
    </w:rPr>
  </w:style>
  <w:style w:type="paragraph" w:styleId="Heading3">
    <w:name w:val="Heading 3"/>
    <w:basedOn w:val="Heading"/>
    <w:next w:val="TextBody"/>
    <w:qFormat/>
    <w:pPr>
      <w:spacing w:lineRule="auto" w:line="292" w:before="180" w:after="100"/>
      <w:ind w:left="180" w:right="180" w:hanging="0"/>
      <w:jc w:val="left"/>
      <w:outlineLvl w:val="2"/>
    </w:pPr>
    <w:rPr>
      <w:rFonts w:ascii="Liberation Serif" w:hAnsi="Liberation Serif" w:eastAsia="Noto Serif CJK SC" w:cs="FreeSans"/>
      <w:b/>
      <w:bCs/>
      <w:sz w:val="23"/>
      <w:szCs w:val="23"/>
    </w:rPr>
  </w:style>
  <w:style w:type="paragraph" w:styleId="Heading4">
    <w:name w:val="Heading 4"/>
    <w:basedOn w:val="Heading"/>
    <w:next w:val="TextBody"/>
    <w:qFormat/>
    <w:pPr>
      <w:spacing w:lineRule="auto" w:line="283" w:before="120" w:after="120"/>
      <w:jc w:val="left"/>
      <w:outlineLvl w:val="3"/>
    </w:pPr>
    <w:rPr>
      <w:rFonts w:ascii="Liberation Serif" w:hAnsi="Liberation Serif" w:eastAsia="Noto Serif CJK SC" w:cs="FreeSans"/>
      <w:b/>
      <w:bCs/>
      <w:sz w:val="22"/>
      <w:szCs w:val="22"/>
    </w:rPr>
  </w:style>
  <w:style w:type="paragraph" w:styleId="Heading5">
    <w:name w:val="Heading 5"/>
    <w:basedOn w:val="Heading"/>
    <w:next w:val="TextBody"/>
    <w:qFormat/>
    <w:pPr>
      <w:spacing w:before="120" w:after="60"/>
      <w:jc w:val="left"/>
      <w:outlineLvl w:val="4"/>
    </w:pPr>
    <w:rPr>
      <w:rFonts w:ascii="Liberation Serif" w:hAnsi="Liberation Serif" w:eastAsia="Noto Serif CJK SC" w:cs="FreeSans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spacing w:before="60" w:after="60"/>
      <w:jc w:val="left"/>
      <w:outlineLvl w:val="5"/>
    </w:pPr>
    <w:rPr>
      <w:rFonts w:ascii="Liberation Serif" w:hAnsi="Liberation Serif" w:eastAsia="Noto Serif CJK SC" w:cs="FreeSans"/>
      <w:b/>
      <w:bCs/>
      <w:sz w:val="14"/>
      <w:szCs w:val="1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example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