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Построить графики изменения оборотных средств.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Compact"/>
        <w:numPr>
          <w:ilvl w:val="0"/>
          <w:numId w:val="1001"/>
        </w:numPr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– оборотные средства предприятия.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(критическая стоимость продукта)потребители отказываются от приобретения товара. Величина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S</m:t>
          </m:r>
          <m:r>
            <m:t>q</m:t>
          </m:r>
          <m:r>
            <m:rPr>
              <m:sty m:val="p"/>
            </m:rPr>
            <m:t>/</m:t>
          </m:r>
          <m:r>
            <m:t>k</m:t>
          </m:r>
        </m:oMath>
      </m:oMathPara>
    </w:p>
    <w:p>
      <w:pPr>
        <w:pStyle w:val="FirstParagraph"/>
      </w:pPr>
      <w:r>
        <w:t xml:space="preserve">Параметр k – мера эластичности функции спроса по цене. Таким образом, функция спроса в форме (1) является пороговой, то есть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издержках, в случае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&lt;</m:t>
          </m:r>
          <m:r>
            <m:t>4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 играют роль, только в случае, когда оборотные средства малы. При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a</m:t>
          </m:r>
        </m:oMath>
      </m:oMathPara>
    </w:p>
    <w:p>
      <w:pPr>
        <w:pStyle w:val="FirstParagraph"/>
      </w:pP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c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</m:oMath>
      </m:oMathPara>
    </w:p>
    <w:p>
      <w:pPr>
        <w:pStyle w:val="FirstParagraph"/>
      </w:pPr>
      <w:r>
        <w:t xml:space="preserve">устойчиво и соответствует стабильному функционированию предприятия. Второе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неустойчиво, так что при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оборотные средства падают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&lt;</m:t>
          </m:r>
          <m:r>
            <m:t>0</m:t>
          </m:r>
        </m:oMath>
      </m:oMathPara>
    </w:p>
    <w:p>
      <w:pPr>
        <w:pStyle w:val="FirstParagraph"/>
      </w:pPr>
      <w:r>
        <w:t xml:space="preserve">то есть, фирма идет к банкротству.</w:t>
      </w:r>
    </w:p>
    <w:p>
      <w:pPr>
        <w:pStyle w:val="BodyText"/>
      </w:pPr>
      <w:r>
        <w:t xml:space="preserve">По смыслу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всюду входит в сочетании с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а параметр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будем считать временем цикла, с учётом сказанного.</w:t>
      </w:r>
    </w:p>
    <w:p>
      <w:pPr>
        <w:pStyle w:val="Compact"/>
        <w:numPr>
          <w:ilvl w:val="0"/>
          <w:numId w:val="1002"/>
        </w:numPr>
      </w:pPr>
      <w:r>
        <w:t xml:space="preserve">Конкуренция двух фирм</w:t>
      </w:r>
    </w:p>
    <w:p>
      <w:pPr>
        <w:pStyle w:val="FirstParagraph"/>
      </w:pPr>
      <w:r>
        <w:t xml:space="preserve">2.1. 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 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;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p</m:t>
          </m:r>
          <m:r>
            <m:t>c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2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(κ_1, κ_2) пренебрежимо малы. И введем нормировку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(17) необходимо знать начальные условия.</w:t>
      </w:r>
    </w:p>
    <w:p>
      <w:pPr>
        <w:pStyle w:val="BodyText"/>
      </w:pPr>
      <w:r>
        <w:t xml:space="preserve">2.2. 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</w:p>
    <w:p>
      <w:pPr>
        <w:pStyle w:val="BodyText"/>
      </w:pPr>
      <w:r>
        <w:t xml:space="preserve">Получим следующую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54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47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FirstParagraph"/>
      </w:pPr>
      <w:r>
        <w:rPr>
          <w:b/>
          <w:bCs/>
        </w:rPr>
        <w:t xml:space="preserve">Замечание:</w:t>
      </w:r>
      <w:r>
        <w:rPr>
          <w:b/>
          <w:bCs/>
        </w:rPr>
        <w:t xml:space="preserve"> </w:t>
      </w:r>
      <w:r>
        <w:t xml:space="preserve">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указаны в тысячах единиц, а 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– безразмерное время</w:t>
      </w:r>
    </w:p>
    <w:p>
      <w:pPr>
        <w:pStyle w:val="BodyText"/>
      </w:pPr>
      <w:r>
        <w:t xml:space="preserve">1.Постройте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BodyText"/>
      </w:pPr>
      <w:r>
        <w:t xml:space="preserve">2.Постройте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код"/>
    <w:p>
      <w:pPr>
        <w:pStyle w:val="Heading2"/>
      </w:pPr>
      <w:r>
        <w:t xml:space="preserve">код</w:t>
      </w:r>
    </w:p>
    <w:bookmarkStart w:id="26" w:name="решение-для-случая-1-рис.--fig001."/>
    <w:p>
      <w:pPr>
        <w:pStyle w:val="Heading3"/>
      </w:pPr>
      <w:r>
        <w:t xml:space="preserve">Решение для случая 1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Параметры модели и начальные условия</w:t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# Вычисление коэффициентов для уравнений</w:t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Функция дифференциальных уравнений</w:t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# Система ОДУ для двух фирм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(c1/c1)*u[1]-(a1/c1)*u[1]*u[1]-(b/c1)*u[1]*u[2]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интервал времени для решения ОДУ</w:t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# Извлечение данных из решения</w:t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 решений</w:t>
      </w:r>
      <w:r>
        <w:br/>
      </w:r>
      <w:r>
        <w:rPr>
          <w:rStyle w:val="VerbatimChar"/>
        </w:rPr>
        <w:t xml:space="preserve">plt = plot(layout=(1), dpi=300, legend=true)</w:t>
      </w:r>
      <w:r>
        <w:br/>
      </w:r>
      <w:r>
        <w:rPr>
          <w:rStyle w:val="VerbatimChar"/>
        </w:rPr>
        <w:t xml:space="preserve">plot!(plt[1], T, M1, title="График M для случая 1", label="Решение уравнения 1", color=:blue)</w:t>
      </w:r>
      <w:r>
        <w:br/>
      </w:r>
      <w:r>
        <w:rPr>
          <w:rStyle w:val="VerbatimChar"/>
        </w:rPr>
        <w:t xml:space="preserve">plot!(plt[1], T, M2, label="Решение уравнения 2", color=:green)</w:t>
      </w:r>
      <w:r>
        <w:br/>
      </w:r>
      <w:r>
        <w:br/>
      </w:r>
      <w:r>
        <w:rPr>
          <w:rStyle w:val="VerbatimChar"/>
        </w:rPr>
        <w:t xml:space="preserve"># Сохранение графика       </w:t>
      </w:r>
      <w:r>
        <w:br/>
      </w:r>
      <w:r>
        <w:rPr>
          <w:rStyle w:val="VerbatimChar"/>
        </w:rPr>
        <w:t xml:space="preserve">savefig("lab8_1.png")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" title="" id="24" name="Picture"/>
            <a:graphic>
              <a:graphicData uri="http://schemas.openxmlformats.org/drawingml/2006/picture">
                <pic:pic>
                  <pic:nvPicPr>
                    <pic:cNvPr descr="image/lab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26"/>
    <w:bookmarkStart w:id="30" w:name="решение-для-случая-2-рис.--fig002."/>
    <w:p>
      <w:pPr>
        <w:pStyle w:val="Heading3"/>
      </w:pPr>
      <w:r>
        <w:t xml:space="preserve">Решение для случая 2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Задаем параметры модели</w:t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# Вычисляем коэффициенты для дифференциальных уравнений</w:t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Функция для системы ОДУ</w:t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# Система ОДУ для двух фирм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(c1/c1)*u[1]-(a1/c1)*u[1]*u[1]-((b/c1)+0.00044)*u[1]*u[2]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решение системы ОДУ</w:t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# Извлекаем решения для M1 и M2</w:t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 изменений M1 и M2</w:t>
      </w:r>
      <w:r>
        <w:br/>
      </w:r>
      <w:r>
        <w:rPr>
          <w:rStyle w:val="VerbatimChar"/>
        </w:rPr>
        <w:t xml:space="preserve">plt = plot(T, M1, label="Решение уравнения 1", color=:red, title="График M1", xlabel="Время", ylabel="M1")</w:t>
      </w:r>
      <w:r>
        <w:br/>
      </w:r>
      <w:r>
        <w:rPr>
          <w:rStyle w:val="VerbatimChar"/>
        </w:rPr>
        <w:t xml:space="preserve">plot!(T, M2, label="Решение уравнения 2", color=:blue, title="График M2", xlabel="Время", ylabel="M2")</w:t>
      </w:r>
      <w:r>
        <w:br/>
      </w:r>
      <w:r>
        <w:br/>
      </w:r>
      <w:r>
        <w:rPr>
          <w:rStyle w:val="VerbatimChar"/>
        </w:rPr>
        <w:t xml:space="preserve"># Сохраняем графики в файл</w:t>
      </w:r>
      <w:r>
        <w:br/>
      </w:r>
      <w:r>
        <w:rPr>
          <w:rStyle w:val="VerbatimChar"/>
        </w:rPr>
        <w:t xml:space="preserve">savefig("lab8_2.png")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" title="" id="28" name="Picture"/>
            <a:graphic>
              <a:graphicData uri="http://schemas.openxmlformats.org/drawingml/2006/picture">
                <pic:pic>
                  <pic:nvPicPr>
                    <pic:cNvPr descr="image/lab8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фирма M2,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фирмы M1 остается без изменения: достигнув максимального значения, остается на этом уровне.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рассмотрела модель конкуренции двух фирм. Построила графики изменения оборотных средств и проанализировала их.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Акондзо Жордани Лади Гаэл</dc:creator>
  <dc:language>ru-RU</dc:language>
  <cp:keywords/>
  <dcterms:created xsi:type="dcterms:W3CDTF">2024-04-21T14:09:00Z</dcterms:created>
  <dcterms:modified xsi:type="dcterms:W3CDTF">2024-04-21T14:09:00Z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