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8</w:t>
      </w:r>
    </w:p>
    <w:p>
      <w:pPr>
        <w:pStyle w:val="Subtitle"/>
      </w:pPr>
      <w:r>
        <w:t xml:space="preserve">Простейший</w:t>
      </w:r>
      <w:r>
        <w:t xml:space="preserve"> </w:t>
      </w:r>
      <w:r>
        <w:t xml:space="preserve">вариант</w:t>
      </w:r>
      <w:r>
        <w:t xml:space="preserve"> </w:t>
      </w:r>
      <w:r>
        <w:t xml:space="preserve">54</w:t>
      </w:r>
    </w:p>
    <w:p>
      <w:pPr>
        <w:pStyle w:val="Author"/>
      </w:pPr>
      <w:r>
        <w:t xml:space="preserve">Акондзо</w:t>
      </w:r>
      <w:r>
        <w:t xml:space="preserve"> </w:t>
      </w:r>
      <w:r>
        <w:t xml:space="preserve">Жордани</w:t>
      </w:r>
      <w:r>
        <w:t xml:space="preserve"> </w:t>
      </w:r>
      <w:r>
        <w:t xml:space="preserve">Лади</w:t>
      </w:r>
      <w:r>
        <w:t xml:space="preserve"> </w:t>
      </w:r>
      <w:r>
        <w:t xml:space="preserve">Гаэл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Рассмотреть модель конкуренции двух фирм. Построить графики изменения оборотных средств.</w:t>
      </w:r>
    </w:p>
    <w:bookmarkEnd w:id="20"/>
    <w:bookmarkStart w:id="21" w:name="теоретическая-справка"/>
    <w:p>
      <w:pPr>
        <w:pStyle w:val="Heading1"/>
      </w:pPr>
      <w:r>
        <w:t xml:space="preserve">Теоретическая справка</w:t>
      </w:r>
    </w:p>
    <w:p>
      <w:pPr>
        <w:pStyle w:val="Compact"/>
        <w:numPr>
          <w:ilvl w:val="0"/>
          <w:numId w:val="1001"/>
        </w:numPr>
      </w:pPr>
      <w:r>
        <w:t xml:space="preserve">Модель одной фирмы</w:t>
      </w:r>
    </w:p>
    <w:p>
      <w:pPr>
        <w:pStyle w:val="FirstParagraph"/>
      </w:pPr>
      <w:r>
        <w:t xml:space="preserve">Для построения модели конкуренции хотя бы двух фирм необходимо рассмотреть модель одной фирмы. Вначале рассмотрим модель фирмы, производящей продукт долговременного пользования, когда цена его определяется балансом спроса и предложения. Примем, что этот продукт занимает определенную нишу рынка и конкуренты в ней отсутствуют. Обозначим: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</m:oMath>
      </m:oMathPara>
    </w:p>
    <w:p>
      <w:pPr>
        <w:pStyle w:val="FirstParagraph"/>
      </w:pPr>
      <w:r>
        <w:t xml:space="preserve">– число потребителей производимого продукта.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</m:oMath>
      </m:oMathPara>
    </w:p>
    <w:p>
      <w:pPr>
        <w:pStyle w:val="FirstParagraph"/>
      </w:pPr>
      <w:r>
        <w:t xml:space="preserve">– доходы потребителей данного продукта. Считаем, что доходы всех потребителей одинаковы. Это предположение справедливо, если речь идет об одной рыночной нише, т.е. производимый продукт ориентирован на определенный слой населения.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</m:oMath>
      </m:oMathPara>
    </w:p>
    <w:p>
      <w:pPr>
        <w:pStyle w:val="FirstParagraph"/>
      </w:pPr>
      <w:r>
        <w:t xml:space="preserve">– оборотные средства предприятия.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– длительность производственного цикла.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</m:oMath>
      </m:oMathPara>
    </w:p>
    <w:p>
      <w:pPr>
        <w:pStyle w:val="FirstParagraph"/>
      </w:pPr>
      <w:r>
        <w:t xml:space="preserve">– рыночная цена товара.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p</m:t>
              </m:r>
            </m:e>
          </m:acc>
        </m:oMath>
      </m:oMathPara>
    </w:p>
    <w:p>
      <w:pPr>
        <w:pStyle w:val="FirstParagraph"/>
      </w:pPr>
      <w:r>
        <w:t xml:space="preserve">– себестоимость продукта, то есть переменные издержки на производство единицы продукции.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</m:oMath>
      </m:oMathPara>
    </w:p>
    <w:p>
      <w:pPr>
        <w:pStyle w:val="FirstParagraph"/>
      </w:pPr>
      <w:r>
        <w:t xml:space="preserve">– доля оборотных средств, идущая на покрытие переменных издержек.</w:t>
      </w:r>
    </w:p>
    <w:p>
      <w:pPr>
        <w:pStyle w:val="BodyText"/>
      </w:pPr>
      <m:oMathPara>
        <m:oMathParaPr>
          <m:jc m:val="center"/>
        </m:oMathParaPr>
        <m:oMath>
          <m:r>
            <m:t>κ</m:t>
          </m:r>
        </m:oMath>
      </m:oMathPara>
    </w:p>
    <w:p>
      <w:pPr>
        <w:pStyle w:val="FirstParagraph"/>
      </w:pPr>
      <w:r>
        <w:t xml:space="preserve">– постоянные издержки, которые не зависят от количества выпускаемой продукции.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/</m:t>
              </m:r>
              <m:r>
                <m:t>p</m:t>
              </m:r>
            </m:e>
          </m:d>
        </m:oMath>
      </m:oMathPara>
    </w:p>
    <w:p>
      <w:pPr>
        <w:pStyle w:val="FirstParagraph"/>
      </w:pPr>
      <w:r>
        <w:t xml:space="preserve">– функция спроса, зависящая от отношения дохода S к цене p. Она равна количеству продукта, потребляемого одним потребителем в единицу времени.</w:t>
      </w:r>
    </w:p>
    <w:p>
      <w:pPr>
        <w:pStyle w:val="BodyText"/>
      </w:pPr>
      <w:r>
        <w:t xml:space="preserve">Функцию спроса товаров долговременного использования часто представляют в простейшей форме: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r>
            <m:rPr>
              <m:sty m:val="p"/>
            </m:rPr>
            <m:t>=</m:t>
          </m:r>
          <m:r>
            <m:t>q</m:t>
          </m:r>
          <m:r>
            <m:rPr>
              <m:sty m:val="p"/>
            </m:rPr>
            <m:t>−</m:t>
          </m:r>
          <m:r>
            <m:t>k</m:t>
          </m:r>
          <m:f>
            <m:fPr>
              <m:type m:val="bar"/>
            </m:fPr>
            <m:num>
              <m:r>
                <m:t>P</m:t>
              </m:r>
            </m:num>
            <m:den>
              <m:r>
                <m:t>S</m:t>
              </m:r>
            </m:den>
          </m:f>
          <m:r>
            <m:rPr>
              <m:sty m:val="p"/>
            </m:rPr>
            <m:t>=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</m:oMath>
      </m:oMathPara>
    </w:p>
    <w:p>
      <w:pPr>
        <w:pStyle w:val="FirstParagraph"/>
      </w:pPr>
      <w:r>
        <w:t xml:space="preserve">где q – максимальная потребность одного человека в продукте в единицу времени.</w:t>
      </w:r>
    </w:p>
    <w:p>
      <w:pPr>
        <w:pStyle w:val="BodyText"/>
      </w:pPr>
      <w:r>
        <w:t xml:space="preserve">Эта функция падает с ростом цены и при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(критическая стоимость продукта)потребители отказываются от приобретения товара. Величина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S</m:t>
          </m:r>
          <m:r>
            <m:t>q</m:t>
          </m:r>
          <m:r>
            <m:rPr>
              <m:sty m:val="p"/>
            </m:rPr>
            <m:t>/</m:t>
          </m:r>
          <m:r>
            <m:t>k</m:t>
          </m:r>
        </m:oMath>
      </m:oMathPara>
    </w:p>
    <w:p>
      <w:pPr>
        <w:pStyle w:val="FirstParagraph"/>
      </w:pPr>
      <w:r>
        <w:t xml:space="preserve">Параметр k – мера эластичности функции спроса по цене. Таким образом, функция спроса в форме (1) является пороговой, то есть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r>
                <m:rPr>
                  <m:sty m:val="p"/>
                </m:rPr>
                <m:t>/</m:t>
              </m:r>
              <m:r>
                <m:t>p</m:t>
              </m:r>
            </m:e>
          </m:d>
          <m:r>
            <m:rPr>
              <m:sty m:val="p"/>
            </m:rPr>
            <m:t>=</m:t>
          </m:r>
          <m:r>
            <m:t>0</m:t>
          </m:r>
          <m:r>
            <m:rPr>
              <m:sty m:val="p"/>
            </m:rPr>
            <m:t>,</m:t>
          </m:r>
          <m:r>
            <m:t>p</m:t>
          </m:r>
          <m:r>
            <m:rPr>
              <m:sty m:val="p"/>
            </m:rPr>
            <m:t>≥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</m:oMath>
      </m:oMathPara>
    </w:p>
    <w:p>
      <w:pPr>
        <w:pStyle w:val="FirstParagraph"/>
      </w:pPr>
      <w:r>
        <w:t xml:space="preserve">и обладает свойствами насыщения.</w:t>
      </w:r>
    </w:p>
    <w:p>
      <w:pPr>
        <w:pStyle w:val="BodyText"/>
      </w:pPr>
      <w:r>
        <w:t xml:space="preserve">Уравнения динамики оборотных средств можно записать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r>
            <m:t>p</m:t>
          </m:r>
          <m:r>
            <m:rPr>
              <m:sty m:val="p"/>
            </m:rPr>
            <m:t>−</m:t>
          </m:r>
          <m:r>
            <m:t>κ</m:t>
          </m:r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для рыночной цены p представим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γ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+</m:t>
              </m:r>
              <m:r>
                <m:t>N</m:t>
              </m:r>
              <m:r>
                <m:t>Q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1</m:t>
                  </m:r>
                  <m:r>
                    <m:rPr>
                      <m:sty m:val="p"/>
                    </m:rPr>
                    <m:t>−</m:t>
                  </m:r>
                  <m:f>
                    <m:fPr>
                      <m:type m:val="bar"/>
                    </m:fPr>
                    <m:num>
                      <m:r>
                        <m:t>p</m:t>
                      </m:r>
                    </m:num>
                    <m:den>
                      <m:sSub>
                        <m:e>
                          <m:r>
                            <m:t>p</m:t>
                          </m:r>
                        </m:e>
                        <m:sub>
                          <m:r>
                            <m:t>c</m:t>
                          </m:r>
                          <m:r>
                            <m:t>r</m:t>
                          </m:r>
                        </m:sub>
                      </m:sSub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Первый член соответствует количеству поставляемого на рынок товара (то есть, предложению), а второй член – спросу.</w:t>
      </w:r>
    </w:p>
    <w:p>
      <w:pPr>
        <w:pStyle w:val="BodyText"/>
      </w:pPr>
      <w:r>
        <w:t xml:space="preserve">Параметр</w:t>
      </w:r>
    </w:p>
    <w:p>
      <w:pPr>
        <w:pStyle w:val="BodyText"/>
      </w:pPr>
      <m:oMathPara>
        <m:oMathParaPr>
          <m:jc m:val="center"/>
        </m:oMathParaPr>
        <m:oMath>
          <m:r>
            <m:t>γ</m:t>
          </m:r>
        </m:oMath>
      </m:oMathPara>
    </w:p>
    <w:p>
      <w:pPr>
        <w:pStyle w:val="FirstParagraph"/>
      </w:pPr>
      <w:r>
        <w:t xml:space="preserve">зависит от скорости оборота товаров на рынке. Как правило, время торгового оборота существенно меньше времени производственного цикла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При заданном M уравнение (3) описывает быстрое стремление цены к равновесному значению цены, которое устойчиво.</w:t>
      </w:r>
    </w:p>
    <w:p>
      <w:pPr>
        <w:pStyle w:val="BodyText"/>
      </w:pPr>
      <w:r>
        <w:t xml:space="preserve">В этом случае уравнение (3) можно заменить алгебраическим соотношением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M</m:t>
              </m:r>
              <m:r>
                <m:t>δ</m:t>
              </m:r>
            </m:num>
            <m:den>
              <m:r>
                <m:t>τ</m:t>
              </m:r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den>
          </m:f>
          <m:r>
            <m:rPr>
              <m:sty m:val="p"/>
            </m:rPr>
            <m:t>+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Из (4) следует, что равновесное значение цены p равно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M</m:t>
                  </m:r>
                  <m:r>
                    <m:t>δ</m:t>
                  </m:r>
                </m:num>
                <m:den>
                  <m:r>
                    <m:t>τ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  <m:r>
                    <m:t>N</m:t>
                  </m:r>
                  <m:r>
                    <m:t>q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Уравнение (2) с учетом (5) приобретает вид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M</m:t>
          </m:r>
          <m:f>
            <m:fPr>
              <m:type m:val="bar"/>
            </m:fPr>
            <m:num>
              <m:r>
                <m:t>δ</m:t>
              </m:r>
            </m:num>
            <m:den>
              <m:r>
                <m:t>τ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num>
                <m:den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den>
              </m:f>
              <m:r>
                <m:rPr>
                  <m:sty m:val="p"/>
                </m:rPr>
                <m:t>−</m:t>
              </m:r>
              <m:r>
                <m:t>1</m:t>
              </m:r>
            </m:e>
          </m:d>
          <m:r>
            <m:rPr>
              <m:sty m:val="p"/>
            </m:rPr>
            <m:t>−</m:t>
          </m:r>
          <m:sSup>
            <m:e>
              <m:r>
                <m:t>M</m:t>
              </m:r>
            </m:e>
            <m:sup>
              <m:r>
                <m:t>2</m:t>
              </m:r>
            </m:sup>
          </m:sSup>
          <m:sSup>
            <m:e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r>
                        <m:t>δ</m:t>
                      </m:r>
                    </m:num>
                    <m:den>
                      <m:r>
                        <m:t>τ</m:t>
                      </m:r>
                      <m:r>
                        <m:t>δ</m:t>
                      </m:r>
                      <m:r>
                        <m:t>p</m:t>
                      </m:r>
                    </m:den>
                  </m:f>
                </m:e>
              </m:d>
            </m:e>
            <m:sup>
              <m:r>
                <m:t>2</m:t>
              </m:r>
            </m:sup>
          </m:sSup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−</m:t>
          </m:r>
          <m:r>
            <m:t>κ</m:t>
          </m:r>
        </m:oMath>
      </m:oMathPara>
    </w:p>
    <w:p>
      <w:pPr>
        <w:pStyle w:val="FirstParagraph"/>
      </w:pPr>
      <w:r>
        <w:t xml:space="preserve">Уравнение (6) имеет два стационарных решения, соответствующих условию: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M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t>0</m:t>
          </m:r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r>
            <m:t>a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r>
            <m:t>κ</m:t>
          </m:r>
          <m:r>
            <m:t>N</m:t>
          </m:r>
          <m:r>
            <m:t>q</m:t>
          </m:r>
          <m:f>
            <m:fPr>
              <m:type m:val="bar"/>
            </m:fPr>
            <m:num>
              <m:sSup>
                <m:e>
                  <m:d>
                    <m:dPr>
                      <m:begChr m:val="("/>
                      <m:endChr m:val=")"/>
                      <m:sepChr m:val=""/>
                      <m:grow/>
                    </m:dPr>
                    <m:e>
                      <m:r>
                        <m:t>τ</m:t>
                      </m:r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</m:d>
                </m:e>
                <m:sup>
                  <m:r>
                    <m:t>2</m:t>
                  </m:r>
                </m:sup>
              </m:sSup>
            </m:num>
            <m:den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sSup>
                <m:e>
                  <m:r>
                    <m:t>δ</m:t>
                  </m:r>
                </m:e>
                <m:sup>
                  <m:r>
                    <m:t>2</m:t>
                  </m:r>
                </m:sup>
              </m:sSup>
            </m:den>
          </m:f>
        </m:oMath>
      </m:oMathPara>
    </w:p>
    <w:p>
      <w:pPr>
        <w:pStyle w:val="FirstParagraph"/>
      </w:pPr>
      <w:r>
        <w:t xml:space="preserve">Из (7) следует, что при больших постоянных издержках, в случае</w:t>
      </w:r>
    </w:p>
    <w:p>
      <w:pPr>
        <w:pStyle w:val="BodyText"/>
      </w:pPr>
      <m:oMathPara>
        <m:oMathParaPr>
          <m:jc m:val="center"/>
        </m:oMathParaPr>
        <m:oMath>
          <m:sSup>
            <m:e>
              <m:r>
                <m:t>a</m:t>
              </m:r>
            </m:e>
            <m:sup>
              <m:r>
                <m:t>2</m:t>
              </m:r>
            </m:sup>
          </m:sSup>
          <m:r>
            <m:rPr>
              <m:sty m:val="p"/>
            </m:rPr>
            <m:t>&lt;</m:t>
          </m:r>
          <m:r>
            <m:t>4</m:t>
          </m:r>
          <m:r>
            <m:t>b</m:t>
          </m:r>
          <m:r>
            <m:rPr>
              <m:sty m:val="p"/>
            </m:rPr>
            <m:t>,</m:t>
          </m:r>
        </m:oMath>
      </m:oMathPara>
    </w:p>
    <w:p>
      <w:pPr>
        <w:pStyle w:val="FirstParagraph"/>
      </w:pPr>
      <w:r>
        <w:t xml:space="preserve">стационарных состояний нет. Это означает, что в этих условиях фирма не может функционировать стабильно, то есть, терпит банкротство. Однако, как правило, постоянные затраты малы по сравнению с переменными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sSup>
            <m:e>
              <m:r>
                <m:t>a</m:t>
              </m:r>
            </m:e>
            <m:sup>
              <m:r>
                <m:t>2</m:t>
              </m:r>
            </m:sup>
          </m:sSup>
        </m:oMath>
      </m:oMathPara>
    </w:p>
    <w:p>
      <w:pPr>
        <w:pStyle w:val="FirstParagraph"/>
      </w:pPr>
      <w:r>
        <w:t xml:space="preserve">и играют роль, только в случае, когда оборотные средства малы. При</w:t>
      </w:r>
    </w:p>
    <w:p>
      <w:pPr>
        <w:pStyle w:val="BodyText"/>
      </w:pPr>
      <m:oMathPara>
        <m:oMathParaPr>
          <m:jc m:val="center"/>
        </m:oMathParaPr>
        <m:oMath>
          <m:r>
            <m:t>b</m:t>
          </m:r>
          <m:r>
            <m:rPr>
              <m:sty m:val="p"/>
            </m:rPr>
            <m:t>&lt;</m:t>
          </m:r>
          <m:r>
            <m:rPr>
              <m:sty m:val="p"/>
            </m:rPr>
            <m:t>&lt;</m:t>
          </m:r>
          <m:r>
            <m:t>a</m:t>
          </m:r>
        </m:oMath>
      </m:oMathPara>
    </w:p>
    <w:p>
      <w:pPr>
        <w:pStyle w:val="FirstParagraph"/>
      </w:pPr>
      <w:r>
        <w:t xml:space="preserve">стационарные значения M равны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+</m:t>
          </m:r>
          <m:r>
            <m:rPr>
              <m:sty m:val="p"/>
            </m:rPr>
            <m:t>=</m:t>
          </m:r>
          <m:r>
            <m:t>N</m:t>
          </m:r>
          <m:r>
            <m:t>q</m:t>
          </m:r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num>
                <m:den>
                  <m:r>
                    <m:t>p</m:t>
                  </m:r>
                  <m:r>
                    <m:t>c</m:t>
                  </m:r>
                  <m:r>
                    <m:t>r</m:t>
                  </m:r>
                </m:den>
              </m:f>
            </m:e>
          </m:d>
          <m:acc>
            <m:accPr>
              <m:chr m:val="̃"/>
            </m:accPr>
            <m:e>
              <m:r>
                <m:t>p</m:t>
              </m:r>
            </m:e>
          </m:acc>
          <m:r>
            <m:rPr>
              <m:sty m:val="p"/>
            </m:rPr>
            <m:t>,</m:t>
          </m:r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−</m:t>
          </m:r>
          <m:r>
            <m:rPr>
              <m:sty m:val="p"/>
            </m:rPr>
            <m:t>=</m:t>
          </m:r>
          <m:r>
            <m:t>κ</m:t>
          </m:r>
          <m:acc>
            <m:accPr>
              <m:chr m:val="̃"/>
            </m:accPr>
            <m:e>
              <m:r>
                <m:t>p</m:t>
              </m:r>
            </m:e>
          </m:acc>
          <m:f>
            <m:fPr>
              <m:type m:val="bar"/>
            </m:fPr>
            <m:num>
              <m:r>
                <m:t>τ</m:t>
              </m:r>
            </m:num>
            <m:den>
              <m:r>
                <m:t>δ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p</m:t>
                  </m:r>
                  <m:r>
                    <m:t>c</m:t>
                  </m:r>
                  <m:r>
                    <m:t>r</m:t>
                  </m:r>
                  <m:r>
                    <m:rPr>
                      <m:sty m:val="p"/>
                    </m:rPr>
                    <m:t>−</m:t>
                  </m:r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</m:d>
            </m:den>
          </m:f>
        </m:oMath>
      </m:oMathPara>
    </w:p>
    <w:p>
      <w:pPr>
        <w:pStyle w:val="FirstParagraph"/>
      </w:pPr>
      <w:r>
        <w:t xml:space="preserve">Первое состояние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+</m:t>
          </m:r>
        </m:oMath>
      </m:oMathPara>
    </w:p>
    <w:p>
      <w:pPr>
        <w:pStyle w:val="FirstParagraph"/>
      </w:pPr>
      <w:r>
        <w:t xml:space="preserve">устойчиво и соответствует стабильному функционированию предприятия. Второе состояние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M</m:t>
              </m:r>
            </m:e>
          </m:acc>
          <m:r>
            <m:rPr>
              <m:sty m:val="p"/>
            </m:rPr>
            <m:t>−</m:t>
          </m:r>
        </m:oMath>
      </m:oMathPara>
    </w:p>
    <w:p>
      <w:pPr>
        <w:pStyle w:val="FirstParagraph"/>
      </w:pPr>
      <w:r>
        <w:t xml:space="preserve">неустойчиво, так что при</w:t>
      </w:r>
    </w:p>
    <w:p>
      <w:pPr>
        <w:pStyle w:val="BodyText"/>
      </w:pPr>
      <m:oMathPara>
        <m:oMathParaPr>
          <m:jc m:val="center"/>
        </m:oMathParaPr>
        <m:oMath>
          <m:r>
            <m:t>M</m:t>
          </m:r>
          <m:r>
            <m:rPr>
              <m:sty m:val="p"/>
            </m:rPr>
            <m:t>&lt;</m:t>
          </m:r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</m:oMath>
      </m:oMathPara>
    </w:p>
    <w:p>
      <w:pPr>
        <w:pStyle w:val="FirstParagraph"/>
      </w:pPr>
      <w:r>
        <w:t xml:space="preserve">оборотные средства падают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p"/>
            </m:rPr>
            <m:t>∂</m:t>
          </m:r>
          <m:r>
            <m:t>M</m:t>
          </m:r>
          <m:r>
            <m:rPr>
              <m:sty m:val="p"/>
            </m:rPr>
            <m:t>/</m:t>
          </m:r>
          <m:r>
            <m:rPr>
              <m:sty m:val="p"/>
            </m:rPr>
            <m:t>∂</m:t>
          </m:r>
          <m:r>
            <m:t>t</m:t>
          </m:r>
          <m:r>
            <m:rPr>
              <m:sty m:val="p"/>
            </m:rPr>
            <m:t>&lt;</m:t>
          </m:r>
          <m:r>
            <m:t>0</m:t>
          </m:r>
        </m:oMath>
      </m:oMathPara>
    </w:p>
    <w:p>
      <w:pPr>
        <w:pStyle w:val="FirstParagraph"/>
      </w:pPr>
      <w:r>
        <w:t xml:space="preserve">то есть, фирма идет к банкротству.</w:t>
      </w:r>
    </w:p>
    <w:p>
      <w:pPr>
        <w:pStyle w:val="BodyText"/>
      </w:pPr>
      <w:r>
        <w:t xml:space="preserve">По смыслу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M</m:t>
                  </m:r>
                </m:e>
              </m:acc>
            </m:e>
            <m:sub>
              <m:r>
                <m:rPr>
                  <m:sty m:val="p"/>
                </m:rPr>
                <m:t>−</m:t>
              </m:r>
            </m:sub>
          </m:sSub>
        </m:oMath>
      </m:oMathPara>
    </w:p>
    <w:p>
      <w:pPr>
        <w:pStyle w:val="FirstParagraph"/>
      </w:pPr>
      <w:r>
        <w:t xml:space="preserve">соответствует начальному капиталу, необходимому для входа в рынок.</w:t>
      </w:r>
    </w:p>
    <w:p>
      <w:pPr>
        <w:pStyle w:val="BodyText"/>
      </w:pPr>
      <w:r>
        <w:t xml:space="preserve">В обсуждаемой модели параметр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</m:oMath>
      </m:oMathPara>
    </w:p>
    <w:p>
      <w:pPr>
        <w:pStyle w:val="FirstParagraph"/>
      </w:pPr>
      <w:r>
        <w:t xml:space="preserve">всюду входит в сочетании с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Это значит, что уменьшение доли оборотных средств, вкладываемых в производство, эквивалентно удлинению производственного цикла. Поэтому мы в дальнейшем положим:</w:t>
      </w:r>
    </w:p>
    <w:p>
      <w:pPr>
        <w:pStyle w:val="BodyText"/>
      </w:pPr>
      <m:oMathPara>
        <m:oMathParaPr>
          <m:jc m:val="center"/>
        </m:oMathParaPr>
        <m:oMath>
          <m:r>
            <m:t>δ</m:t>
          </m:r>
          <m:r>
            <m:rPr>
              <m:sty m:val="p"/>
            </m:rPr>
            <m:t>=</m:t>
          </m:r>
          <m:r>
            <m:t>1</m:t>
          </m:r>
        </m:oMath>
      </m:oMathPara>
    </w:p>
    <w:p>
      <w:pPr>
        <w:pStyle w:val="FirstParagraph"/>
      </w:pPr>
      <w:r>
        <w:t xml:space="preserve">а параметр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будем считать временем цикла, с учётом сказанного.</w:t>
      </w:r>
    </w:p>
    <w:p>
      <w:pPr>
        <w:pStyle w:val="Compact"/>
        <w:numPr>
          <w:ilvl w:val="0"/>
          <w:numId w:val="1002"/>
        </w:numPr>
      </w:pPr>
      <w:r>
        <w:t xml:space="preserve">Конкуренция двух фирм</w:t>
      </w:r>
    </w:p>
    <w:p>
      <w:pPr>
        <w:pStyle w:val="FirstParagraph"/>
      </w:pPr>
      <w:r>
        <w:t xml:space="preserve">2.1. Случай 1</w:t>
      </w:r>
    </w:p>
    <w:p>
      <w:pPr>
        <w:pStyle w:val="BodyText"/>
      </w:pPr>
      <w:r>
        <w:t xml:space="preserve">Рассмотрим две фирмы, производящие взаимозаменяемые товары одинакового качества и находящиеся в одной рыночной нише. Последнее означает, что у потребителей в этой нише нет априорных предпочтений, и они приобретут тот или иной товар, не обращая внимания на знак фирмы. В этом случае, на рынке устанавливается единая цена, которая определяется балансом суммарного предложения и спроса. Иными словами, в рамках нашей модели конкурентная борьба ведётся только рыночными методами. То есть, конкуренты могут влиять на противника путем изменения параметров своего производства: себестоимость, время цикла, но не могут прямо вмешиваться в ситуацию на рынке («назначать» цену или влиять на потребителей каким либо иным способом).</w:t>
      </w:r>
    </w:p>
    <w:p>
      <w:pPr>
        <w:pStyle w:val="BodyText"/>
      </w:pPr>
      <w:r>
        <w:t xml:space="preserve">Уравнения динамики оборотных средств запишем по аналогии с (2)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r>
            <m:rPr>
              <m:sty m:val="p"/>
            </m:rPr>
            <m:t>+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r>
                        <m:t>p</m:t>
                      </m:r>
                    </m:e>
                    <m:sub>
                      <m:r>
                        <m:t>c</m:t>
                      </m:r>
                      <m:r>
                        <m:t>r</m:t>
                      </m:r>
                    </m:sub>
                  </m:sSub>
                </m:den>
              </m:f>
            </m:e>
          </m:d>
          <m:r>
            <m:t>p</m:t>
          </m:r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где использованы те же обозначения, а индексы 1 и 2 относятся к первой и второй фирме, соответственно. Величины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– числа потребителей, приобретших товар первой и второй фирмы.</w:t>
      </w:r>
    </w:p>
    <w:p>
      <w:pPr>
        <w:pStyle w:val="BodyText"/>
      </w:pPr>
      <w:r>
        <w:t xml:space="preserve">Учтем, что товарный баланс устанавливается быстро, то есть, произведенный каждой фирмой товар не накапливается, а реализуется по цене p. Тогда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1</m:t>
              </m:r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1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p</m:t>
                  </m:r>
                  <m:r>
                    <m:t>c</m:t>
                  </m:r>
                  <m:r>
                    <m:t>r</m:t>
                  </m:r>
                </m:den>
              </m:f>
            </m:e>
          </m:d>
          <m:r>
            <m:rPr>
              <m:sty m:val="p"/>
            </m:rPr>
            <m:t>;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2</m:t>
              </m:r>
            </m:den>
          </m:f>
          <m:r>
            <m:rPr>
              <m:sty m:val="p"/>
            </m:rPr>
            <m:t>=</m:t>
          </m:r>
          <m:sSub>
            <m:e>
              <m:r>
                <m:t>N</m:t>
              </m:r>
            </m:e>
            <m:sub>
              <m:r>
                <m:t>2</m:t>
              </m:r>
            </m:sub>
          </m:sSub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p</m:t>
                  </m:r>
                  <m:r>
                    <m:t>c</m:t>
                  </m:r>
                  <m:r>
                    <m:t>r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– себестоимости товаров в первой и второй фирме.</w:t>
      </w:r>
    </w:p>
    <w:p>
      <w:pPr>
        <w:pStyle w:val="BodyText"/>
      </w:pPr>
      <w:r>
        <w:t xml:space="preserve">С учетом (10) представим (11) в виде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1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</m:den>
          </m:f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sSub>
                    <m:e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</m:e>
                    <m:sub>
                      <m:r>
                        <m:t>2</m:t>
                      </m:r>
                    </m:sub>
                  </m:sSub>
                </m:den>
              </m:f>
            </m:e>
          </m:d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Уравнение для цены, по аналогии с (3),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r>
                <m:t>p</m:t>
              </m:r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γ</m:t>
          </m:r>
          <m:r>
            <m:rPr>
              <m:sty m:val="p"/>
            </m:rPr>
            <m:t>(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1</m:t>
              </m:r>
            </m:den>
          </m:f>
          <m:r>
            <m:rPr>
              <m:sty m:val="p"/>
            </m:rPr>
            <m:t>+</m:t>
          </m:r>
          <m:f>
            <m:fPr>
              <m:type m:val="bar"/>
            </m:fPr>
            <m:num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2</m:t>
              </m:r>
            </m:den>
          </m:f>
          <m:r>
            <m:rPr>
              <m:sty m:val="p"/>
            </m:rPr>
            <m:t>−</m:t>
          </m:r>
          <m:r>
            <m:t>N</m:t>
          </m:r>
          <m:r>
            <m:t>q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p</m:t>
                  </m:r>
                </m:num>
                <m:den>
                  <m:r>
                    <m:t>p</m:t>
                  </m:r>
                  <m:r>
                    <m:t>c</m:t>
                  </m:r>
                  <m:r>
                    <m:t>r</m:t>
                  </m:r>
                </m:den>
              </m:f>
            </m:e>
          </m:d>
        </m:oMath>
      </m:oMathPara>
    </w:p>
    <w:p>
      <w:pPr>
        <w:pStyle w:val="FirstParagraph"/>
      </w:pPr>
      <w:r>
        <w:t xml:space="preserve">Считая, как и выше, что ценовое равновесие устанавливается быстро, получим: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  <m:r>
            <m:rPr>
              <m:sty m:val="p"/>
            </m:rPr>
            <m:t>=</m:t>
          </m:r>
          <m:r>
            <m:t>p</m:t>
          </m:r>
          <m:r>
            <m:t>c</m:t>
          </m:r>
          <m:r>
            <m:t>r</m:t>
          </m:r>
          <m:d>
            <m:dPr>
              <m:begChr m:val="("/>
              <m:endChr m:val=")"/>
              <m:sepChr m:val=""/>
              <m:grow/>
            </m:dPr>
            <m:e>
              <m:r>
                <m:t>1</m:t>
              </m:r>
              <m:r>
                <m:rPr>
                  <m:sty m:val="p"/>
                </m:rPr>
                <m:t>−</m:t>
              </m:r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N</m:t>
                  </m:r>
                  <m:r>
                    <m:t>q</m:t>
                  </m:r>
                </m:den>
              </m:f>
              <m:d>
                <m:dPr>
                  <m:begChr m:val="("/>
                  <m:endChr m:val=")"/>
                  <m:sepChr m:val=""/>
                  <m:grow/>
                </m:dPr>
                <m:e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1</m:t>
                          </m:r>
                        </m:sub>
                      </m:sSub>
                      <m:sSub>
                        <m:e>
                          <m:acc>
                            <m:accPr>
                              <m:chr m:val="̃"/>
                            </m:accPr>
                            <m:e>
                              <m:r>
                                <m:t>p</m:t>
                              </m:r>
                            </m:e>
                          </m:acc>
                        </m:e>
                        <m:sub>
                          <m:r>
                            <m:t>1</m:t>
                          </m:r>
                        </m:sub>
                      </m:sSub>
                    </m:den>
                  </m:f>
                  <m:r>
                    <m:rPr>
                      <m:sty m:val="p"/>
                    </m:rPr>
                    <m:t>+</m:t>
                  </m:r>
                  <m:f>
                    <m:fPr>
                      <m:type m:val="bar"/>
                    </m:fPr>
                    <m:num>
                      <m:sSub>
                        <m:e>
                          <m:r>
                            <m:t>M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</m:num>
                    <m:den>
                      <m:sSub>
                        <m:e>
                          <m:r>
                            <m:t>τ</m:t>
                          </m:r>
                        </m:e>
                        <m:sub>
                          <m:r>
                            <m:t>2</m:t>
                          </m:r>
                        </m:sub>
                      </m:sSub>
                      <m:acc>
                        <m:accPr>
                          <m:chr m:val="̃"/>
                        </m:accPr>
                        <m:e>
                          <m:r>
                            <m:t>p</m:t>
                          </m:r>
                        </m:e>
                      </m:acc>
                      <m:r>
                        <m:t>2</m:t>
                      </m:r>
                    </m:den>
                  </m:f>
                </m:e>
              </m:d>
            </m:e>
          </m:d>
        </m:oMath>
      </m:oMathPara>
    </w:p>
    <w:p>
      <w:pPr>
        <w:pStyle w:val="FirstParagraph"/>
      </w:pPr>
      <w:r>
        <w:t xml:space="preserve">Подставив (14) в (12) имеем: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1</m:t>
              </m:r>
            </m:sub>
          </m:sSub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t</m:t>
              </m:r>
            </m:den>
          </m:f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r>
            <m:t>b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−</m:t>
          </m:r>
          <m:sSub>
            <m:e>
              <m:r>
                <m:t>κ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1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sSup>
                <m:e>
                  <m:r>
                    <m:t>2</m:t>
                  </m:r>
                </m:e>
                <m:sup>
                  <m:r>
                    <m:t>2</m:t>
                  </m:r>
                </m:sup>
              </m:s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acc>
                <m:accPr>
                  <m:chr m:val="̃"/>
                </m:accPr>
                <m:e>
                  <m:r>
                    <m:t>p</m:t>
                  </m:r>
                </m:e>
              </m:acc>
              <m:r>
                <m:t>1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p</m:t>
              </m:r>
              <m:r>
                <m:t>c</m:t>
              </m:r>
              <m:r>
                <m:t>r</m:t>
              </m:r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Исследуем систему (15) в случае, когда постоянные издержки (κ_1, κ_2) пренебрежимо малы. И введем нормировку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θ</m:t>
          </m:r>
        </m:oMath>
      </m:oMathPara>
    </w:p>
    <w:p>
      <w:pPr>
        <w:pStyle w:val="FirstParagraph"/>
      </w:pPr>
      <w:r>
        <w:t xml:space="preserve">Получим следующую систему: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Чтобы решить систему (17) необходимо знать начальные условия.</w:t>
      </w:r>
    </w:p>
    <w:p>
      <w:pPr>
        <w:pStyle w:val="BodyText"/>
      </w:pPr>
      <w:r>
        <w:t xml:space="preserve">2.2. Случай 2</w:t>
      </w:r>
    </w:p>
    <w:p>
      <w:pPr>
        <w:pStyle w:val="BodyText"/>
      </w:pPr>
      <w:r>
        <w:t xml:space="preserve">Рассмотрим модель, когда, помимо экономического фактора влияния (изменение себестоимости, производственного цикла, использование кредита и т.п.), используются еще и социально-психологические факторы – формирование общественного предпочтения одного товара другому, не зависимо от их качества и цены. В этом случае взаимодействие двух фирм будет зависеть друг от друга, соответственно коэффициент перед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будет отличаться.</w:t>
      </w:r>
    </w:p>
    <w:p>
      <w:pPr>
        <w:pStyle w:val="BodyText"/>
      </w:pPr>
      <w:r>
        <w:t xml:space="preserve">Получим следующую модель: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</m:t>
              </m:r>
              <m:r>
                <m:rPr>
                  <m:sty m:val="p"/>
                </m:rPr>
                <m:t>,</m:t>
              </m:r>
              <m:r>
                <m:t>002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bookmarkEnd w:id="21"/>
    <w:bookmarkStart w:id="22" w:name="задание"/>
    <w:p>
      <w:pPr>
        <w:pStyle w:val="Heading1"/>
      </w:pPr>
      <w:r>
        <w:t xml:space="preserve">Задание</w:t>
      </w:r>
    </w:p>
    <w:p>
      <w:pPr>
        <w:pStyle w:val="FirstParagraph"/>
      </w:pPr>
      <w:r>
        <w:t xml:space="preserve">Вариант 54</w:t>
      </w:r>
    </w:p>
    <w:p>
      <w:pPr>
        <w:pStyle w:val="BodyText"/>
      </w:pPr>
      <w:r>
        <w:t xml:space="preserve">Случай 1. Рассмотрим две фирмы, производящие взаимозаменяемые товары</w:t>
      </w:r>
      <w:r>
        <w:t xml:space="preserve"> </w:t>
      </w:r>
      <w:r>
        <w:t xml:space="preserve">одинакового качества и находящиеся в одной рыночной нише. Считаем, что в рамках</w:t>
      </w:r>
      <w:r>
        <w:t xml:space="preserve"> </w:t>
      </w:r>
      <w:r>
        <w:t xml:space="preserve">нашей модели конкурентная борьба ведётся только рыночными методами. То есть,</w:t>
      </w:r>
      <w:r>
        <w:t xml:space="preserve"> </w:t>
      </w:r>
      <w:r>
        <w:t xml:space="preserve">конкуренты могут влиять на противника путем изменения параметров своего</w:t>
      </w:r>
      <w:r>
        <w:t xml:space="preserve"> </w:t>
      </w:r>
      <w:r>
        <w:t xml:space="preserve">производства: себестоимость, время цикла, но не могут прямо вмешиваться в</w:t>
      </w:r>
      <w:r>
        <w:t xml:space="preserve"> </w:t>
      </w:r>
      <w:r>
        <w:t xml:space="preserve">ситуацию на рынке («назначать» цену или влиять на потребителей каким-либо иным</w:t>
      </w:r>
      <w:r>
        <w:t xml:space="preserve"> </w:t>
      </w:r>
      <w:r>
        <w:t xml:space="preserve">способом.) Будем считать, что постоянные издержки пренебрежимо малы, и в</w:t>
      </w:r>
      <w:r>
        <w:t xml:space="preserve"> </w:t>
      </w:r>
      <w:r>
        <w:t xml:space="preserve">модели учитывать не будем. В этом случае динамика изменения объемов продаж</w:t>
      </w:r>
      <w:r>
        <w:t xml:space="preserve"> </w:t>
      </w:r>
      <w:r>
        <w:t xml:space="preserve">фирмы 1 и 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где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a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a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r>
            <m:t>b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num>
            <m:den>
              <m:sSubSup>
                <m:e>
                  <m:r>
                    <m:t>τ</m:t>
                  </m:r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r>
                    <m:t>τ</m:t>
                  </m:r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sSubSup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  <m:sup>
                  <m:r>
                    <m:t>2</m:t>
                  </m:r>
                </m:sup>
              </m:sSubSup>
              <m:r>
                <m:t>N</m:t>
              </m:r>
              <m:r>
                <m:t>q</m:t>
              </m:r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1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1</m:t>
                  </m:r>
                </m:sub>
              </m:sSub>
            </m:den>
          </m:f>
          <m:r>
            <m:rPr>
              <m:sty m:val="p"/>
            </m:rPr>
            <m:t>,</m:t>
          </m:r>
          <m:sSub>
            <m:e>
              <m:r>
                <m:t>c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p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  <m:r>
                <m:rPr>
                  <m:sty m:val="p"/>
                </m:rPr>
                <m:t>−</m:t>
              </m:r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τ</m:t>
                  </m:r>
                </m:e>
                <m:sub>
                  <m:r>
                    <m:t>2</m:t>
                  </m:r>
                </m:sub>
              </m:sSub>
              <m:sSub>
                <m:e>
                  <m:acc>
                    <m:accPr>
                      <m:chr m:val="̃"/>
                    </m:accPr>
                    <m:e>
                      <m:r>
                        <m:t>p</m:t>
                      </m:r>
                    </m:e>
                  </m:acc>
                </m:e>
                <m:sub>
                  <m:r>
                    <m:t>2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Также введена нормировка</w:t>
      </w:r>
    </w:p>
    <w:p>
      <w:pPr>
        <w:pStyle w:val="BodyText"/>
      </w:pPr>
      <m:oMathPara>
        <m:oMathParaPr>
          <m:jc m:val="center"/>
        </m:oMathParaPr>
        <m:oMath>
          <m:r>
            <m:t>t</m:t>
          </m:r>
          <m:r>
            <m:rPr>
              <m:sty m:val="p"/>
            </m:rPr>
            <m:t>=</m:t>
          </m:r>
          <m:sSub>
            <m:e>
              <m:r>
                <m:t>c</m:t>
              </m:r>
            </m:e>
            <m:sub>
              <m:r>
                <m:t>1</m:t>
              </m:r>
            </m:sub>
          </m:sSub>
          <m:r>
            <m:t>θ</m:t>
          </m:r>
        </m:oMath>
      </m:oMathPara>
    </w:p>
    <w:p>
      <w:pPr>
        <w:pStyle w:val="FirstParagraph"/>
      </w:pPr>
      <w:r>
        <w:t xml:space="preserve">Случай 2. Рассмотрим модель, когда, помимо экономического фактора</w:t>
      </w:r>
      <w:r>
        <w:t xml:space="preserve"> </w:t>
      </w:r>
      <w:r>
        <w:t xml:space="preserve">влияния (изменение себестоимости, производственного цикла, использование</w:t>
      </w:r>
      <w:r>
        <w:t xml:space="preserve"> </w:t>
      </w:r>
      <w:r>
        <w:t xml:space="preserve">кредита и т.п.), используются еще и социально-психологические факторы –</w:t>
      </w:r>
      <w:r>
        <w:t xml:space="preserve"> </w:t>
      </w:r>
      <w:r>
        <w:t xml:space="preserve">формирование общественного предпочтения одного товара другому, не зависимо от</w:t>
      </w:r>
      <w:r>
        <w:t xml:space="preserve"> </w:t>
      </w:r>
      <w:r>
        <w:t xml:space="preserve">их качества и цены. В этом случае взаимодействие двух фирм будет зависеть друг</w:t>
      </w:r>
      <w:r>
        <w:t xml:space="preserve"> </w:t>
      </w:r>
      <w:r>
        <w:t xml:space="preserve">от друга, соответственно коэффициент перед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будет отличаться. Пусть в</w:t>
      </w:r>
      <w:r>
        <w:t xml:space="preserve"> </w:t>
      </w:r>
      <w:r>
        <w:t xml:space="preserve">рамках рассматриваемой модели динамика изменения объемов продаж фирмы 1 и</w:t>
      </w:r>
      <w:r>
        <w:t xml:space="preserve"> </w:t>
      </w:r>
      <w:r>
        <w:t xml:space="preserve">фирмы 2 описывается следующей системой уравнений:</w:t>
      </w:r>
    </w:p>
    <w:p>
      <w:pPr>
        <w:pStyle w:val="BodyText"/>
      </w:pPr>
      <m:oMathPara>
        <m:oMathParaPr>
          <m:jc m:val="center"/>
        </m:oMathParaPr>
        <m:oMath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1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sSub>
            <m:e>
              <m:r>
                <m:t>M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−</m:t>
          </m:r>
          <m:d>
            <m:dPr>
              <m:begChr m:val="("/>
              <m:endChr m:val=")"/>
              <m:sepChr m:val=""/>
              <m:grow/>
            </m:dPr>
            <m:e>
              <m:f>
                <m:fPr>
                  <m:type m:val="bar"/>
                </m:fPr>
                <m:num>
                  <m:r>
                    <m:t>b</m:t>
                  </m:r>
                </m:num>
                <m:den>
                  <m:sSub>
                    <m:e>
                      <m:r>
                        <m:t>c</m:t>
                      </m:r>
                    </m:e>
                    <m:sub>
                      <m:r>
                        <m:t>1</m:t>
                      </m:r>
                    </m:sub>
                  </m:sSub>
                </m:den>
              </m:f>
              <m:r>
                <m:rPr>
                  <m:sty m:val="p"/>
                </m:rPr>
                <m:t>+</m:t>
              </m:r>
              <m:r>
                <m:t>0.00044</m:t>
              </m:r>
            </m:e>
          </m:d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1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1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;</m:t>
          </m:r>
          <m:f>
            <m:fPr>
              <m:type m:val="bar"/>
            </m:fPr>
            <m:num>
              <m:r>
                <m:rPr>
                  <m:sty m:val="p"/>
                </m:rPr>
                <m:t>∂</m:t>
              </m:r>
              <m:sSub>
                <m:e>
                  <m:r>
                    <m:t>M</m:t>
                  </m:r>
                </m:e>
                <m:sub>
                  <m:r>
                    <m:t>2</m:t>
                  </m:r>
                </m:sub>
              </m:sSub>
            </m:num>
            <m:den>
              <m:r>
                <m:rPr>
                  <m:sty m:val="p"/>
                </m:rPr>
                <m:t>∂</m:t>
              </m:r>
              <m:r>
                <m:t>θ</m:t>
              </m:r>
            </m:den>
          </m:f>
          <m:r>
            <m:rPr>
              <m:sty m:val="p"/>
            </m:rPr>
            <m:t>=</m:t>
          </m:r>
          <m:f>
            <m:fPr>
              <m:type m:val="bar"/>
            </m:fPr>
            <m:num>
              <m:sSub>
                <m:e>
                  <m:r>
                    <m:t>c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r>
                <m:t>b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t>M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−</m:t>
          </m:r>
          <m:f>
            <m:fPr>
              <m:type m:val="bar"/>
            </m:fPr>
            <m:num>
              <m:sSub>
                <m:e>
                  <m:r>
                    <m:t>a</m:t>
                  </m:r>
                </m:e>
                <m:sub>
                  <m:r>
                    <m:t>2</m:t>
                  </m:r>
                </m:sub>
              </m:sSub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  <m:sSubSup>
            <m:e>
              <m:r>
                <m:t>M</m:t>
              </m:r>
            </m:e>
            <m:sub>
              <m:r>
                <m:t>2</m:t>
              </m:r>
            </m:sub>
            <m:sup>
              <m:r>
                <m:t>2</m:t>
              </m:r>
            </m:sup>
          </m:sSubSup>
        </m:oMath>
      </m:oMathPara>
    </w:p>
    <w:p>
      <w:pPr>
        <w:pStyle w:val="FirstParagraph"/>
      </w:pPr>
      <w:r>
        <w:t xml:space="preserve">Для обоих случаев рассмотрим задачу со следующими начальными условиями и параметрами:</w:t>
      </w:r>
    </w:p>
    <w:p>
      <w:pPr>
        <w:pStyle w:val="BodyText"/>
      </w:pPr>
      <m:oMathPara>
        <m:oMathParaPr>
          <m:jc m:val="center"/>
        </m:oMathParaPr>
        <m:oMath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1</m:t>
              </m:r>
            </m:sup>
          </m:sSubSup>
          <m:r>
            <m:rPr>
              <m:sty m:val="p"/>
            </m:rPr>
            <m:t>=</m:t>
          </m:r>
          <m:r>
            <m:t>7.7</m:t>
          </m:r>
          <m:r>
            <m:rPr>
              <m:sty m:val="p"/>
            </m:rPr>
            <m:t>,</m:t>
          </m:r>
          <m:sSubSup>
            <m:e>
              <m:r>
                <m:t>M</m:t>
              </m:r>
            </m:e>
            <m:sub>
              <m:r>
                <m:t>0</m:t>
              </m:r>
            </m:sub>
            <m:sup>
              <m:r>
                <m:t>2</m:t>
              </m:r>
            </m:sup>
          </m:sSubSup>
          <m:r>
            <m:rPr>
              <m:sty m:val="p"/>
            </m:rPr>
            <m:t>=</m:t>
          </m:r>
          <m:r>
            <m:t>9.7</m:t>
          </m:r>
          <m:r>
            <m:rPr>
              <m:sty m:val="p"/>
            </m:rPr>
            <m:t>,</m:t>
          </m:r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=</m:t>
          </m:r>
          <m:r>
            <m:t>47</m:t>
          </m:r>
          <m:r>
            <m:rPr>
              <m:sty m:val="p"/>
            </m:rPr>
            <m:t>,</m:t>
          </m:r>
          <m:r>
            <m:t>N</m:t>
          </m:r>
          <m:r>
            <m:rPr>
              <m:sty m:val="p"/>
            </m:rPr>
            <m:t>=</m:t>
          </m:r>
          <m:r>
            <m:t>50</m:t>
          </m:r>
          <m:r>
            <m:rPr>
              <m:sty m:val="p"/>
            </m:rPr>
            <m:t>,</m:t>
          </m:r>
          <m:r>
            <m:t>q</m:t>
          </m:r>
          <m:r>
            <m:rPr>
              <m:sty m:val="p"/>
            </m:rPr>
            <m:t>=</m:t>
          </m:r>
          <m:r>
            <m:t>1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33</m:t>
          </m:r>
          <m:r>
            <m:rPr>
              <m:sty m:val="p"/>
            </m:rPr>
            <m:t>,</m:t>
          </m:r>
          <m:sSub>
            <m:e>
              <m:r>
                <m:t>τ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27</m:t>
          </m:r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r>
            <m:rPr>
              <m:sty m:val="p"/>
            </m:rPr>
            <m:t>=</m:t>
          </m:r>
          <m:r>
            <m:t>9.7</m:t>
          </m:r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2</m:t>
              </m:r>
            </m:sub>
          </m:sSub>
          <m:r>
            <m:rPr>
              <m:sty m:val="p"/>
            </m:rPr>
            <m:t>=</m:t>
          </m:r>
          <m:r>
            <m:t>11.7</m:t>
          </m:r>
        </m:oMath>
      </m:oMathPara>
    </w:p>
    <w:p>
      <w:pPr>
        <w:pStyle w:val="FirstParagraph"/>
      </w:pPr>
      <w:r>
        <w:rPr>
          <w:b/>
          <w:bCs/>
        </w:rPr>
        <w:t xml:space="preserve">Замечание:</w:t>
      </w:r>
      <w:r>
        <w:rPr>
          <w:b/>
          <w:bCs/>
        </w:rPr>
        <w:t xml:space="preserve"> </w:t>
      </w:r>
      <w:r>
        <w:t xml:space="preserve">Значения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p</m:t>
              </m:r>
            </m:e>
            <m:sub>
              <m:r>
                <m:t>c</m:t>
              </m:r>
              <m:r>
                <m:t>r</m:t>
              </m:r>
            </m:sub>
          </m:sSub>
          <m:r>
            <m:rPr>
              <m:sty m:val="p"/>
            </m:rPr>
            <m:t>,</m:t>
          </m:r>
          <m:sSub>
            <m:e>
              <m:acc>
                <m:accPr>
                  <m:chr m:val="̃"/>
                </m:accPr>
                <m:e>
                  <m:r>
                    <m:t>p</m:t>
                  </m:r>
                </m:e>
              </m:acc>
            </m:e>
            <m:sub>
              <m:r>
                <m:t>1</m:t>
              </m:r>
            </m:sub>
          </m:sSub>
          <m:sSub>
            <m:e>
              <m:r>
                <m:rPr>
                  <m:sty m:val="p"/>
                </m:rPr>
                <m:t>,</m:t>
              </m:r>
            </m:e>
            <m:sub>
              <m:r>
                <m:t>2</m:t>
              </m:r>
            </m:sub>
          </m:sSub>
          <m:r>
            <m:rPr>
              <m:sty m:val="p"/>
            </m:rPr>
            <m:t>,</m:t>
          </m:r>
          <m:r>
            <m:t>N</m:t>
          </m:r>
        </m:oMath>
      </m:oMathPara>
    </w:p>
    <w:p>
      <w:pPr>
        <w:pStyle w:val="FirstParagraph"/>
      </w:pPr>
      <w:r>
        <w:t xml:space="preserve">указаны в тысячах единиц, а значения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M</m:t>
              </m:r>
            </m:e>
            <m:sub>
              <m:r>
                <m:t>1</m:t>
              </m:r>
            </m:sub>
          </m:sSub>
          <m:sSub>
            <m:e>
              <m:r>
                <m:rPr>
                  <m:sty m:val="p"/>
                </m:rPr>
                <m:t>,</m:t>
              </m:r>
            </m:e>
            <m:sub>
              <m:r>
                <m:t>2</m:t>
              </m:r>
            </m:sub>
          </m:sSub>
        </m:oMath>
      </m:oMathPara>
    </w:p>
    <w:p>
      <w:pPr>
        <w:pStyle w:val="FirstParagraph"/>
      </w:pPr>
      <w:r>
        <w:t xml:space="preserve">указаны в млн. единиц.</w:t>
      </w:r>
    </w:p>
    <w:p>
      <w:pPr>
        <w:pStyle w:val="BodyText"/>
      </w:pPr>
      <w:r>
        <w:t xml:space="preserve">Обозначения:</w:t>
      </w:r>
    </w:p>
    <w:p>
      <w:pPr>
        <w:pStyle w:val="BodyText"/>
      </w:pPr>
      <m:oMathPara>
        <m:oMathParaPr>
          <m:jc m:val="center"/>
        </m:oMathParaPr>
        <m:oMath>
          <m:r>
            <m:t>N</m:t>
          </m:r>
        </m:oMath>
      </m:oMathPara>
    </w:p>
    <w:p>
      <w:pPr>
        <w:pStyle w:val="FirstParagraph"/>
      </w:pPr>
      <w:r>
        <w:t xml:space="preserve">– число потребителей производимого продукта</w:t>
      </w:r>
    </w:p>
    <w:p>
      <w:pPr>
        <w:pStyle w:val="BodyText"/>
      </w:pPr>
      <m:oMathPara>
        <m:oMathParaPr>
          <m:jc m:val="center"/>
        </m:oMathParaPr>
        <m:oMath>
          <m:r>
            <m:t>τ</m:t>
          </m:r>
        </m:oMath>
      </m:oMathPara>
    </w:p>
    <w:p>
      <w:pPr>
        <w:pStyle w:val="FirstParagraph"/>
      </w:pPr>
      <w:r>
        <w:t xml:space="preserve">– длительность производственного цикла</w:t>
      </w:r>
    </w:p>
    <w:p>
      <w:pPr>
        <w:pStyle w:val="BodyText"/>
      </w:pPr>
      <m:oMathPara>
        <m:oMathParaPr>
          <m:jc m:val="center"/>
        </m:oMathParaPr>
        <m:oMath>
          <m:r>
            <m:t>p</m:t>
          </m:r>
        </m:oMath>
      </m:oMathPara>
    </w:p>
    <w:p>
      <w:pPr>
        <w:pStyle w:val="FirstParagraph"/>
      </w:pPr>
      <w:r>
        <w:t xml:space="preserve">– рыночная цена товара</w:t>
      </w:r>
    </w:p>
    <w:p>
      <w:pPr>
        <w:pStyle w:val="BodyText"/>
      </w:pPr>
      <m:oMathPara>
        <m:oMathParaPr>
          <m:jc m:val="center"/>
        </m:oMathParaPr>
        <m:oMath>
          <m:acc>
            <m:accPr>
              <m:chr m:val="̃"/>
            </m:accPr>
            <m:e>
              <m:r>
                <m:t>p</m:t>
              </m:r>
            </m:e>
          </m:acc>
        </m:oMath>
      </m:oMathPara>
    </w:p>
    <w:p>
      <w:pPr>
        <w:pStyle w:val="FirstParagraph"/>
      </w:pPr>
      <w:r>
        <w:t xml:space="preserve">– себестоимость продукта, то есть переменные издержки на производство единицы продукции</w:t>
      </w:r>
    </w:p>
    <w:p>
      <w:pPr>
        <w:pStyle w:val="BodyText"/>
      </w:pPr>
      <m:oMathPara>
        <m:oMathParaPr>
          <m:jc m:val="center"/>
        </m:oMathParaPr>
        <m:oMath>
          <m:r>
            <m:t>q</m:t>
          </m:r>
        </m:oMath>
      </m:oMathPara>
    </w:p>
    <w:p>
      <w:pPr>
        <w:pStyle w:val="FirstParagraph"/>
      </w:pPr>
      <w:r>
        <w:t xml:space="preserve">– максимальная потребность одного человека в продукте в единицу времени</w:t>
      </w:r>
    </w:p>
    <w:p>
      <w:pPr>
        <w:pStyle w:val="BodyText"/>
      </w:pPr>
      <m:oMathPara>
        <m:oMathParaPr>
          <m:jc m:val="center"/>
        </m:oMathParaPr>
        <m:oMath>
          <m:r>
            <m:t>θ</m:t>
          </m:r>
          <m:r>
            <m:rPr>
              <m:sty m:val="p"/>
            </m:rPr>
            <m:t>=</m:t>
          </m:r>
          <m:f>
            <m:fPr>
              <m:type m:val="bar"/>
            </m:fPr>
            <m:num>
              <m:r>
                <m:t>t</m:t>
              </m:r>
            </m:num>
            <m:den>
              <m:sSub>
                <m:e>
                  <m:r>
                    <m:t>c</m:t>
                  </m:r>
                </m:e>
                <m:sub>
                  <m:r>
                    <m:t>1</m:t>
                  </m:r>
                </m:sub>
              </m:sSub>
            </m:den>
          </m:f>
        </m:oMath>
      </m:oMathPara>
    </w:p>
    <w:p>
      <w:pPr>
        <w:pStyle w:val="FirstParagraph"/>
      </w:pPr>
      <w:r>
        <w:t xml:space="preserve">– безразмерное время</w:t>
      </w:r>
    </w:p>
    <w:p>
      <w:pPr>
        <w:pStyle w:val="BodyText"/>
      </w:pPr>
      <w:r>
        <w:t xml:space="preserve">1.Постройте графики изменения оборотных средств фирмы 1 и фирмы 2 без учета постоянных издержек и с веденной нормировкой для случая 1.</w:t>
      </w:r>
    </w:p>
    <w:p>
      <w:pPr>
        <w:pStyle w:val="BodyText"/>
      </w:pPr>
      <w:r>
        <w:t xml:space="preserve">2.Постройте графики изменения оборотных средств фирмы 1 и фирмы 2 без учета постоянных издержек и с веденной нормировкой для случая 2.</w:t>
      </w:r>
    </w:p>
    <w:bookmarkEnd w:id="22"/>
    <w:bookmarkStart w:id="32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bookmarkStart w:id="31" w:name="код"/>
    <w:p>
      <w:pPr>
        <w:pStyle w:val="Heading2"/>
      </w:pPr>
      <w:r>
        <w:t xml:space="preserve">код</w:t>
      </w:r>
    </w:p>
    <w:bookmarkStart w:id="26" w:name="решение-для-случая-1"/>
    <w:p>
      <w:pPr>
        <w:pStyle w:val="Heading3"/>
      </w:pPr>
      <w:r>
        <w:t xml:space="preserve">Решение для случая 1</w:t>
      </w:r>
    </w:p>
    <w:p>
      <w:pPr>
        <w:pStyle w:val="Compact"/>
        <w:numPr>
          <w:ilvl w:val="0"/>
          <w:numId w:val="1003"/>
        </w:numPr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Параметры модели и начальные условия</w:t>
      </w:r>
      <w:r>
        <w:br/>
      </w:r>
      <w:r>
        <w:rPr>
          <w:rStyle w:val="VerbatimChar"/>
        </w:rPr>
        <w:t xml:space="preserve">p_cr = 47 </w:t>
      </w:r>
      <w:r>
        <w:br/>
      </w:r>
      <w:r>
        <w:rPr>
          <w:rStyle w:val="VerbatimChar"/>
        </w:rPr>
        <w:t xml:space="preserve">N = 50 </w:t>
      </w:r>
      <w:r>
        <w:br/>
      </w:r>
      <w:r>
        <w:rPr>
          <w:rStyle w:val="VerbatimChar"/>
        </w:rPr>
        <w:t xml:space="preserve">q = 1 </w:t>
      </w:r>
      <w:r>
        <w:br/>
      </w:r>
      <w:r>
        <w:rPr>
          <w:rStyle w:val="VerbatimChar"/>
        </w:rPr>
        <w:t xml:space="preserve">tau1 = 33 </w:t>
      </w:r>
      <w:r>
        <w:br/>
      </w:r>
      <w:r>
        <w:rPr>
          <w:rStyle w:val="VerbatimChar"/>
        </w:rPr>
        <w:t xml:space="preserve">tau2 = 27</w:t>
      </w:r>
      <w:r>
        <w:br/>
      </w:r>
      <w:r>
        <w:rPr>
          <w:rStyle w:val="VerbatimChar"/>
        </w:rPr>
        <w:t xml:space="preserve">p1 = 9.7 </w:t>
      </w:r>
      <w:r>
        <w:br/>
      </w:r>
      <w:r>
        <w:rPr>
          <w:rStyle w:val="VerbatimChar"/>
        </w:rPr>
        <w:t xml:space="preserve">p2 = 11.7 </w:t>
      </w:r>
      <w:r>
        <w:br/>
      </w:r>
      <w:r>
        <w:rPr>
          <w:rStyle w:val="VerbatimChar"/>
        </w:rPr>
        <w:t xml:space="preserve">M01 = 7.7</w:t>
      </w:r>
      <w:r>
        <w:br/>
      </w:r>
      <w:r>
        <w:rPr>
          <w:rStyle w:val="VerbatimChar"/>
        </w:rPr>
        <w:t xml:space="preserve">M02 = 9.7</w:t>
      </w:r>
      <w:r>
        <w:br/>
      </w:r>
      <w:r>
        <w:br/>
      </w:r>
      <w:r>
        <w:rPr>
          <w:rStyle w:val="VerbatimChar"/>
        </w:rPr>
        <w:t xml:space="preserve"># Вычисление коэффициентов для уравнений</w:t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# Функция дифференциальных уравнений</w:t>
      </w:r>
      <w:r>
        <w:br/>
      </w:r>
      <w:r>
        <w:rPr>
          <w:rStyle w:val="VerbatimChar"/>
        </w:rPr>
        <w:t xml:space="preserve">function ode_f(du, u, p, t)</w:t>
      </w:r>
      <w:r>
        <w:br/>
      </w:r>
      <w:r>
        <w:rPr>
          <w:rStyle w:val="VerbatimChar"/>
        </w:rPr>
        <w:t xml:space="preserve">    # Система ОДУ для двух фирм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(c1/c1)*u[1]-(a1/c1)*u[1]*u[1]-(b/c1)*u[1]*u[2]</w:t>
      </w:r>
      <w:r>
        <w:br/>
      </w:r>
      <w:r>
        <w:rPr>
          <w:rStyle w:val="VerbatimChar"/>
        </w:rPr>
        <w:t xml:space="preserve">    du[2] = (c2/c1)*u[2]-(a2/c1)*u[2]*u[2]-(b/c1)*u[1]*u[2]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 и интервал времени для решения ОДУ</w:t>
      </w:r>
      <w:r>
        <w:br/>
      </w:r>
      <w:r>
        <w:rPr>
          <w:rStyle w:val="VerbatimChar"/>
        </w:rPr>
        <w:t xml:space="preserve">u0 = [M01, M02]</w:t>
      </w:r>
      <w:r>
        <w:br/>
      </w:r>
      <w:r>
        <w:rPr>
          <w:rStyle w:val="VerbatimChar"/>
        </w:rPr>
        <w:t xml:space="preserve">tspan =(0.0, 30.0)</w:t>
      </w:r>
      <w:r>
        <w:br/>
      </w:r>
      <w:r>
        <w:rPr>
          <w:rStyle w:val="VerbatimChar"/>
        </w:rPr>
        <w:t xml:space="preserve">prob1 = ODEProblem(ode_f, u0, tspan)</w:t>
      </w:r>
      <w:r>
        <w:br/>
      </w:r>
      <w:r>
        <w:rPr>
          <w:rStyle w:val="VerbatimChar"/>
        </w:rPr>
        <w:t xml:space="preserve">sol1 = solve(prob1, dtmax=0.1)</w:t>
      </w:r>
      <w:r>
        <w:br/>
      </w:r>
      <w:r>
        <w:br/>
      </w:r>
      <w:r>
        <w:rPr>
          <w:rStyle w:val="VerbatimChar"/>
        </w:rPr>
        <w:t xml:space="preserve"># Извлечение данных из решения</w:t>
      </w:r>
      <w:r>
        <w:br/>
      </w:r>
      <w:r>
        <w:rPr>
          <w:rStyle w:val="VerbatimChar"/>
        </w:rPr>
        <w:t xml:space="preserve">M1 = [u[1] for u in sol1.u]</w:t>
      </w:r>
      <w:r>
        <w:br/>
      </w:r>
      <w:r>
        <w:rPr>
          <w:rStyle w:val="VerbatimChar"/>
        </w:rPr>
        <w:t xml:space="preserve">M2 = [u[2]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# Построение графиков решений</w:t>
      </w:r>
      <w:r>
        <w:br/>
      </w:r>
      <w:r>
        <w:rPr>
          <w:rStyle w:val="VerbatimChar"/>
        </w:rPr>
        <w:t xml:space="preserve">plt = plot(layout=(1), dpi=300, legend=true)</w:t>
      </w:r>
      <w:r>
        <w:br/>
      </w:r>
      <w:r>
        <w:rPr>
          <w:rStyle w:val="VerbatimChar"/>
        </w:rPr>
        <w:t xml:space="preserve">plot!(plt[1], T, M1, title="График M для случая 1", label="Решение уравнения 1", color=:blue)</w:t>
      </w:r>
      <w:r>
        <w:br/>
      </w:r>
      <w:r>
        <w:rPr>
          <w:rStyle w:val="VerbatimChar"/>
        </w:rPr>
        <w:t xml:space="preserve">plot!(plt[1], T, M2, label="Решение уравнения 2", color=:green)</w:t>
      </w:r>
      <w:r>
        <w:br/>
      </w:r>
      <w:r>
        <w:br/>
      </w:r>
      <w:r>
        <w:rPr>
          <w:rStyle w:val="VerbatimChar"/>
        </w:rPr>
        <w:t xml:space="preserve"># Сохранение графика       </w:t>
      </w:r>
      <w:r>
        <w:br/>
      </w:r>
      <w:r>
        <w:rPr>
          <w:rStyle w:val="VerbatimChar"/>
        </w:rPr>
        <w:t xml:space="preserve">savefig("lab8_1.png")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Конкуренции двух фирм" title="" id="24" name="Picture"/>
            <a:graphic>
              <a:graphicData uri="http://schemas.openxmlformats.org/drawingml/2006/picture">
                <pic:pic>
                  <pic:nvPicPr>
                    <pic:cNvPr descr="image/lab8_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</w:t>
      </w:r>
    </w:p>
    <w:p>
      <w:pPr>
        <w:pStyle w:val="BodyText"/>
      </w:pPr>
      <w:r>
        <w:t xml:space="preserve">По графику видно, что рост оборотных средств предприятий идет независимо друг от друга. Каждая фирма достигает свое максимальное значение объема продаж и остается на рынке с этим значением, то есть каждая фирма захватывает свою часть рынка потребителей, которая не изменяется.</w:t>
      </w:r>
    </w:p>
    <w:bookmarkEnd w:id="26"/>
    <w:bookmarkStart w:id="30" w:name="решение-для-случая-2"/>
    <w:p>
      <w:pPr>
        <w:pStyle w:val="Heading3"/>
      </w:pPr>
      <w:r>
        <w:t xml:space="preserve">Решение для случая 2</w:t>
      </w:r>
    </w:p>
    <w:p>
      <w:pPr>
        <w:pStyle w:val="Compact"/>
        <w:numPr>
          <w:ilvl w:val="0"/>
          <w:numId w:val="1004"/>
        </w:numPr>
      </w:pPr>
      <w:r>
        <w:t xml:space="preserve">Julia</w:t>
      </w:r>
    </w:p>
    <w:p>
      <w:pPr>
        <w:pStyle w:val="SourceCode"/>
      </w:pPr>
      <w:r>
        <w:rPr>
          <w:rStyle w:val="VerbatimChar"/>
        </w:rPr>
        <w:t xml:space="preserve">using Plots</w:t>
      </w:r>
      <w:r>
        <w:br/>
      </w:r>
      <w:r>
        <w:rPr>
          <w:rStyle w:val="VerbatimChar"/>
        </w:rPr>
        <w:t xml:space="preserve">using DifferentialEquations</w:t>
      </w:r>
      <w:r>
        <w:br/>
      </w:r>
      <w:r>
        <w:br/>
      </w:r>
      <w:r>
        <w:rPr>
          <w:rStyle w:val="VerbatimChar"/>
        </w:rPr>
        <w:t xml:space="preserve"># Задаем параметры модели</w:t>
      </w:r>
      <w:r>
        <w:br/>
      </w:r>
      <w:r>
        <w:rPr>
          <w:rStyle w:val="VerbatimChar"/>
        </w:rPr>
        <w:t xml:space="preserve">p_cr = 47 </w:t>
      </w:r>
      <w:r>
        <w:br/>
      </w:r>
      <w:r>
        <w:rPr>
          <w:rStyle w:val="VerbatimChar"/>
        </w:rPr>
        <w:t xml:space="preserve">N = 50 </w:t>
      </w:r>
      <w:r>
        <w:br/>
      </w:r>
      <w:r>
        <w:rPr>
          <w:rStyle w:val="VerbatimChar"/>
        </w:rPr>
        <w:t xml:space="preserve">q = 1 </w:t>
      </w:r>
      <w:r>
        <w:br/>
      </w:r>
      <w:r>
        <w:rPr>
          <w:rStyle w:val="VerbatimChar"/>
        </w:rPr>
        <w:t xml:space="preserve">tau1 = 33 </w:t>
      </w:r>
      <w:r>
        <w:br/>
      </w:r>
      <w:r>
        <w:rPr>
          <w:rStyle w:val="VerbatimChar"/>
        </w:rPr>
        <w:t xml:space="preserve">tau2 = 27</w:t>
      </w:r>
      <w:r>
        <w:br/>
      </w:r>
      <w:r>
        <w:rPr>
          <w:rStyle w:val="VerbatimChar"/>
        </w:rPr>
        <w:t xml:space="preserve">p1 = 9.7 </w:t>
      </w:r>
      <w:r>
        <w:br/>
      </w:r>
      <w:r>
        <w:rPr>
          <w:rStyle w:val="VerbatimChar"/>
        </w:rPr>
        <w:t xml:space="preserve">p2 = 11.7 </w:t>
      </w:r>
      <w:r>
        <w:br/>
      </w:r>
      <w:r>
        <w:rPr>
          <w:rStyle w:val="VerbatimChar"/>
        </w:rPr>
        <w:t xml:space="preserve">M01 = 7.7</w:t>
      </w:r>
      <w:r>
        <w:br/>
      </w:r>
      <w:r>
        <w:rPr>
          <w:rStyle w:val="VerbatimChar"/>
        </w:rPr>
        <w:t xml:space="preserve">M02 = 9.7</w:t>
      </w:r>
      <w:r>
        <w:br/>
      </w:r>
      <w:r>
        <w:br/>
      </w:r>
      <w:r>
        <w:rPr>
          <w:rStyle w:val="VerbatimChar"/>
        </w:rPr>
        <w:t xml:space="preserve"># Вычисляем коэффициенты для дифференциальных уравнений</w:t>
      </w:r>
      <w:r>
        <w:br/>
      </w:r>
      <w:r>
        <w:rPr>
          <w:rStyle w:val="VerbatimChar"/>
        </w:rPr>
        <w:t xml:space="preserve">a1 = p_cr/(tau1*tau1*p1*p1*N*q)</w:t>
      </w:r>
      <w:r>
        <w:br/>
      </w:r>
      <w:r>
        <w:rPr>
          <w:rStyle w:val="VerbatimChar"/>
        </w:rPr>
        <w:t xml:space="preserve">a2 = p_cr/(tau2*tau2*p2*p2*N*q)</w:t>
      </w:r>
      <w:r>
        <w:br/>
      </w:r>
      <w:r>
        <w:rPr>
          <w:rStyle w:val="VerbatimChar"/>
        </w:rPr>
        <w:t xml:space="preserve">b = p_cr/(tau1*tau1*tau2*tau2*p1*p1*p2*p2*N*q)</w:t>
      </w:r>
      <w:r>
        <w:br/>
      </w:r>
      <w:r>
        <w:rPr>
          <w:rStyle w:val="VerbatimChar"/>
        </w:rPr>
        <w:t xml:space="preserve">c1 = (p_cr-p1)/(tau1*p1)</w:t>
      </w:r>
      <w:r>
        <w:br/>
      </w:r>
      <w:r>
        <w:rPr>
          <w:rStyle w:val="VerbatimChar"/>
        </w:rPr>
        <w:t xml:space="preserve">c2 = (p_cr-p2)/(tau2*p2)</w:t>
      </w:r>
      <w:r>
        <w:br/>
      </w:r>
      <w:r>
        <w:br/>
      </w:r>
      <w:r>
        <w:rPr>
          <w:rStyle w:val="VerbatimChar"/>
        </w:rPr>
        <w:t xml:space="preserve"># Функция для системы ОДУ</w:t>
      </w:r>
      <w:r>
        <w:br/>
      </w:r>
      <w:r>
        <w:rPr>
          <w:rStyle w:val="VerbatimChar"/>
        </w:rPr>
        <w:t xml:space="preserve">function ode_f(du, u, p, t)</w:t>
      </w:r>
      <w:r>
        <w:br/>
      </w:r>
      <w:r>
        <w:rPr>
          <w:rStyle w:val="VerbatimChar"/>
        </w:rPr>
        <w:t xml:space="preserve">    # Система ОДУ для двух фирм</w:t>
      </w:r>
      <w:r>
        <w:br/>
      </w:r>
      <w:r>
        <w:rPr>
          <w:rStyle w:val="VerbatimChar"/>
        </w:rPr>
        <w:t xml:space="preserve">    m1, m2 = u</w:t>
      </w:r>
      <w:r>
        <w:br/>
      </w:r>
      <w:r>
        <w:rPr>
          <w:rStyle w:val="VerbatimChar"/>
        </w:rPr>
        <w:t xml:space="preserve">    du[1] = (c1/c1)*u[1]-(a1/c1)*u[1]*u[1]-((b/c1)+0.00044)*u[1]*u[2]</w:t>
      </w:r>
      <w:r>
        <w:br/>
      </w:r>
      <w:r>
        <w:rPr>
          <w:rStyle w:val="VerbatimChar"/>
        </w:rPr>
        <w:t xml:space="preserve">    du[2] = (c2/c1)*u[2]-(a2/c1)*u[2]*u[2]-(b/c1)*u[1]*u[2]</w:t>
      </w:r>
      <w:r>
        <w:br/>
      </w:r>
      <w:r>
        <w:rPr>
          <w:rStyle w:val="VerbatimChar"/>
        </w:rPr>
        <w:t xml:space="preserve">end</w:t>
      </w:r>
      <w:r>
        <w:br/>
      </w:r>
      <w:r>
        <w:br/>
      </w:r>
      <w:r>
        <w:rPr>
          <w:rStyle w:val="VerbatimChar"/>
        </w:rPr>
        <w:t xml:space="preserve"># Начальные условия и решение системы ОДУ</w:t>
      </w:r>
      <w:r>
        <w:br/>
      </w:r>
      <w:r>
        <w:rPr>
          <w:rStyle w:val="VerbatimChar"/>
        </w:rPr>
        <w:t xml:space="preserve">u0 = [M01, M02]</w:t>
      </w:r>
      <w:r>
        <w:br/>
      </w:r>
      <w:r>
        <w:rPr>
          <w:rStyle w:val="VerbatimChar"/>
        </w:rPr>
        <w:t xml:space="preserve">tspan =(0.0, 30.0)</w:t>
      </w:r>
      <w:r>
        <w:br/>
      </w:r>
      <w:r>
        <w:rPr>
          <w:rStyle w:val="VerbatimChar"/>
        </w:rPr>
        <w:t xml:space="preserve">prob1 = ODEProblem(ode_f, u0, tspan)</w:t>
      </w:r>
      <w:r>
        <w:br/>
      </w:r>
      <w:r>
        <w:rPr>
          <w:rStyle w:val="VerbatimChar"/>
        </w:rPr>
        <w:t xml:space="preserve">sol1 = solve(prob1, dtmax=0.1)</w:t>
      </w:r>
      <w:r>
        <w:br/>
      </w:r>
      <w:r>
        <w:br/>
      </w:r>
      <w:r>
        <w:rPr>
          <w:rStyle w:val="VerbatimChar"/>
        </w:rPr>
        <w:t xml:space="preserve"># Извлекаем решения для M1 и M2</w:t>
      </w:r>
      <w:r>
        <w:br/>
      </w:r>
      <w:r>
        <w:rPr>
          <w:rStyle w:val="VerbatimChar"/>
        </w:rPr>
        <w:t xml:space="preserve">M1 = [u[1] for u in sol1.u]</w:t>
      </w:r>
      <w:r>
        <w:br/>
      </w:r>
      <w:r>
        <w:rPr>
          <w:rStyle w:val="VerbatimChar"/>
        </w:rPr>
        <w:t xml:space="preserve">M2 = [u[2] for u in sol1.u]</w:t>
      </w:r>
      <w:r>
        <w:br/>
      </w:r>
      <w:r>
        <w:rPr>
          <w:rStyle w:val="VerbatimChar"/>
        </w:rPr>
        <w:t xml:space="preserve">T = [t for t in sol1.t]</w:t>
      </w:r>
      <w:r>
        <w:br/>
      </w:r>
      <w:r>
        <w:br/>
      </w:r>
      <w:r>
        <w:rPr>
          <w:rStyle w:val="VerbatimChar"/>
        </w:rPr>
        <w:t xml:space="preserve"># Построение графиков изменений M1 и M2</w:t>
      </w:r>
      <w:r>
        <w:br/>
      </w:r>
      <w:r>
        <w:rPr>
          <w:rStyle w:val="VerbatimChar"/>
        </w:rPr>
        <w:t xml:space="preserve">plt = plot(T, M1, label="Решение уравнения 1", color=:red, title="График M1", xlabel="Время", ylabel="M1")</w:t>
      </w:r>
      <w:r>
        <w:br/>
      </w:r>
      <w:r>
        <w:rPr>
          <w:rStyle w:val="VerbatimChar"/>
        </w:rPr>
        <w:t xml:space="preserve">plot!(T, M2, label="Решение уравнения 2", color=:blue, title="График M2", xlabel="Время", ylabel="M2")</w:t>
      </w:r>
      <w:r>
        <w:br/>
      </w:r>
      <w:r>
        <w:br/>
      </w:r>
      <w:r>
        <w:rPr>
          <w:rStyle w:val="VerbatimChar"/>
        </w:rPr>
        <w:t xml:space="preserve"># Сохраняем графики в файл</w:t>
      </w:r>
      <w:r>
        <w:br/>
      </w:r>
      <w:r>
        <w:rPr>
          <w:rStyle w:val="VerbatimChar"/>
        </w:rPr>
        <w:t xml:space="preserve">savefig("lab8_2.png")</w:t>
      </w:r>
    </w:p>
    <w:p>
      <w:pPr>
        <w:pStyle w:val="CaptionedFigure"/>
      </w:pPr>
      <w:r>
        <w:drawing>
          <wp:inline>
            <wp:extent cx="5334000" cy="3556000"/>
            <wp:effectExtent b="0" l="0" r="0" t="0"/>
            <wp:docPr descr="график Конкуренции двух фирм" title="" id="28" name="Picture"/>
            <a:graphic>
              <a:graphicData uri="http://schemas.openxmlformats.org/drawingml/2006/picture">
                <pic:pic>
                  <pic:nvPicPr>
                    <pic:cNvPr descr="image/lab8_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56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график Конкуренции двух фирм</w:t>
      </w:r>
    </w:p>
    <w:p>
      <w:pPr>
        <w:pStyle w:val="BodyText"/>
      </w:pPr>
      <w:r>
        <w:t xml:space="preserve">По графику видно, что фирма M2, несмотря на начальный рост, достигнув своего максимального объема продаж, начитает нести убытки и, в итоге, терпит банкротство. Динамика роста объемов оборотных средств фирмы M1 остается без изменения: достигнув максимального значения, остается на этом уровне.</w:t>
      </w:r>
    </w:p>
    <w:bookmarkEnd w:id="30"/>
    <w:bookmarkEnd w:id="31"/>
    <w:bookmarkEnd w:id="32"/>
    <w:bookmarkStart w:id="33" w:name="выводы"/>
    <w:p>
      <w:pPr>
        <w:pStyle w:val="Heading1"/>
      </w:pPr>
      <w:r>
        <w:t xml:space="preserve">Выводы</w:t>
      </w:r>
    </w:p>
    <w:p>
      <w:pPr>
        <w:pStyle w:val="FirstParagraph"/>
      </w:pPr>
      <w:r>
        <w:t xml:space="preserve">В ходе выполнения лабораторной работы я рассмотрела модель конкуренции двух фирм. Построила графики изменения оборотных средств и проанализировала их.</w:t>
      </w:r>
    </w:p>
    <w:bookmarkEnd w:id="33"/>
    <w:bookmarkStart w:id="34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Кулябов Д. С. Лабораторная работа №7:</w:t>
      </w:r>
      <w:r>
        <w:t xml:space="preserve"> </w:t>
      </w:r>
      <w:r>
        <w:t xml:space="preserve">https://esystem.rudn.ru/pluginfile.php/1971582/mod_resource/content/2/%D0%9B%D0%B0%D0%B1%D0%BE%D1%80%D0%B0%D1%82%D0%BE%D1%80%D0%BD%D0%B0%D1%8F%20%D1%80%D0%B0%D0%B1%D0%BE%D1%82%D0%B0%20%E2%84%96%206.pdf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8</dc:title>
  <dc:creator>Акондзо Жордани Лади Гаэл</dc:creator>
  <dc:language>ru-RU</dc:language>
  <cp:keywords/>
  <dcterms:created xsi:type="dcterms:W3CDTF">2024-03-30T18:54:26Z</dcterms:created>
  <dcterms:modified xsi:type="dcterms:W3CDTF">2024-03-30T18:54:26Z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Простейший вариант 54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