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7365D"/>
          <w:sz w:val="56"/>
        </w:rPr>
        <w:t>PLAN DE COSTOS</w:t>
      </w:r>
    </w:p>
    <w:p>
      <w:pPr>
        <w:jc w:val="center"/>
      </w:pPr>
      <w:r>
        <w:rPr>
          <w:b/>
          <w:color w:val="0F6B78"/>
          <w:sz w:val="36"/>
        </w:rPr>
        <w:t>PROYECTO DISCOVER</w:t>
      </w:r>
    </w:p>
    <w:p>
      <w:pPr>
        <w:jc w:val="center"/>
      </w:pPr>
      <w:r>
        <w:rPr>
          <w:i/>
          <w:color w:val="666666"/>
          <w:sz w:val="22"/>
        </w:rPr>
        <w:t>Estimación referencial de implementación en un escenario real</w:t>
      </w:r>
    </w:p>
    <w:p/>
    <w:tbl>
      <w:tblPr>
        <w:tblStyle w:val="TableGrid"/>
        <w:tblW w:type="auto" w:w="0"/>
        <w:jc w:val="center"/>
        <w:tblLook w:firstColumn="1" w:firstRow="1" w:lastColumn="0" w:lastRow="0" w:noHBand="0" w:noVBand="1" w:val="04A0"/>
      </w:tblPr>
      <w:tblGrid>
        <w:gridCol w:w="4997"/>
        <w:gridCol w:w="4997"/>
      </w:tblGrid>
      <w:tr>
        <w:tc>
          <w:tcPr>
            <w:tcW w:type="dxa" w:w="2880"/>
            <w:shd w:fill="17365D"/>
            <w:vAlign w:val="center"/>
          </w:tcPr>
          <w:p>
            <w:r>
              <w:rPr>
                <w:b/>
                <w:color w:val="FFFFFF"/>
                <w:sz w:val="18"/>
              </w:rPr>
              <w:t>Campo</w:t>
            </w:r>
          </w:p>
        </w:tc>
        <w:tc>
          <w:tcPr>
            <w:tcW w:type="dxa" w:w="7056"/>
            <w:shd w:fill="17365D"/>
            <w:vAlign w:val="center"/>
          </w:tcPr>
          <w:p>
            <w:r>
              <w:rPr>
                <w:b/>
                <w:color w:val="FFFFFF"/>
                <w:sz w:val="18"/>
              </w:rPr>
              <w:t>Detalle</w:t>
            </w:r>
          </w:p>
        </w:tc>
      </w:tr>
      <w:tr>
        <w:tc>
          <w:tcPr>
            <w:tcW w:type="dxa" w:w="2880"/>
            <w:vAlign w:val="center"/>
          </w:tcPr>
          <w:p>
            <w:pPr>
              <w:spacing w:after="20" w:before="20"/>
            </w:pPr>
            <w:r>
              <w:rPr>
                <w:rFonts w:ascii="Aptos" w:hAnsi="Aptos"/>
                <w:sz w:val="18"/>
              </w:rPr>
              <w:t>Institución</w:t>
            </w:r>
          </w:p>
        </w:tc>
        <w:tc>
          <w:tcPr>
            <w:tcW w:type="dxa" w:w="7056"/>
            <w:vAlign w:val="center"/>
          </w:tcPr>
          <w:p>
            <w:pPr>
              <w:spacing w:after="20" w:before="20"/>
            </w:pPr>
            <w:r>
              <w:rPr>
                <w:rFonts w:ascii="Aptos" w:hAnsi="Aptos"/>
                <w:sz w:val="18"/>
              </w:rPr>
              <w:t>Duoc UC</w:t>
            </w:r>
          </w:p>
        </w:tc>
      </w:tr>
      <w:tr>
        <w:tc>
          <w:tcPr>
            <w:tcW w:type="dxa" w:w="2880"/>
            <w:vAlign w:val="center"/>
            <w:shd w:fill="F5F8FB"/>
          </w:tcPr>
          <w:p>
            <w:pPr>
              <w:spacing w:after="20" w:before="20"/>
            </w:pPr>
            <w:r>
              <w:rPr>
                <w:rFonts w:ascii="Aptos" w:hAnsi="Aptos"/>
                <w:sz w:val="18"/>
              </w:rPr>
              <w:t>Asignatura</w:t>
            </w:r>
          </w:p>
        </w:tc>
        <w:tc>
          <w:tcPr>
            <w:tcW w:type="dxa" w:w="7056"/>
            <w:vAlign w:val="center"/>
            <w:shd w:fill="F5F8FB"/>
          </w:tcPr>
          <w:p>
            <w:pPr>
              <w:spacing w:after="20" w:before="20"/>
            </w:pPr>
            <w:r>
              <w:rPr>
                <w:rFonts w:ascii="Aptos" w:hAnsi="Aptos"/>
                <w:sz w:val="18"/>
              </w:rPr>
              <w:t>Capstone — Proyecto APT</w:t>
            </w:r>
          </w:p>
        </w:tc>
      </w:tr>
      <w:tr>
        <w:tc>
          <w:tcPr>
            <w:tcW w:type="dxa" w:w="2880"/>
            <w:vAlign w:val="center"/>
          </w:tcPr>
          <w:p>
            <w:pPr>
              <w:spacing w:after="20" w:before="20"/>
            </w:pPr>
            <w:r>
              <w:rPr>
                <w:rFonts w:ascii="Aptos" w:hAnsi="Aptos"/>
                <w:sz w:val="18"/>
              </w:rPr>
              <w:t>Integrantes / gerentes</w:t>
            </w:r>
          </w:p>
        </w:tc>
        <w:tc>
          <w:tcPr>
            <w:tcW w:type="dxa" w:w="7056"/>
            <w:vAlign w:val="center"/>
          </w:tcPr>
          <w:p>
            <w:pPr>
              <w:spacing w:after="20" w:before="20"/>
            </w:pPr>
            <w:r>
              <w:rPr>
                <w:rFonts w:ascii="Aptos" w:hAnsi="Aptos"/>
                <w:sz w:val="18"/>
              </w:rPr>
              <w:t>Jordán Órdenes y Lino Barrera</w:t>
            </w:r>
          </w:p>
        </w:tc>
      </w:tr>
      <w:tr>
        <w:tc>
          <w:tcPr>
            <w:tcW w:type="dxa" w:w="2880"/>
            <w:vAlign w:val="center"/>
            <w:shd w:fill="F5F8FB"/>
          </w:tcPr>
          <w:p>
            <w:pPr>
              <w:spacing w:after="20" w:before="20"/>
            </w:pPr>
            <w:r>
              <w:rPr>
                <w:rFonts w:ascii="Aptos" w:hAnsi="Aptos"/>
                <w:sz w:val="18"/>
              </w:rPr>
              <w:t>Patrocinador académico</w:t>
            </w:r>
          </w:p>
        </w:tc>
        <w:tc>
          <w:tcPr>
            <w:tcW w:type="dxa" w:w="7056"/>
            <w:vAlign w:val="center"/>
            <w:shd w:fill="F5F8FB"/>
          </w:tcPr>
          <w:p>
            <w:pPr>
              <w:spacing w:after="20" w:before="20"/>
            </w:pPr>
            <w:r>
              <w:rPr>
                <w:rFonts w:ascii="Aptos" w:hAnsi="Aptos"/>
                <w:sz w:val="18"/>
              </w:rPr>
              <w:t>Docente de la asignatura Capstone</w:t>
            </w:r>
          </w:p>
        </w:tc>
      </w:tr>
      <w:tr>
        <w:tc>
          <w:tcPr>
            <w:tcW w:type="dxa" w:w="2880"/>
            <w:vAlign w:val="center"/>
          </w:tcPr>
          <w:p>
            <w:pPr>
              <w:spacing w:after="20" w:before="20"/>
            </w:pPr>
            <w:r>
              <w:rPr>
                <w:rFonts w:ascii="Aptos" w:hAnsi="Aptos"/>
                <w:sz w:val="18"/>
              </w:rPr>
              <w:t>Base documental</w:t>
            </w:r>
          </w:p>
        </w:tc>
        <w:tc>
          <w:tcPr>
            <w:tcW w:type="dxa" w:w="7056"/>
            <w:vAlign w:val="center"/>
          </w:tcPr>
          <w:p>
            <w:pPr>
              <w:spacing w:after="20" w:before="20"/>
            </w:pPr>
            <w:r>
              <w:rPr>
                <w:rFonts w:ascii="Aptos" w:hAnsi="Aptos"/>
                <w:sz w:val="18"/>
              </w:rPr>
              <w:t>Acta de Constitución (31/08/2025), Diccionario EDT y Plan de Pruebas Inicial</w:t>
            </w:r>
          </w:p>
        </w:tc>
      </w:tr>
      <w:tr>
        <w:tc>
          <w:tcPr>
            <w:tcW w:type="dxa" w:w="2880"/>
            <w:vAlign w:val="center"/>
            <w:shd w:fill="F5F8FB"/>
          </w:tcPr>
          <w:p>
            <w:pPr>
              <w:spacing w:after="20" w:before="20"/>
            </w:pPr>
            <w:r>
              <w:rPr>
                <w:rFonts w:ascii="Aptos" w:hAnsi="Aptos"/>
                <w:sz w:val="18"/>
              </w:rPr>
              <w:t>Versión</w:t>
            </w:r>
          </w:p>
        </w:tc>
        <w:tc>
          <w:tcPr>
            <w:tcW w:type="dxa" w:w="7056"/>
            <w:vAlign w:val="center"/>
            <w:shd w:fill="F5F8FB"/>
          </w:tcPr>
          <w:p>
            <w:pPr>
              <w:spacing w:after="20" w:before="20"/>
            </w:pPr>
            <w:r>
              <w:rPr>
                <w:rFonts w:ascii="Aptos" w:hAnsi="Aptos"/>
                <w:sz w:val="18"/>
              </w:rPr>
              <w:t>1.0</w:t>
            </w:r>
          </w:p>
        </w:tc>
      </w:tr>
    </w:tbl>
    <w:p>
      <w:pPr>
        <w:spacing w:after="0"/>
      </w:pPr>
    </w:p>
    <w:p>
      <w:pPr>
        <w:spacing w:before="400"/>
        <w:jc w:val="center"/>
      </w:pPr>
      <w:r>
        <w:rPr>
          <w:i/>
          <w:color w:val="666666"/>
          <w:sz w:val="18"/>
        </w:rPr>
        <w:t>Estimación en CLP para Chile. Valores de planificación, no cotizaciones comerciales ni presupuesto aprobado.</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4997"/>
        <w:gridCol w:w="4997"/>
      </w:tblGrid>
      <w:tr>
        <w:tc>
          <w:tcPr>
            <w:tcW w:type="dxa" w:w="2304"/>
            <w:shd w:fill="17365D"/>
            <w:vAlign w:val="center"/>
          </w:tcPr>
          <w:p>
            <w:r>
              <w:rPr>
                <w:b/>
                <w:color w:val="FFFFFF"/>
                <w:sz w:val="17"/>
              </w:rPr>
              <w:t>Elemento</w:t>
            </w:r>
          </w:p>
        </w:tc>
        <w:tc>
          <w:tcPr>
            <w:tcW w:type="dxa" w:w="7632"/>
            <w:shd w:fill="17365D"/>
            <w:vAlign w:val="center"/>
          </w:tcPr>
          <w:p>
            <w:r>
              <w:rPr>
                <w:b/>
                <w:color w:val="FFFFFF"/>
                <w:sz w:val="17"/>
              </w:rPr>
              <w:t>Definición</w:t>
            </w:r>
          </w:p>
        </w:tc>
      </w:tr>
      <w:tr>
        <w:tc>
          <w:tcPr>
            <w:tcW w:type="dxa" w:w="2304"/>
            <w:vAlign w:val="center"/>
          </w:tcPr>
          <w:p>
            <w:pPr>
              <w:spacing w:after="20" w:before="20"/>
            </w:pPr>
            <w:r>
              <w:rPr>
                <w:rFonts w:ascii="Aptos" w:hAnsi="Aptos"/>
                <w:sz w:val="17"/>
              </w:rPr>
              <w:t>Propósito</w:t>
            </w:r>
          </w:p>
        </w:tc>
        <w:tc>
          <w:tcPr>
            <w:tcW w:type="dxa" w:w="7632"/>
            <w:vAlign w:val="center"/>
          </w:tcPr>
          <w:p>
            <w:pPr>
              <w:spacing w:after="20" w:before="20"/>
            </w:pPr>
            <w:r>
              <w:rPr>
                <w:rFonts w:ascii="Aptos" w:hAnsi="Aptos"/>
                <w:sz w:val="17"/>
              </w:rPr>
              <w:t>Estimar el costo realista de implementar y operar Discover, diferenciando desembolsos de caja y costo económico del trabajo.</w:t>
            </w:r>
          </w:p>
        </w:tc>
      </w:tr>
      <w:tr>
        <w:tc>
          <w:tcPr>
            <w:tcW w:type="dxa" w:w="2304"/>
            <w:vAlign w:val="center"/>
            <w:shd w:fill="F5F8FB"/>
          </w:tcPr>
          <w:p>
            <w:pPr>
              <w:spacing w:after="20" w:before="20"/>
            </w:pPr>
            <w:r>
              <w:rPr>
                <w:rFonts w:ascii="Aptos" w:hAnsi="Aptos"/>
                <w:sz w:val="17"/>
              </w:rPr>
              <w:t>Responsables</w:t>
            </w:r>
          </w:p>
        </w:tc>
        <w:tc>
          <w:tcPr>
            <w:tcW w:type="dxa" w:w="7632"/>
            <w:vAlign w:val="center"/>
            <w:shd w:fill="F5F8FB"/>
          </w:tcPr>
          <w:p>
            <w:pPr>
              <w:spacing w:after="20" w:before="20"/>
            </w:pPr>
            <w:r>
              <w:rPr>
                <w:rFonts w:ascii="Aptos" w:hAnsi="Aptos"/>
                <w:sz w:val="17"/>
              </w:rPr>
              <w:t>Jordán Órdenes y Lino Barrera.</w:t>
            </w:r>
          </w:p>
        </w:tc>
      </w:tr>
      <w:tr>
        <w:tc>
          <w:tcPr>
            <w:tcW w:type="dxa" w:w="2304"/>
            <w:vAlign w:val="center"/>
          </w:tcPr>
          <w:p>
            <w:pPr>
              <w:spacing w:after="20" w:before="20"/>
            </w:pPr>
            <w:r>
              <w:rPr>
                <w:rFonts w:ascii="Aptos" w:hAnsi="Aptos"/>
                <w:sz w:val="17"/>
              </w:rPr>
              <w:t>Moneda</w:t>
            </w:r>
          </w:p>
        </w:tc>
        <w:tc>
          <w:tcPr>
            <w:tcW w:type="dxa" w:w="7632"/>
            <w:vAlign w:val="center"/>
          </w:tcPr>
          <w:p>
            <w:pPr>
              <w:spacing w:after="20" w:before="20"/>
            </w:pPr>
            <w:r>
              <w:rPr>
                <w:rFonts w:ascii="Aptos" w:hAnsi="Aptos"/>
                <w:sz w:val="17"/>
              </w:rPr>
              <w:t>Pesos chilenos (CLP).</w:t>
            </w:r>
          </w:p>
        </w:tc>
      </w:tr>
      <w:tr>
        <w:tc>
          <w:tcPr>
            <w:tcW w:type="dxa" w:w="2304"/>
            <w:vAlign w:val="center"/>
            <w:shd w:fill="F5F8FB"/>
          </w:tcPr>
          <w:p>
            <w:pPr>
              <w:spacing w:after="20" w:before="20"/>
            </w:pPr>
            <w:r>
              <w:rPr>
                <w:rFonts w:ascii="Aptos" w:hAnsi="Aptos"/>
                <w:sz w:val="17"/>
              </w:rPr>
              <w:t>Base</w:t>
            </w:r>
          </w:p>
        </w:tc>
        <w:tc>
          <w:tcPr>
            <w:tcW w:type="dxa" w:w="7632"/>
            <w:vAlign w:val="center"/>
            <w:shd w:fill="F5F8FB"/>
          </w:tcPr>
          <w:p>
            <w:pPr>
              <w:spacing w:after="20" w:before="20"/>
            </w:pPr>
            <w:r>
              <w:rPr>
                <w:rFonts w:ascii="Aptos" w:hAnsi="Aptos"/>
                <w:sz w:val="17"/>
              </w:rPr>
              <w:t>Alcance técnico del Acta, EDT y Plan de Pruebas; precios públicos consultados como referencias cuando estén disponibles.</w:t>
            </w:r>
          </w:p>
        </w:tc>
      </w:tr>
      <w:tr>
        <w:tc>
          <w:tcPr>
            <w:tcW w:type="dxa" w:w="2304"/>
            <w:vAlign w:val="center"/>
          </w:tcPr>
          <w:p>
            <w:pPr>
              <w:spacing w:after="20" w:before="20"/>
            </w:pPr>
            <w:r>
              <w:rPr>
                <w:rFonts w:ascii="Aptos" w:hAnsi="Aptos"/>
                <w:sz w:val="17"/>
              </w:rPr>
              <w:t>Estado</w:t>
            </w:r>
          </w:p>
        </w:tc>
        <w:tc>
          <w:tcPr>
            <w:tcW w:type="dxa" w:w="7632"/>
            <w:vAlign w:val="center"/>
          </w:tcPr>
          <w:p>
            <w:pPr>
              <w:spacing w:after="20" w:before="20"/>
            </w:pPr>
            <w:r>
              <w:rPr>
                <w:rFonts w:ascii="Aptos" w:hAnsi="Aptos"/>
                <w:sz w:val="17"/>
              </w:rPr>
              <w:t>Estimación preliminar; requiere cotizaciones y confirmación del proveedor/uso previsto antes de aprobar.</w:t>
            </w:r>
          </w:p>
        </w:tc>
      </w:tr>
    </w:tbl>
    <w:p>
      <w:pPr>
        <w:spacing w:after="0"/>
      </w:pPr>
    </w:p>
    <w:p>
      <w:pPr>
        <w:pStyle w:val="Heading1"/>
      </w:pPr>
      <w:r>
        <w:t>1. Resumen ejecutivo</w:t>
      </w:r>
    </w:p>
    <w:p>
      <w:r>
        <w:t>El Acta de Constitución original establece un presupuesto académico de $0 CLP y el uso de recursos existentes y herramientas gratuitas. Este documento separado responde a una pregunta distinta: cuánto podría costar Discover en un escenario de implementación real, con infraestructura, servicios y trabajo valorizados.</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17365D"/>
            <w:vAlign w:val="center"/>
          </w:tcPr>
          <w:p>
            <w:r>
              <w:rPr>
                <w:b/>
                <w:color w:val="FFFFFF"/>
                <w:sz w:val="16"/>
              </w:rPr>
              <w:t>Escenario</w:t>
            </w:r>
          </w:p>
        </w:tc>
        <w:tc>
          <w:tcPr>
            <w:tcW w:type="dxa" w:w="2592"/>
            <w:shd w:fill="17365D"/>
            <w:vAlign w:val="center"/>
          </w:tcPr>
          <w:p>
            <w:r>
              <w:rPr>
                <w:b/>
                <w:color w:val="FFFFFF"/>
                <w:sz w:val="16"/>
              </w:rPr>
              <w:t>Costo estimado</w:t>
            </w:r>
          </w:p>
        </w:tc>
        <w:tc>
          <w:tcPr>
            <w:tcW w:type="dxa" w:w="4464"/>
            <w:shd w:fill="17365D"/>
            <w:vAlign w:val="center"/>
          </w:tcPr>
          <w:p>
            <w:r>
              <w:rPr>
                <w:b/>
                <w:color w:val="FFFFFF"/>
                <w:sz w:val="16"/>
              </w:rPr>
              <w:t>Qué representa</w:t>
            </w:r>
          </w:p>
        </w:tc>
      </w:tr>
      <w:tr>
        <w:tc>
          <w:tcPr>
            <w:tcW w:type="dxa" w:w="2880"/>
            <w:vAlign w:val="center"/>
          </w:tcPr>
          <w:p>
            <w:pPr>
              <w:spacing w:after="20" w:before="20"/>
            </w:pPr>
            <w:r>
              <w:rPr>
                <w:rFonts w:ascii="Aptos" w:hAnsi="Aptos"/>
                <w:sz w:val="16"/>
              </w:rPr>
              <w:t>Mínimo / académico con herramientas gratuitas</w:t>
            </w:r>
          </w:p>
        </w:tc>
        <w:tc>
          <w:tcPr>
            <w:tcW w:type="dxa" w:w="2592"/>
            <w:vAlign w:val="center"/>
          </w:tcPr>
          <w:p>
            <w:pPr>
              <w:spacing w:after="20" w:before="20"/>
            </w:pPr>
            <w:r>
              <w:rPr>
                <w:rFonts w:ascii="Aptos" w:hAnsi="Aptos"/>
                <w:sz w:val="16"/>
              </w:rPr>
              <w:t>$0–$50.000 CLP por mes</w:t>
            </w:r>
          </w:p>
        </w:tc>
        <w:tc>
          <w:tcPr>
            <w:tcW w:type="dxa" w:w="4464"/>
            <w:vAlign w:val="center"/>
          </w:tcPr>
          <w:p>
            <w:pPr>
              <w:spacing w:after="20" w:before="20"/>
            </w:pPr>
            <w:r>
              <w:rPr>
                <w:rFonts w:ascii="Aptos" w:hAnsi="Aptos"/>
                <w:sz w:val="16"/>
              </w:rPr>
              <w:t>Uso local o free tiers; costos variables bajos, sin remunerar el trabajo del equipo.</w:t>
            </w:r>
          </w:p>
        </w:tc>
      </w:tr>
      <w:tr>
        <w:tc>
          <w:tcPr>
            <w:tcW w:type="dxa" w:w="2880"/>
            <w:vAlign w:val="center"/>
            <w:shd w:fill="F5F8FB"/>
          </w:tcPr>
          <w:p>
            <w:pPr>
              <w:spacing w:after="20" w:before="20"/>
            </w:pPr>
            <w:r>
              <w:rPr>
                <w:rFonts w:ascii="Aptos" w:hAnsi="Aptos"/>
                <w:sz w:val="16"/>
              </w:rPr>
              <w:t>Despliegue pequeño, con servicios pagados básicos</w:t>
            </w:r>
          </w:p>
        </w:tc>
        <w:tc>
          <w:tcPr>
            <w:tcW w:type="dxa" w:w="2592"/>
            <w:vAlign w:val="center"/>
            <w:shd w:fill="F5F8FB"/>
          </w:tcPr>
          <w:p>
            <w:pPr>
              <w:spacing w:after="20" w:before="20"/>
            </w:pPr>
            <w:r>
              <w:rPr>
                <w:rFonts w:ascii="Aptos" w:hAnsi="Aptos"/>
                <w:sz w:val="16"/>
              </w:rPr>
              <w:t>$35.000–$120.000 CLP por mes</w:t>
            </w:r>
          </w:p>
        </w:tc>
        <w:tc>
          <w:tcPr>
            <w:tcW w:type="dxa" w:w="4464"/>
            <w:vAlign w:val="center"/>
            <w:shd w:fill="F5F8FB"/>
          </w:tcPr>
          <w:p>
            <w:pPr>
              <w:spacing w:after="20" w:before="20"/>
            </w:pPr>
            <w:r>
              <w:rPr>
                <w:rFonts w:ascii="Aptos" w:hAnsi="Aptos"/>
                <w:sz w:val="16"/>
              </w:rPr>
              <w:t>Alojamiento, base de datos/respaldos, dominio prorrateado y margen pequeño para consumo de IA.</w:t>
            </w:r>
          </w:p>
        </w:tc>
      </w:tr>
      <w:tr>
        <w:tc>
          <w:tcPr>
            <w:tcW w:type="dxa" w:w="2880"/>
            <w:vAlign w:val="center"/>
          </w:tcPr>
          <w:p>
            <w:pPr>
              <w:spacing w:after="20" w:before="20"/>
            </w:pPr>
            <w:r>
              <w:rPr>
                <w:rFonts w:ascii="Aptos" w:hAnsi="Aptos"/>
                <w:sz w:val="16"/>
              </w:rPr>
              <w:t>Costo de desarrollo profesional</w:t>
            </w:r>
          </w:p>
        </w:tc>
        <w:tc>
          <w:tcPr>
            <w:tcW w:type="dxa" w:w="2592"/>
            <w:vAlign w:val="center"/>
          </w:tcPr>
          <w:p>
            <w:pPr>
              <w:spacing w:after="20" w:before="20"/>
            </w:pPr>
            <w:r>
              <w:rPr>
                <w:rFonts w:ascii="Aptos" w:hAnsi="Aptos"/>
                <w:sz w:val="16"/>
              </w:rPr>
              <w:t>$4.000.000–$12.000.000 CLP por proyecto</w:t>
            </w:r>
          </w:p>
        </w:tc>
        <w:tc>
          <w:tcPr>
            <w:tcW w:type="dxa" w:w="4464"/>
            <w:vAlign w:val="center"/>
          </w:tcPr>
          <w:p>
            <w:pPr>
              <w:spacing w:after="20" w:before="20"/>
            </w:pPr>
            <w:r>
              <w:rPr>
                <w:rFonts w:ascii="Aptos" w:hAnsi="Aptos"/>
                <w:sz w:val="16"/>
              </w:rPr>
              <w:t>Estimación de esfuerzo de desarrollo, QA, UX y documentación para un MVP acotado; no equivale a gasto de infraestructura.</w:t>
            </w:r>
          </w:p>
        </w:tc>
      </w:tr>
    </w:tbl>
    <w:p>
      <w:pPr>
        <w:spacing w:after="0"/>
      </w:pPr>
    </w:p>
    <w:p>
      <w:r>
        <w:rPr>
          <w:i/>
        </w:rPr>
        <w:t>Importante: estos rangos son estimaciones de orden de magnitud. El costo final depende de usuarios, tráfico, almacenamiento, proveedor de IA, alcance exacto y tarifas de los profesionales.</w:t>
      </w:r>
    </w:p>
    <w:p>
      <w:pPr>
        <w:pStyle w:val="Heading1"/>
      </w:pPr>
      <w:r>
        <w:t>2. Supuestos de estimación</w:t>
      </w:r>
    </w:p>
    <w:p>
      <w:pPr>
        <w:pStyle w:val="ListBullet"/>
        <w:spacing w:after="40"/>
      </w:pPr>
      <w:r>
        <w:t>Proyecto tipo MVP académico/prototipo con Django, Django REST Framework, MySQL, interfaz web, filtros, favoritos y una integración de IA.</w:t>
      </w:r>
    </w:p>
    <w:p>
      <w:pPr>
        <w:pStyle w:val="ListBullet"/>
        <w:spacing w:after="40"/>
      </w:pPr>
      <w:r>
        <w:t>Una instancia de aplicación de bajo tráfico, entorno de producción pequeño, respaldos básicos y dominio estándar.</w:t>
      </w:r>
    </w:p>
    <w:p>
      <w:pPr>
        <w:pStyle w:val="ListBullet"/>
        <w:spacing w:after="40"/>
      </w:pPr>
      <w:r>
        <w:t>No se incluye compra de computadores ni remuneración por operación continua en el costo mensual de caja.</w:t>
      </w:r>
    </w:p>
    <w:p>
      <w:pPr>
        <w:pStyle w:val="ListBullet"/>
        <w:spacing w:after="40"/>
      </w:pPr>
      <w:r>
        <w:t>El uso de IA se estima con un presupuesto de consumo bajo y variable; el costo real depende del modelo, tokens, volumen y condiciones del proveedor.</w:t>
      </w:r>
    </w:p>
    <w:p>
      <w:pPr>
        <w:pStyle w:val="ListBullet"/>
        <w:spacing w:after="40"/>
      </w:pPr>
      <w:r>
        <w:t>Los costos de desarrollo profesional se muestran aparte como costo económico de trabajo y no se suman al desembolso mensual de operación.</w:t>
      </w:r>
    </w:p>
    <w:p>
      <w:pPr>
        <w:pStyle w:val="ListBullet"/>
        <w:spacing w:after="40"/>
      </w:pPr>
      <w:r>
        <w:t>Los precios deben confirmarse en páginas oficiales y cotizaciones antes de contratar. Impuestos, tipo de cambio y cambios de tarifa pueden alterar el total.</w:t>
      </w:r>
    </w:p>
    <w:p>
      <w:pPr>
        <w:pStyle w:val="Heading1"/>
      </w:pPr>
      <w:r>
        <w:t>3. Estimación de costos de puesta en marcha</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880"/>
            <w:shd w:fill="17365D"/>
            <w:vAlign w:val="center"/>
          </w:tcPr>
          <w:p>
            <w:r>
              <w:rPr>
                <w:b/>
                <w:color w:val="FFFFFF"/>
                <w:sz w:val="16"/>
              </w:rPr>
              <w:t>Concepto</w:t>
            </w:r>
          </w:p>
        </w:tc>
        <w:tc>
          <w:tcPr>
            <w:tcW w:type="dxa" w:w="1800"/>
            <w:shd w:fill="17365D"/>
            <w:vAlign w:val="center"/>
          </w:tcPr>
          <w:p>
            <w:r>
              <w:rPr>
                <w:b/>
                <w:color w:val="FFFFFF"/>
                <w:sz w:val="16"/>
              </w:rPr>
              <w:t>Estimación CLP</w:t>
            </w:r>
          </w:p>
        </w:tc>
        <w:tc>
          <w:tcPr>
            <w:tcW w:type="dxa" w:w="2088"/>
            <w:shd w:fill="17365D"/>
            <w:vAlign w:val="center"/>
          </w:tcPr>
          <w:p>
            <w:r>
              <w:rPr>
                <w:b/>
                <w:color w:val="FFFFFF"/>
                <w:sz w:val="16"/>
              </w:rPr>
              <w:t>Frecuencia / supuesto</w:t>
            </w:r>
          </w:p>
        </w:tc>
        <w:tc>
          <w:tcPr>
            <w:tcW w:type="dxa" w:w="3168"/>
            <w:shd w:fill="17365D"/>
            <w:vAlign w:val="center"/>
          </w:tcPr>
          <w:p>
            <w:r>
              <w:rPr>
                <w:b/>
                <w:color w:val="FFFFFF"/>
                <w:sz w:val="16"/>
              </w:rPr>
              <w:t>Observaciones</w:t>
            </w:r>
          </w:p>
        </w:tc>
      </w:tr>
      <w:tr>
        <w:tc>
          <w:tcPr>
            <w:tcW w:type="dxa" w:w="2880"/>
            <w:vAlign w:val="center"/>
          </w:tcPr>
          <w:p>
            <w:pPr>
              <w:spacing w:after="20" w:before="20"/>
            </w:pPr>
            <w:r>
              <w:rPr>
                <w:rFonts w:ascii="Aptos" w:hAnsi="Aptos"/>
                <w:sz w:val="16"/>
              </w:rPr>
              <w:t>Dominio web</w:t>
            </w:r>
          </w:p>
        </w:tc>
        <w:tc>
          <w:tcPr>
            <w:tcW w:type="dxa" w:w="1800"/>
            <w:vAlign w:val="center"/>
          </w:tcPr>
          <w:p>
            <w:pPr>
              <w:spacing w:after="20" w:before="20"/>
            </w:pPr>
            <w:r>
              <w:rPr>
                <w:rFonts w:ascii="Aptos" w:hAnsi="Aptos"/>
                <w:sz w:val="16"/>
              </w:rPr>
              <w:t>$10.000–$25.000</w:t>
            </w:r>
          </w:p>
        </w:tc>
        <w:tc>
          <w:tcPr>
            <w:tcW w:type="dxa" w:w="2088"/>
            <w:vAlign w:val="center"/>
          </w:tcPr>
          <w:p>
            <w:pPr>
              <w:spacing w:after="20" w:before="20"/>
            </w:pPr>
            <w:r>
              <w:rPr>
                <w:rFonts w:ascii="Aptos" w:hAnsi="Aptos"/>
                <w:sz w:val="16"/>
              </w:rPr>
              <w:t>Anual; equivalente mensual $830–$2.100</w:t>
            </w:r>
          </w:p>
        </w:tc>
        <w:tc>
          <w:tcPr>
            <w:tcW w:type="dxa" w:w="3168"/>
            <w:vAlign w:val="center"/>
          </w:tcPr>
          <w:p>
            <w:pPr>
              <w:spacing w:after="20" w:before="20"/>
            </w:pPr>
            <w:r>
              <w:rPr>
                <w:rFonts w:ascii="Aptos" w:hAnsi="Aptos"/>
                <w:sz w:val="16"/>
              </w:rPr>
              <w:t>Dominio estándar; precio depende de extensión y registrador.</w:t>
            </w:r>
          </w:p>
        </w:tc>
      </w:tr>
      <w:tr>
        <w:tc>
          <w:tcPr>
            <w:tcW w:type="dxa" w:w="2880"/>
            <w:vAlign w:val="center"/>
            <w:shd w:fill="F5F8FB"/>
          </w:tcPr>
          <w:p>
            <w:pPr>
              <w:spacing w:after="20" w:before="20"/>
            </w:pPr>
            <w:r>
              <w:rPr>
                <w:rFonts w:ascii="Aptos" w:hAnsi="Aptos"/>
                <w:sz w:val="16"/>
              </w:rPr>
              <w:t>Configuración inicial y despliegue</w:t>
            </w:r>
          </w:p>
        </w:tc>
        <w:tc>
          <w:tcPr>
            <w:tcW w:type="dxa" w:w="1800"/>
            <w:vAlign w:val="center"/>
            <w:shd w:fill="F5F8FB"/>
          </w:tcPr>
          <w:p>
            <w:pPr>
              <w:spacing w:after="20" w:before="20"/>
            </w:pPr>
            <w:r>
              <w:rPr>
                <w:rFonts w:ascii="Aptos" w:hAnsi="Aptos"/>
                <w:sz w:val="16"/>
              </w:rPr>
              <w:t>$0–$80.000</w:t>
            </w:r>
          </w:p>
        </w:tc>
        <w:tc>
          <w:tcPr>
            <w:tcW w:type="dxa" w:w="2088"/>
            <w:vAlign w:val="center"/>
            <w:shd w:fill="F5F8FB"/>
          </w:tcPr>
          <w:p>
            <w:pPr>
              <w:spacing w:after="20" w:before="20"/>
            </w:pPr>
            <w:r>
              <w:rPr>
                <w:rFonts w:ascii="Aptos" w:hAnsi="Aptos"/>
                <w:sz w:val="16"/>
              </w:rPr>
              <w:t>Una vez</w:t>
            </w:r>
          </w:p>
        </w:tc>
        <w:tc>
          <w:tcPr>
            <w:tcW w:type="dxa" w:w="3168"/>
            <w:vAlign w:val="center"/>
            <w:shd w:fill="F5F8FB"/>
          </w:tcPr>
          <w:p>
            <w:pPr>
              <w:spacing w:after="20" w:before="20"/>
            </w:pPr>
            <w:r>
              <w:rPr>
                <w:rFonts w:ascii="Aptos" w:hAnsi="Aptos"/>
                <w:sz w:val="16"/>
              </w:rPr>
              <w:t>$0 si lo hace el equipo; monto alternativo representa apoyo puntual externo, no cotización.</w:t>
            </w:r>
          </w:p>
        </w:tc>
      </w:tr>
      <w:tr>
        <w:tc>
          <w:tcPr>
            <w:tcW w:type="dxa" w:w="2880"/>
            <w:vAlign w:val="center"/>
          </w:tcPr>
          <w:p>
            <w:pPr>
              <w:spacing w:after="20" w:before="20"/>
            </w:pPr>
            <w:r>
              <w:rPr>
                <w:rFonts w:ascii="Aptos" w:hAnsi="Aptos"/>
                <w:sz w:val="16"/>
              </w:rPr>
              <w:t>Certificado SSL</w:t>
            </w:r>
          </w:p>
        </w:tc>
        <w:tc>
          <w:tcPr>
            <w:tcW w:type="dxa" w:w="1800"/>
            <w:vAlign w:val="center"/>
          </w:tcPr>
          <w:p>
            <w:pPr>
              <w:spacing w:after="20" w:before="20"/>
            </w:pPr>
            <w:r>
              <w:rPr>
                <w:rFonts w:ascii="Aptos" w:hAnsi="Aptos"/>
                <w:sz w:val="16"/>
              </w:rPr>
              <w:t>$0</w:t>
            </w:r>
          </w:p>
        </w:tc>
        <w:tc>
          <w:tcPr>
            <w:tcW w:type="dxa" w:w="2088"/>
            <w:vAlign w:val="center"/>
          </w:tcPr>
          <w:p>
            <w:pPr>
              <w:spacing w:after="20" w:before="20"/>
            </w:pPr>
            <w:r>
              <w:rPr>
                <w:rFonts w:ascii="Aptos" w:hAnsi="Aptos"/>
                <w:sz w:val="16"/>
              </w:rPr>
              <w:t>Anual</w:t>
            </w:r>
          </w:p>
        </w:tc>
        <w:tc>
          <w:tcPr>
            <w:tcW w:type="dxa" w:w="3168"/>
            <w:vAlign w:val="center"/>
          </w:tcPr>
          <w:p>
            <w:pPr>
              <w:spacing w:after="20" w:before="20"/>
            </w:pPr>
            <w:r>
              <w:rPr>
                <w:rFonts w:ascii="Aptos" w:hAnsi="Aptos"/>
                <w:sz w:val="16"/>
              </w:rPr>
              <w:t>Normalmente disponible sin costo con proveedores compatibles.</w:t>
            </w:r>
          </w:p>
        </w:tc>
      </w:tr>
      <w:tr>
        <w:tc>
          <w:tcPr>
            <w:tcW w:type="dxa" w:w="2880"/>
            <w:vAlign w:val="center"/>
            <w:shd w:fill="F5F8FB"/>
          </w:tcPr>
          <w:p>
            <w:pPr>
              <w:spacing w:after="20" w:before="20"/>
            </w:pPr>
            <w:r>
              <w:rPr>
                <w:rFonts w:ascii="Aptos" w:hAnsi="Aptos"/>
                <w:sz w:val="16"/>
              </w:rPr>
              <w:t>Diseño UI/UX con herramientas gratuitas</w:t>
            </w:r>
          </w:p>
        </w:tc>
        <w:tc>
          <w:tcPr>
            <w:tcW w:type="dxa" w:w="1800"/>
            <w:vAlign w:val="center"/>
            <w:shd w:fill="F5F8FB"/>
          </w:tcPr>
          <w:p>
            <w:pPr>
              <w:spacing w:after="20" w:before="20"/>
            </w:pPr>
            <w:r>
              <w:rPr>
                <w:rFonts w:ascii="Aptos" w:hAnsi="Aptos"/>
                <w:sz w:val="16"/>
              </w:rPr>
              <w:t>$0</w:t>
            </w:r>
          </w:p>
        </w:tc>
        <w:tc>
          <w:tcPr>
            <w:tcW w:type="dxa" w:w="2088"/>
            <w:vAlign w:val="center"/>
            <w:shd w:fill="F5F8FB"/>
          </w:tcPr>
          <w:p>
            <w:pPr>
              <w:spacing w:after="20" w:before="20"/>
            </w:pPr>
            <w:r>
              <w:rPr>
                <w:rFonts w:ascii="Aptos" w:hAnsi="Aptos"/>
                <w:sz w:val="16"/>
              </w:rPr>
              <w:t>Una vez</w:t>
            </w:r>
          </w:p>
        </w:tc>
        <w:tc>
          <w:tcPr>
            <w:tcW w:type="dxa" w:w="3168"/>
            <w:vAlign w:val="center"/>
            <w:shd w:fill="F5F8FB"/>
          </w:tcPr>
          <w:p>
            <w:pPr>
              <w:spacing w:after="20" w:before="20"/>
            </w:pPr>
            <w:r>
              <w:rPr>
                <w:rFonts w:ascii="Aptos" w:hAnsi="Aptos"/>
                <w:sz w:val="16"/>
              </w:rPr>
              <w:t>Supone uso de planes gratuitos y trabajo interno.</w:t>
            </w:r>
          </w:p>
        </w:tc>
      </w:tr>
      <w:tr>
        <w:tc>
          <w:tcPr>
            <w:tcW w:type="dxa" w:w="2880"/>
            <w:vAlign w:val="center"/>
          </w:tcPr>
          <w:p>
            <w:pPr>
              <w:spacing w:after="20" w:before="20"/>
            </w:pPr>
            <w:r>
              <w:rPr>
                <w:rFonts w:ascii="Aptos" w:hAnsi="Aptos"/>
                <w:sz w:val="16"/>
              </w:rPr>
              <w:t>Configuración de monitoreo y respaldos</w:t>
            </w:r>
          </w:p>
        </w:tc>
        <w:tc>
          <w:tcPr>
            <w:tcW w:type="dxa" w:w="1800"/>
            <w:vAlign w:val="center"/>
          </w:tcPr>
          <w:p>
            <w:pPr>
              <w:spacing w:after="20" w:before="20"/>
            </w:pPr>
            <w:r>
              <w:rPr>
                <w:rFonts w:ascii="Aptos" w:hAnsi="Aptos"/>
                <w:sz w:val="16"/>
              </w:rPr>
              <w:t>$0–$30.000</w:t>
            </w:r>
          </w:p>
        </w:tc>
        <w:tc>
          <w:tcPr>
            <w:tcW w:type="dxa" w:w="2088"/>
            <w:vAlign w:val="center"/>
          </w:tcPr>
          <w:p>
            <w:pPr>
              <w:spacing w:after="20" w:before="20"/>
            </w:pPr>
            <w:r>
              <w:rPr>
                <w:rFonts w:ascii="Aptos" w:hAnsi="Aptos"/>
                <w:sz w:val="16"/>
              </w:rPr>
              <w:t>Una vez</w:t>
            </w:r>
          </w:p>
        </w:tc>
        <w:tc>
          <w:tcPr>
            <w:tcW w:type="dxa" w:w="3168"/>
            <w:vAlign w:val="center"/>
          </w:tcPr>
          <w:p>
            <w:pPr>
              <w:spacing w:after="20" w:before="20"/>
            </w:pPr>
            <w:r>
              <w:rPr>
                <w:rFonts w:ascii="Aptos" w:hAnsi="Aptos"/>
                <w:sz w:val="16"/>
              </w:rPr>
              <w:t>$0 con configuración propia; rango alto contempla apoyo puntual.</w:t>
            </w:r>
          </w:p>
        </w:tc>
      </w:tr>
      <w:tr>
        <w:tc>
          <w:tcPr>
            <w:tcW w:type="dxa" w:w="2880"/>
            <w:vAlign w:val="center"/>
            <w:shd w:fill="F5F8FB"/>
          </w:tcPr>
          <w:p>
            <w:pPr>
              <w:spacing w:after="20" w:before="20"/>
            </w:pPr>
            <w:r>
              <w:rPr>
                <w:rFonts w:ascii="Aptos" w:hAnsi="Aptos"/>
                <w:sz w:val="16"/>
              </w:rPr>
              <w:t>Total de puesta en marcha (sin trabajo interno)</w:t>
            </w:r>
          </w:p>
        </w:tc>
        <w:tc>
          <w:tcPr>
            <w:tcW w:type="dxa" w:w="1800"/>
            <w:vAlign w:val="center"/>
            <w:shd w:fill="F5F8FB"/>
          </w:tcPr>
          <w:p>
            <w:pPr>
              <w:spacing w:after="20" w:before="20"/>
            </w:pPr>
            <w:r>
              <w:rPr>
                <w:rFonts w:ascii="Aptos" w:hAnsi="Aptos"/>
                <w:sz w:val="16"/>
              </w:rPr>
              <w:t>$10.000–$135.000</w:t>
            </w:r>
          </w:p>
        </w:tc>
        <w:tc>
          <w:tcPr>
            <w:tcW w:type="dxa" w:w="2088"/>
            <w:vAlign w:val="center"/>
            <w:shd w:fill="F5F8FB"/>
          </w:tcPr>
          <w:p>
            <w:pPr>
              <w:spacing w:after="20" w:before="20"/>
            </w:pPr>
            <w:r>
              <w:rPr>
                <w:rFonts w:ascii="Aptos" w:hAnsi="Aptos"/>
                <w:sz w:val="16"/>
              </w:rPr>
              <w:t>Una vez</w:t>
            </w:r>
          </w:p>
        </w:tc>
        <w:tc>
          <w:tcPr>
            <w:tcW w:type="dxa" w:w="3168"/>
            <w:vAlign w:val="center"/>
            <w:shd w:fill="F5F8FB"/>
          </w:tcPr>
          <w:p>
            <w:pPr>
              <w:spacing w:after="20" w:before="20"/>
            </w:pPr>
            <w:r>
              <w:rPr>
                <w:rFonts w:ascii="Aptos" w:hAnsi="Aptos"/>
                <w:sz w:val="16"/>
              </w:rPr>
              <w:t>No incluye remuneraciones profesionales ni compra de hardware.</w:t>
            </w:r>
          </w:p>
        </w:tc>
      </w:tr>
    </w:tbl>
    <w:p>
      <w:pPr>
        <w:spacing w:after="0"/>
      </w:pPr>
    </w:p>
    <w:p>
      <w:pPr>
        <w:pStyle w:val="Heading1"/>
      </w:pPr>
      <w:r>
        <w:t>4. Estimación de operación mensual</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304"/>
            <w:shd w:fill="17365D"/>
            <w:vAlign w:val="center"/>
          </w:tcPr>
          <w:p>
            <w:r>
              <w:rPr>
                <w:b/>
                <w:color w:val="FFFFFF"/>
                <w:sz w:val="15"/>
              </w:rPr>
              <w:t>Concepto</w:t>
            </w:r>
          </w:p>
        </w:tc>
        <w:tc>
          <w:tcPr>
            <w:tcW w:type="dxa" w:w="1224"/>
            <w:shd w:fill="17365D"/>
            <w:vAlign w:val="center"/>
          </w:tcPr>
          <w:p>
            <w:r>
              <w:rPr>
                <w:b/>
                <w:color w:val="FFFFFF"/>
                <w:sz w:val="15"/>
              </w:rPr>
              <w:t>Bajo</w:t>
            </w:r>
          </w:p>
        </w:tc>
        <w:tc>
          <w:tcPr>
            <w:tcW w:type="dxa" w:w="1296"/>
            <w:shd w:fill="17365D"/>
            <w:vAlign w:val="center"/>
          </w:tcPr>
          <w:p>
            <w:r>
              <w:rPr>
                <w:b/>
                <w:color w:val="FFFFFF"/>
                <w:sz w:val="15"/>
              </w:rPr>
              <w:t>Medio</w:t>
            </w:r>
          </w:p>
        </w:tc>
        <w:tc>
          <w:tcPr>
            <w:tcW w:type="dxa" w:w="1296"/>
            <w:shd w:fill="17365D"/>
            <w:vAlign w:val="center"/>
          </w:tcPr>
          <w:p>
            <w:r>
              <w:rPr>
                <w:b/>
                <w:color w:val="FFFFFF"/>
                <w:sz w:val="15"/>
              </w:rPr>
              <w:t>Alto</w:t>
            </w:r>
          </w:p>
        </w:tc>
        <w:tc>
          <w:tcPr>
            <w:tcW w:type="dxa" w:w="3456"/>
            <w:shd w:fill="17365D"/>
            <w:vAlign w:val="center"/>
          </w:tcPr>
          <w:p>
            <w:r>
              <w:rPr>
                <w:b/>
                <w:color w:val="FFFFFF"/>
                <w:sz w:val="15"/>
              </w:rPr>
              <w:t>Base de estimación</w:t>
            </w:r>
          </w:p>
        </w:tc>
      </w:tr>
      <w:tr>
        <w:tc>
          <w:tcPr>
            <w:tcW w:type="dxa" w:w="2304"/>
            <w:vAlign w:val="center"/>
          </w:tcPr>
          <w:p>
            <w:pPr>
              <w:spacing w:after="20" w:before="20"/>
            </w:pPr>
            <w:r>
              <w:rPr>
                <w:rFonts w:ascii="Aptos" w:hAnsi="Aptos"/>
                <w:sz w:val="15"/>
              </w:rPr>
              <w:t>Alojamiento de aplicación</w:t>
            </w:r>
          </w:p>
        </w:tc>
        <w:tc>
          <w:tcPr>
            <w:tcW w:type="dxa" w:w="1224"/>
            <w:vAlign w:val="center"/>
          </w:tcPr>
          <w:p>
            <w:pPr>
              <w:spacing w:after="20" w:before="20"/>
            </w:pPr>
            <w:r>
              <w:rPr>
                <w:rFonts w:ascii="Aptos" w:hAnsi="Aptos"/>
                <w:sz w:val="15"/>
              </w:rPr>
              <w:t>$0</w:t>
            </w:r>
          </w:p>
        </w:tc>
        <w:tc>
          <w:tcPr>
            <w:tcW w:type="dxa" w:w="1296"/>
            <w:vAlign w:val="center"/>
          </w:tcPr>
          <w:p>
            <w:pPr>
              <w:spacing w:after="20" w:before="20"/>
            </w:pPr>
            <w:r>
              <w:rPr>
                <w:rFonts w:ascii="Aptos" w:hAnsi="Aptos"/>
                <w:sz w:val="15"/>
              </w:rPr>
              <w:t>$15.000</w:t>
            </w:r>
          </w:p>
        </w:tc>
        <w:tc>
          <w:tcPr>
            <w:tcW w:type="dxa" w:w="1296"/>
            <w:vAlign w:val="center"/>
          </w:tcPr>
          <w:p>
            <w:pPr>
              <w:spacing w:after="20" w:before="20"/>
            </w:pPr>
            <w:r>
              <w:rPr>
                <w:rFonts w:ascii="Aptos" w:hAnsi="Aptos"/>
                <w:sz w:val="15"/>
              </w:rPr>
              <w:t>$35.000</w:t>
            </w:r>
          </w:p>
        </w:tc>
        <w:tc>
          <w:tcPr>
            <w:tcW w:type="dxa" w:w="3456"/>
            <w:vAlign w:val="center"/>
          </w:tcPr>
          <w:p>
            <w:pPr>
              <w:spacing w:after="20" w:before="20"/>
            </w:pPr>
            <w:r>
              <w:rPr>
                <w:rFonts w:ascii="Aptos" w:hAnsi="Aptos"/>
                <w:sz w:val="15"/>
              </w:rPr>
              <w:t>Plan gratuito o instancia pequeña pagada.</w:t>
            </w:r>
          </w:p>
        </w:tc>
      </w:tr>
      <w:tr>
        <w:tc>
          <w:tcPr>
            <w:tcW w:type="dxa" w:w="2304"/>
            <w:vAlign w:val="center"/>
            <w:shd w:fill="F5F8FB"/>
          </w:tcPr>
          <w:p>
            <w:pPr>
              <w:spacing w:after="20" w:before="20"/>
            </w:pPr>
            <w:r>
              <w:rPr>
                <w:rFonts w:ascii="Aptos" w:hAnsi="Aptos"/>
                <w:sz w:val="15"/>
              </w:rPr>
              <w:t>Base de datos y almacenamiento/respaldos</w:t>
            </w:r>
          </w:p>
        </w:tc>
        <w:tc>
          <w:tcPr>
            <w:tcW w:type="dxa" w:w="1224"/>
            <w:vAlign w:val="center"/>
            <w:shd w:fill="F5F8FB"/>
          </w:tcPr>
          <w:p>
            <w:pPr>
              <w:spacing w:after="20" w:before="20"/>
            </w:pPr>
            <w:r>
              <w:rPr>
                <w:rFonts w:ascii="Aptos" w:hAnsi="Aptos"/>
                <w:sz w:val="15"/>
              </w:rPr>
              <w:t>$0</w:t>
            </w:r>
          </w:p>
        </w:tc>
        <w:tc>
          <w:tcPr>
            <w:tcW w:type="dxa" w:w="1296"/>
            <w:vAlign w:val="center"/>
            <w:shd w:fill="F5F8FB"/>
          </w:tcPr>
          <w:p>
            <w:pPr>
              <w:spacing w:after="20" w:before="20"/>
            </w:pPr>
            <w:r>
              <w:rPr>
                <w:rFonts w:ascii="Aptos" w:hAnsi="Aptos"/>
                <w:sz w:val="15"/>
              </w:rPr>
              <w:t>$8.000</w:t>
            </w:r>
          </w:p>
        </w:tc>
        <w:tc>
          <w:tcPr>
            <w:tcW w:type="dxa" w:w="1296"/>
            <w:vAlign w:val="center"/>
            <w:shd w:fill="F5F8FB"/>
          </w:tcPr>
          <w:p>
            <w:pPr>
              <w:spacing w:after="20" w:before="20"/>
            </w:pPr>
            <w:r>
              <w:rPr>
                <w:rFonts w:ascii="Aptos" w:hAnsi="Aptos"/>
                <w:sz w:val="15"/>
              </w:rPr>
              <w:t>$25.000</w:t>
            </w:r>
          </w:p>
        </w:tc>
        <w:tc>
          <w:tcPr>
            <w:tcW w:type="dxa" w:w="3456"/>
            <w:vAlign w:val="center"/>
            <w:shd w:fill="F5F8FB"/>
          </w:tcPr>
          <w:p>
            <w:pPr>
              <w:spacing w:after="20" w:before="20"/>
            </w:pPr>
            <w:r>
              <w:rPr>
                <w:rFonts w:ascii="Aptos" w:hAnsi="Aptos"/>
                <w:sz w:val="15"/>
              </w:rPr>
              <w:t>Servicio gratuito o almacenamiento básico pagado.</w:t>
            </w:r>
          </w:p>
        </w:tc>
      </w:tr>
      <w:tr>
        <w:tc>
          <w:tcPr>
            <w:tcW w:type="dxa" w:w="2304"/>
            <w:vAlign w:val="center"/>
          </w:tcPr>
          <w:p>
            <w:pPr>
              <w:spacing w:after="20" w:before="20"/>
            </w:pPr>
            <w:r>
              <w:rPr>
                <w:rFonts w:ascii="Aptos" w:hAnsi="Aptos"/>
                <w:sz w:val="15"/>
              </w:rPr>
              <w:t>Dominio (prorrateo mensual)</w:t>
            </w:r>
          </w:p>
        </w:tc>
        <w:tc>
          <w:tcPr>
            <w:tcW w:type="dxa" w:w="1224"/>
            <w:vAlign w:val="center"/>
          </w:tcPr>
          <w:p>
            <w:pPr>
              <w:spacing w:after="20" w:before="20"/>
            </w:pPr>
            <w:r>
              <w:rPr>
                <w:rFonts w:ascii="Aptos" w:hAnsi="Aptos"/>
                <w:sz w:val="15"/>
              </w:rPr>
              <w:t>$830</w:t>
            </w:r>
          </w:p>
        </w:tc>
        <w:tc>
          <w:tcPr>
            <w:tcW w:type="dxa" w:w="1296"/>
            <w:vAlign w:val="center"/>
          </w:tcPr>
          <w:p>
            <w:pPr>
              <w:spacing w:after="20" w:before="20"/>
            </w:pPr>
            <w:r>
              <w:rPr>
                <w:rFonts w:ascii="Aptos" w:hAnsi="Aptos"/>
                <w:sz w:val="15"/>
              </w:rPr>
              <w:t>$1.500</w:t>
            </w:r>
          </w:p>
        </w:tc>
        <w:tc>
          <w:tcPr>
            <w:tcW w:type="dxa" w:w="1296"/>
            <w:vAlign w:val="center"/>
          </w:tcPr>
          <w:p>
            <w:pPr>
              <w:spacing w:after="20" w:before="20"/>
            </w:pPr>
            <w:r>
              <w:rPr>
                <w:rFonts w:ascii="Aptos" w:hAnsi="Aptos"/>
                <w:sz w:val="15"/>
              </w:rPr>
              <w:t>$2.100</w:t>
            </w:r>
          </w:p>
        </w:tc>
        <w:tc>
          <w:tcPr>
            <w:tcW w:type="dxa" w:w="3456"/>
            <w:vAlign w:val="center"/>
          </w:tcPr>
          <w:p>
            <w:pPr>
              <w:spacing w:after="20" w:before="20"/>
            </w:pPr>
            <w:r>
              <w:rPr>
                <w:rFonts w:ascii="Aptos" w:hAnsi="Aptos"/>
                <w:sz w:val="15"/>
              </w:rPr>
              <w:t>Costo anual dividido por 12.</w:t>
            </w:r>
          </w:p>
        </w:tc>
      </w:tr>
      <w:tr>
        <w:tc>
          <w:tcPr>
            <w:tcW w:type="dxa" w:w="2304"/>
            <w:vAlign w:val="center"/>
            <w:shd w:fill="F5F8FB"/>
          </w:tcPr>
          <w:p>
            <w:pPr>
              <w:spacing w:after="20" w:before="20"/>
            </w:pPr>
            <w:r>
              <w:rPr>
                <w:rFonts w:ascii="Aptos" w:hAnsi="Aptos"/>
                <w:sz w:val="15"/>
              </w:rPr>
              <w:t>Consumo de IA</w:t>
            </w:r>
          </w:p>
        </w:tc>
        <w:tc>
          <w:tcPr>
            <w:tcW w:type="dxa" w:w="1224"/>
            <w:vAlign w:val="center"/>
            <w:shd w:fill="F5F8FB"/>
          </w:tcPr>
          <w:p>
            <w:pPr>
              <w:spacing w:after="20" w:before="20"/>
            </w:pPr>
            <w:r>
              <w:rPr>
                <w:rFonts w:ascii="Aptos" w:hAnsi="Aptos"/>
                <w:sz w:val="15"/>
              </w:rPr>
              <w:t>$0</w:t>
            </w:r>
          </w:p>
        </w:tc>
        <w:tc>
          <w:tcPr>
            <w:tcW w:type="dxa" w:w="1296"/>
            <w:vAlign w:val="center"/>
            <w:shd w:fill="F5F8FB"/>
          </w:tcPr>
          <w:p>
            <w:pPr>
              <w:spacing w:after="20" w:before="20"/>
            </w:pPr>
            <w:r>
              <w:rPr>
                <w:rFonts w:ascii="Aptos" w:hAnsi="Aptos"/>
                <w:sz w:val="15"/>
              </w:rPr>
              <w:t>$5.000</w:t>
            </w:r>
          </w:p>
        </w:tc>
        <w:tc>
          <w:tcPr>
            <w:tcW w:type="dxa" w:w="1296"/>
            <w:vAlign w:val="center"/>
            <w:shd w:fill="F5F8FB"/>
          </w:tcPr>
          <w:p>
            <w:pPr>
              <w:spacing w:after="20" w:before="20"/>
            </w:pPr>
            <w:r>
              <w:rPr>
                <w:rFonts w:ascii="Aptos" w:hAnsi="Aptos"/>
                <w:sz w:val="15"/>
              </w:rPr>
              <w:t>$25.000</w:t>
            </w:r>
          </w:p>
        </w:tc>
        <w:tc>
          <w:tcPr>
            <w:tcW w:type="dxa" w:w="3456"/>
            <w:vAlign w:val="center"/>
            <w:shd w:fill="F5F8FB"/>
          </w:tcPr>
          <w:p>
            <w:pPr>
              <w:spacing w:after="20" w:before="20"/>
            </w:pPr>
            <w:r>
              <w:rPr>
                <w:rFonts w:ascii="Aptos" w:hAnsi="Aptos"/>
                <w:sz w:val="15"/>
              </w:rPr>
              <w:t>Free tier o uso bajo; variable por modelo y volumen.</w:t>
            </w:r>
          </w:p>
        </w:tc>
      </w:tr>
      <w:tr>
        <w:tc>
          <w:tcPr>
            <w:tcW w:type="dxa" w:w="2304"/>
            <w:vAlign w:val="center"/>
          </w:tcPr>
          <w:p>
            <w:pPr>
              <w:spacing w:after="20" w:before="20"/>
            </w:pPr>
            <w:r>
              <w:rPr>
                <w:rFonts w:ascii="Aptos" w:hAnsi="Aptos"/>
                <w:sz w:val="15"/>
              </w:rPr>
              <w:t>Monitoreo / correo / utilidades</w:t>
            </w:r>
          </w:p>
        </w:tc>
        <w:tc>
          <w:tcPr>
            <w:tcW w:type="dxa" w:w="1224"/>
            <w:vAlign w:val="center"/>
          </w:tcPr>
          <w:p>
            <w:pPr>
              <w:spacing w:after="20" w:before="20"/>
            </w:pPr>
            <w:r>
              <w:rPr>
                <w:rFonts w:ascii="Aptos" w:hAnsi="Aptos"/>
                <w:sz w:val="15"/>
              </w:rPr>
              <w:t>$0</w:t>
            </w:r>
          </w:p>
        </w:tc>
        <w:tc>
          <w:tcPr>
            <w:tcW w:type="dxa" w:w="1296"/>
            <w:vAlign w:val="center"/>
          </w:tcPr>
          <w:p>
            <w:pPr>
              <w:spacing w:after="20" w:before="20"/>
            </w:pPr>
            <w:r>
              <w:rPr>
                <w:rFonts w:ascii="Aptos" w:hAnsi="Aptos"/>
                <w:sz w:val="15"/>
              </w:rPr>
              <w:t>$3.000</w:t>
            </w:r>
          </w:p>
        </w:tc>
        <w:tc>
          <w:tcPr>
            <w:tcW w:type="dxa" w:w="1296"/>
            <w:vAlign w:val="center"/>
          </w:tcPr>
          <w:p>
            <w:pPr>
              <w:spacing w:after="20" w:before="20"/>
            </w:pPr>
            <w:r>
              <w:rPr>
                <w:rFonts w:ascii="Aptos" w:hAnsi="Aptos"/>
                <w:sz w:val="15"/>
              </w:rPr>
              <w:t>$10.000</w:t>
            </w:r>
          </w:p>
        </w:tc>
        <w:tc>
          <w:tcPr>
            <w:tcW w:type="dxa" w:w="3456"/>
            <w:vAlign w:val="center"/>
          </w:tcPr>
          <w:p>
            <w:pPr>
              <w:spacing w:after="20" w:before="20"/>
            </w:pPr>
            <w:r>
              <w:rPr>
                <w:rFonts w:ascii="Aptos" w:hAnsi="Aptos"/>
                <w:sz w:val="15"/>
              </w:rPr>
              <w:t>Planes gratuitos o utilidades de bajo costo.</w:t>
            </w:r>
          </w:p>
        </w:tc>
      </w:tr>
      <w:tr>
        <w:tc>
          <w:tcPr>
            <w:tcW w:type="dxa" w:w="2304"/>
            <w:vAlign w:val="center"/>
            <w:shd w:fill="F5F8FB"/>
          </w:tcPr>
          <w:p>
            <w:pPr>
              <w:spacing w:after="20" w:before="20"/>
            </w:pPr>
            <w:r>
              <w:rPr>
                <w:rFonts w:ascii="Aptos" w:hAnsi="Aptos"/>
                <w:sz w:val="15"/>
              </w:rPr>
              <w:t>Subtotal mensual</w:t>
            </w:r>
          </w:p>
        </w:tc>
        <w:tc>
          <w:tcPr>
            <w:tcW w:type="dxa" w:w="1224"/>
            <w:vAlign w:val="center"/>
            <w:shd w:fill="F5F8FB"/>
          </w:tcPr>
          <w:p>
            <w:pPr>
              <w:spacing w:after="20" w:before="20"/>
            </w:pPr>
            <w:r>
              <w:rPr>
                <w:rFonts w:ascii="Aptos" w:hAnsi="Aptos"/>
                <w:sz w:val="15"/>
              </w:rPr>
              <w:t>$830</w:t>
            </w:r>
          </w:p>
        </w:tc>
        <w:tc>
          <w:tcPr>
            <w:tcW w:type="dxa" w:w="1296"/>
            <w:vAlign w:val="center"/>
            <w:shd w:fill="F5F8FB"/>
          </w:tcPr>
          <w:p>
            <w:pPr>
              <w:spacing w:after="20" w:before="20"/>
            </w:pPr>
            <w:r>
              <w:rPr>
                <w:rFonts w:ascii="Aptos" w:hAnsi="Aptos"/>
                <w:sz w:val="15"/>
              </w:rPr>
              <w:t>$32.500</w:t>
            </w:r>
          </w:p>
        </w:tc>
        <w:tc>
          <w:tcPr>
            <w:tcW w:type="dxa" w:w="1296"/>
            <w:vAlign w:val="center"/>
            <w:shd w:fill="F5F8FB"/>
          </w:tcPr>
          <w:p>
            <w:pPr>
              <w:spacing w:after="20" w:before="20"/>
            </w:pPr>
            <w:r>
              <w:rPr>
                <w:rFonts w:ascii="Aptos" w:hAnsi="Aptos"/>
                <w:sz w:val="15"/>
              </w:rPr>
              <w:t>$97.100</w:t>
            </w:r>
          </w:p>
        </w:tc>
        <w:tc>
          <w:tcPr>
            <w:tcW w:type="dxa" w:w="3456"/>
            <w:vAlign w:val="center"/>
            <w:shd w:fill="F5F8FB"/>
          </w:tcPr>
          <w:p>
            <w:pPr>
              <w:spacing w:after="20" w:before="20"/>
            </w:pPr>
            <w:r>
              <w:rPr>
                <w:rFonts w:ascii="Aptos" w:hAnsi="Aptos"/>
                <w:sz w:val="15"/>
              </w:rPr>
              <w:t>Suma de conceptos anteriores; redondear según proveedor.</w:t>
            </w:r>
          </w:p>
        </w:tc>
      </w:tr>
      <w:tr>
        <w:tc>
          <w:tcPr>
            <w:tcW w:type="dxa" w:w="2304"/>
            <w:vAlign w:val="center"/>
          </w:tcPr>
          <w:p>
            <w:pPr>
              <w:spacing w:after="20" w:before="20"/>
            </w:pPr>
            <w:r>
              <w:rPr>
                <w:rFonts w:ascii="Aptos" w:hAnsi="Aptos"/>
                <w:sz w:val="15"/>
              </w:rPr>
              <w:t>Reserva operativa 15%</w:t>
            </w:r>
          </w:p>
        </w:tc>
        <w:tc>
          <w:tcPr>
            <w:tcW w:type="dxa" w:w="1224"/>
            <w:vAlign w:val="center"/>
          </w:tcPr>
          <w:p>
            <w:pPr>
              <w:spacing w:after="20" w:before="20"/>
            </w:pPr>
            <w:r>
              <w:rPr>
                <w:rFonts w:ascii="Aptos" w:hAnsi="Aptos"/>
                <w:sz w:val="15"/>
              </w:rPr>
              <w:t>$125</w:t>
            </w:r>
          </w:p>
        </w:tc>
        <w:tc>
          <w:tcPr>
            <w:tcW w:type="dxa" w:w="1296"/>
            <w:vAlign w:val="center"/>
          </w:tcPr>
          <w:p>
            <w:pPr>
              <w:spacing w:after="20" w:before="20"/>
            </w:pPr>
            <w:r>
              <w:rPr>
                <w:rFonts w:ascii="Aptos" w:hAnsi="Aptos"/>
                <w:sz w:val="15"/>
              </w:rPr>
              <w:t>$4.875</w:t>
            </w:r>
          </w:p>
        </w:tc>
        <w:tc>
          <w:tcPr>
            <w:tcW w:type="dxa" w:w="1296"/>
            <w:vAlign w:val="center"/>
          </w:tcPr>
          <w:p>
            <w:pPr>
              <w:spacing w:after="20" w:before="20"/>
            </w:pPr>
            <w:r>
              <w:rPr>
                <w:rFonts w:ascii="Aptos" w:hAnsi="Aptos"/>
                <w:sz w:val="15"/>
              </w:rPr>
              <w:t>$14.565</w:t>
            </w:r>
          </w:p>
        </w:tc>
        <w:tc>
          <w:tcPr>
            <w:tcW w:type="dxa" w:w="3456"/>
            <w:vAlign w:val="center"/>
          </w:tcPr>
          <w:p>
            <w:pPr>
              <w:spacing w:after="20" w:before="20"/>
            </w:pPr>
            <w:r>
              <w:rPr>
                <w:rFonts w:ascii="Aptos" w:hAnsi="Aptos"/>
                <w:sz w:val="15"/>
              </w:rPr>
              <w:t>Margen orientativo para variación de consumo y precios.</w:t>
            </w:r>
          </w:p>
        </w:tc>
      </w:tr>
      <w:tr>
        <w:tc>
          <w:tcPr>
            <w:tcW w:type="dxa" w:w="2304"/>
            <w:vAlign w:val="center"/>
            <w:shd w:fill="F5F8FB"/>
          </w:tcPr>
          <w:p>
            <w:pPr>
              <w:spacing w:after="20" w:before="20"/>
            </w:pPr>
            <w:r>
              <w:rPr>
                <w:rFonts w:ascii="Aptos" w:hAnsi="Aptos"/>
                <w:sz w:val="15"/>
              </w:rPr>
              <w:t>Total mensual estimado</w:t>
            </w:r>
          </w:p>
        </w:tc>
        <w:tc>
          <w:tcPr>
            <w:tcW w:type="dxa" w:w="1224"/>
            <w:vAlign w:val="center"/>
            <w:shd w:fill="F5F8FB"/>
          </w:tcPr>
          <w:p>
            <w:pPr>
              <w:spacing w:after="20" w:before="20"/>
            </w:pPr>
            <w:r>
              <w:rPr>
                <w:rFonts w:ascii="Aptos" w:hAnsi="Aptos"/>
                <w:sz w:val="15"/>
              </w:rPr>
              <w:t>$955</w:t>
            </w:r>
          </w:p>
        </w:tc>
        <w:tc>
          <w:tcPr>
            <w:tcW w:type="dxa" w:w="1296"/>
            <w:vAlign w:val="center"/>
            <w:shd w:fill="F5F8FB"/>
          </w:tcPr>
          <w:p>
            <w:pPr>
              <w:spacing w:after="20" w:before="20"/>
            </w:pPr>
            <w:r>
              <w:rPr>
                <w:rFonts w:ascii="Aptos" w:hAnsi="Aptos"/>
                <w:sz w:val="15"/>
              </w:rPr>
              <w:t>$37.375</w:t>
            </w:r>
          </w:p>
        </w:tc>
        <w:tc>
          <w:tcPr>
            <w:tcW w:type="dxa" w:w="1296"/>
            <w:vAlign w:val="center"/>
            <w:shd w:fill="F5F8FB"/>
          </w:tcPr>
          <w:p>
            <w:pPr>
              <w:spacing w:after="20" w:before="20"/>
            </w:pPr>
            <w:r>
              <w:rPr>
                <w:rFonts w:ascii="Aptos" w:hAnsi="Aptos"/>
                <w:sz w:val="15"/>
              </w:rPr>
              <w:t>$111.665</w:t>
            </w:r>
          </w:p>
        </w:tc>
        <w:tc>
          <w:tcPr>
            <w:tcW w:type="dxa" w:w="3456"/>
            <w:vAlign w:val="center"/>
            <w:shd w:fill="F5F8FB"/>
          </w:tcPr>
          <w:p>
            <w:pPr>
              <w:spacing w:after="20" w:before="20"/>
            </w:pPr>
            <w:r>
              <w:rPr>
                <w:rFonts w:ascii="Aptos" w:hAnsi="Aptos"/>
                <w:sz w:val="15"/>
              </w:rPr>
              <w:t>No incluye trabajo humano ni impuestos potenciales no contemplados.</w:t>
            </w:r>
          </w:p>
        </w:tc>
      </w:tr>
    </w:tbl>
    <w:p>
      <w:pPr>
        <w:spacing w:after="0"/>
      </w:pPr>
    </w:p>
    <w:p>
      <w:r>
        <w:t>Para una planificación sencilla puede utilizarse un presupuesto redondeado de $40.000 CLP/mes para el escenario medio y hasta $120.000 CLP/mes como límite preliminar del escenario alto. Estos montos son estimaciones y deben reemplazarse por precios verificados antes de contratar.</w:t>
      </w:r>
    </w:p>
    <w:p>
      <w:pPr>
        <w:pStyle w:val="Heading1"/>
      </w:pPr>
      <w:r>
        <w:t>5. Costo de desarrollo profesional (referencial)</w:t>
      </w:r>
    </w:p>
    <w:p>
      <w:r>
        <w:t>Si el desarrollo se contratara en el mercado, el costo de mano de obra sería normalmente mucho mayor que la infraestructura mensual. La siguiente estimación es un cálculo por esfuerzo para un MVP, no una tarifa oficial ni una cotización.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592"/>
            <w:shd w:fill="17365D"/>
            <w:vAlign w:val="center"/>
          </w:tcPr>
          <w:p>
            <w:r>
              <w:rPr>
                <w:b/>
                <w:color w:val="FFFFFF"/>
                <w:sz w:val="15"/>
              </w:rPr>
              <w:t>Perfil / trabajo</w:t>
            </w:r>
          </w:p>
        </w:tc>
        <w:tc>
          <w:tcPr>
            <w:tcW w:type="dxa" w:w="1440"/>
            <w:shd w:fill="17365D"/>
            <w:vAlign w:val="center"/>
          </w:tcPr>
          <w:p>
            <w:r>
              <w:rPr>
                <w:b/>
                <w:color w:val="FFFFFF"/>
                <w:sz w:val="15"/>
              </w:rPr>
              <w:t>Horas estimadas</w:t>
            </w:r>
          </w:p>
        </w:tc>
        <w:tc>
          <w:tcPr>
            <w:tcW w:type="dxa" w:w="2088"/>
            <w:shd w:fill="17365D"/>
            <w:vAlign w:val="center"/>
          </w:tcPr>
          <w:p>
            <w:r>
              <w:rPr>
                <w:b/>
                <w:color w:val="FFFFFF"/>
                <w:sz w:val="15"/>
              </w:rPr>
              <w:t>Tarifa referencial CLP/h</w:t>
            </w:r>
          </w:p>
        </w:tc>
        <w:tc>
          <w:tcPr>
            <w:tcW w:type="dxa" w:w="2520"/>
            <w:shd w:fill="17365D"/>
            <w:vAlign w:val="center"/>
          </w:tcPr>
          <w:p>
            <w:r>
              <w:rPr>
                <w:b/>
                <w:color w:val="FFFFFF"/>
                <w:sz w:val="15"/>
              </w:rPr>
              <w:t>Subtotal estimado</w:t>
            </w:r>
          </w:p>
        </w:tc>
      </w:tr>
      <w:tr>
        <w:tc>
          <w:tcPr>
            <w:tcW w:type="dxa" w:w="2592"/>
            <w:vAlign w:val="center"/>
          </w:tcPr>
          <w:p>
            <w:pPr>
              <w:spacing w:after="20" w:before="20"/>
            </w:pPr>
            <w:r>
              <w:rPr>
                <w:rFonts w:ascii="Aptos" w:hAnsi="Aptos"/>
                <w:sz w:val="15"/>
              </w:rPr>
              <w:t>Desarrollo backend/API/base de datos</w:t>
            </w:r>
          </w:p>
        </w:tc>
        <w:tc>
          <w:tcPr>
            <w:tcW w:type="dxa" w:w="1440"/>
            <w:vAlign w:val="center"/>
          </w:tcPr>
          <w:p>
            <w:pPr>
              <w:spacing w:after="20" w:before="20"/>
            </w:pPr>
            <w:r>
              <w:rPr>
                <w:rFonts w:ascii="Aptos" w:hAnsi="Aptos"/>
                <w:sz w:val="15"/>
              </w:rPr>
              <w:t>100–180</w:t>
            </w:r>
          </w:p>
        </w:tc>
        <w:tc>
          <w:tcPr>
            <w:tcW w:type="dxa" w:w="2088"/>
            <w:vAlign w:val="center"/>
          </w:tcPr>
          <w:p>
            <w:pPr>
              <w:spacing w:after="20" w:before="20"/>
            </w:pPr>
            <w:r>
              <w:rPr>
                <w:rFonts w:ascii="Aptos" w:hAnsi="Aptos"/>
                <w:sz w:val="15"/>
              </w:rPr>
              <w:t>$20.000–$35.000</w:t>
            </w:r>
          </w:p>
        </w:tc>
        <w:tc>
          <w:tcPr>
            <w:tcW w:type="dxa" w:w="2520"/>
            <w:vAlign w:val="center"/>
          </w:tcPr>
          <w:p>
            <w:pPr>
              <w:spacing w:after="20" w:before="20"/>
            </w:pPr>
            <w:r>
              <w:rPr>
                <w:rFonts w:ascii="Aptos" w:hAnsi="Aptos"/>
                <w:sz w:val="15"/>
              </w:rPr>
              <w:t>$2.000.000–$6.300.000</w:t>
            </w:r>
          </w:p>
        </w:tc>
      </w:tr>
      <w:tr>
        <w:tc>
          <w:tcPr>
            <w:tcW w:type="dxa" w:w="2592"/>
            <w:vAlign w:val="center"/>
            <w:shd w:fill="F5F8FB"/>
          </w:tcPr>
          <w:p>
            <w:pPr>
              <w:spacing w:after="20" w:before="20"/>
            </w:pPr>
            <w:r>
              <w:rPr>
                <w:rFonts w:ascii="Aptos" w:hAnsi="Aptos"/>
                <w:sz w:val="15"/>
              </w:rPr>
              <w:t>Desarrollo frontend e integración</w:t>
            </w:r>
          </w:p>
        </w:tc>
        <w:tc>
          <w:tcPr>
            <w:tcW w:type="dxa" w:w="1440"/>
            <w:vAlign w:val="center"/>
            <w:shd w:fill="F5F8FB"/>
          </w:tcPr>
          <w:p>
            <w:pPr>
              <w:spacing w:after="20" w:before="20"/>
            </w:pPr>
            <w:r>
              <w:rPr>
                <w:rFonts w:ascii="Aptos" w:hAnsi="Aptos"/>
                <w:sz w:val="15"/>
              </w:rPr>
              <w:t>70–130</w:t>
            </w:r>
          </w:p>
        </w:tc>
        <w:tc>
          <w:tcPr>
            <w:tcW w:type="dxa" w:w="2088"/>
            <w:vAlign w:val="center"/>
            <w:shd w:fill="F5F8FB"/>
          </w:tcPr>
          <w:p>
            <w:pPr>
              <w:spacing w:after="20" w:before="20"/>
            </w:pPr>
            <w:r>
              <w:rPr>
                <w:rFonts w:ascii="Aptos" w:hAnsi="Aptos"/>
                <w:sz w:val="15"/>
              </w:rPr>
              <w:t>$18.000–$30.000</w:t>
            </w:r>
          </w:p>
        </w:tc>
        <w:tc>
          <w:tcPr>
            <w:tcW w:type="dxa" w:w="2520"/>
            <w:vAlign w:val="center"/>
            <w:shd w:fill="F5F8FB"/>
          </w:tcPr>
          <w:p>
            <w:pPr>
              <w:spacing w:after="20" w:before="20"/>
            </w:pPr>
            <w:r>
              <w:rPr>
                <w:rFonts w:ascii="Aptos" w:hAnsi="Aptos"/>
                <w:sz w:val="15"/>
              </w:rPr>
              <w:t>$1.260.000–$3.900.000</w:t>
            </w:r>
          </w:p>
        </w:tc>
      </w:tr>
      <w:tr>
        <w:tc>
          <w:tcPr>
            <w:tcW w:type="dxa" w:w="2592"/>
            <w:vAlign w:val="center"/>
          </w:tcPr>
          <w:p>
            <w:pPr>
              <w:spacing w:after="20" w:before="20"/>
            </w:pPr>
            <w:r>
              <w:rPr>
                <w:rFonts w:ascii="Aptos" w:hAnsi="Aptos"/>
                <w:sz w:val="15"/>
              </w:rPr>
              <w:t>QA y pruebas de usabilidad</w:t>
            </w:r>
          </w:p>
        </w:tc>
        <w:tc>
          <w:tcPr>
            <w:tcW w:type="dxa" w:w="1440"/>
            <w:vAlign w:val="center"/>
          </w:tcPr>
          <w:p>
            <w:pPr>
              <w:spacing w:after="20" w:before="20"/>
            </w:pPr>
            <w:r>
              <w:rPr>
                <w:rFonts w:ascii="Aptos" w:hAnsi="Aptos"/>
                <w:sz w:val="15"/>
              </w:rPr>
              <w:t>25–45</w:t>
            </w:r>
          </w:p>
        </w:tc>
        <w:tc>
          <w:tcPr>
            <w:tcW w:type="dxa" w:w="2088"/>
            <w:vAlign w:val="center"/>
          </w:tcPr>
          <w:p>
            <w:pPr>
              <w:spacing w:after="20" w:before="20"/>
            </w:pPr>
            <w:r>
              <w:rPr>
                <w:rFonts w:ascii="Aptos" w:hAnsi="Aptos"/>
                <w:sz w:val="15"/>
              </w:rPr>
              <w:t>$15.000–$25.000</w:t>
            </w:r>
          </w:p>
        </w:tc>
        <w:tc>
          <w:tcPr>
            <w:tcW w:type="dxa" w:w="2520"/>
            <w:vAlign w:val="center"/>
          </w:tcPr>
          <w:p>
            <w:pPr>
              <w:spacing w:after="20" w:before="20"/>
            </w:pPr>
            <w:r>
              <w:rPr>
                <w:rFonts w:ascii="Aptos" w:hAnsi="Aptos"/>
                <w:sz w:val="15"/>
              </w:rPr>
              <w:t>$375.000–$1.125.000</w:t>
            </w:r>
          </w:p>
        </w:tc>
      </w:tr>
      <w:tr>
        <w:tc>
          <w:tcPr>
            <w:tcW w:type="dxa" w:w="2592"/>
            <w:vAlign w:val="center"/>
            <w:shd w:fill="F5F8FB"/>
          </w:tcPr>
          <w:p>
            <w:pPr>
              <w:spacing w:after="20" w:before="20"/>
            </w:pPr>
            <w:r>
              <w:rPr>
                <w:rFonts w:ascii="Aptos" w:hAnsi="Aptos"/>
                <w:sz w:val="15"/>
              </w:rPr>
              <w:t>UX/UI y documentación</w:t>
            </w:r>
          </w:p>
        </w:tc>
        <w:tc>
          <w:tcPr>
            <w:tcW w:type="dxa" w:w="1440"/>
            <w:vAlign w:val="center"/>
            <w:shd w:fill="F5F8FB"/>
          </w:tcPr>
          <w:p>
            <w:pPr>
              <w:spacing w:after="20" w:before="20"/>
            </w:pPr>
            <w:r>
              <w:rPr>
                <w:rFonts w:ascii="Aptos" w:hAnsi="Aptos"/>
                <w:sz w:val="15"/>
              </w:rPr>
              <w:t>20–40</w:t>
            </w:r>
          </w:p>
        </w:tc>
        <w:tc>
          <w:tcPr>
            <w:tcW w:type="dxa" w:w="2088"/>
            <w:vAlign w:val="center"/>
            <w:shd w:fill="F5F8FB"/>
          </w:tcPr>
          <w:p>
            <w:pPr>
              <w:spacing w:after="20" w:before="20"/>
            </w:pPr>
            <w:r>
              <w:rPr>
                <w:rFonts w:ascii="Aptos" w:hAnsi="Aptos"/>
                <w:sz w:val="15"/>
              </w:rPr>
              <w:t>$15.000–$25.000</w:t>
            </w:r>
          </w:p>
        </w:tc>
        <w:tc>
          <w:tcPr>
            <w:tcW w:type="dxa" w:w="2520"/>
            <w:vAlign w:val="center"/>
            <w:shd w:fill="F5F8FB"/>
          </w:tcPr>
          <w:p>
            <w:pPr>
              <w:spacing w:after="20" w:before="20"/>
            </w:pPr>
            <w:r>
              <w:rPr>
                <w:rFonts w:ascii="Aptos" w:hAnsi="Aptos"/>
                <w:sz w:val="15"/>
              </w:rPr>
              <w:t>$300.000–$1.000.000</w:t>
            </w:r>
          </w:p>
        </w:tc>
      </w:tr>
      <w:tr>
        <w:tc>
          <w:tcPr>
            <w:tcW w:type="dxa" w:w="2592"/>
            <w:vAlign w:val="center"/>
          </w:tcPr>
          <w:p>
            <w:pPr>
              <w:spacing w:after="20" w:before="20"/>
            </w:pPr>
            <w:r>
              <w:rPr>
                <w:rFonts w:ascii="Aptos" w:hAnsi="Aptos"/>
                <w:sz w:val="15"/>
              </w:rPr>
              <w:t>Total aproximado</w:t>
            </w:r>
          </w:p>
        </w:tc>
        <w:tc>
          <w:tcPr>
            <w:tcW w:type="dxa" w:w="1440"/>
            <w:vAlign w:val="center"/>
          </w:tcPr>
          <w:p>
            <w:pPr>
              <w:spacing w:after="20" w:before="20"/>
            </w:pPr>
            <w:r>
              <w:rPr>
                <w:rFonts w:ascii="Aptos" w:hAnsi="Aptos"/>
                <w:sz w:val="15"/>
              </w:rPr>
              <w:t>215–395</w:t>
            </w:r>
          </w:p>
        </w:tc>
        <w:tc>
          <w:tcPr>
            <w:tcW w:type="dxa" w:w="2088"/>
            <w:vAlign w:val="center"/>
          </w:tcPr>
          <w:p>
            <w:pPr>
              <w:spacing w:after="20" w:before="20"/>
            </w:pPr>
            <w:r>
              <w:rPr>
                <w:rFonts w:ascii="Aptos" w:hAnsi="Aptos"/>
                <w:sz w:val="15"/>
              </w:rPr>
              <w:t>Tarifas ilustrativas</w:t>
            </w:r>
          </w:p>
        </w:tc>
        <w:tc>
          <w:tcPr>
            <w:tcW w:type="dxa" w:w="2520"/>
            <w:vAlign w:val="center"/>
          </w:tcPr>
          <w:p>
            <w:pPr>
              <w:spacing w:after="20" w:before="20"/>
            </w:pPr>
            <w:r>
              <w:rPr>
                <w:rFonts w:ascii="Aptos" w:hAnsi="Aptos"/>
                <w:sz w:val="15"/>
              </w:rPr>
              <w:t>$3.935.000–$12.325.000</w:t>
            </w:r>
          </w:p>
        </w:tc>
      </w:tr>
    </w:tbl>
    <w:p>
      <w:pPr>
        <w:spacing w:after="0"/>
      </w:pPr>
    </w:p>
    <w:p>
      <w:r>
        <w:t>Para presentar un rango redondeado, el costo de desarrollo profesional puede presupuestarse preliminarmente entre $4 y $12,5 millones CLP, dependiendo del alcance, la experiencia de los perfiles y cuánto trabajo se reutilice. No sumar este monto al costo mensual de infraestructura: son categorías distintas.</w:t>
      </w:r>
    </w:p>
    <w:p>
      <w:pPr>
        <w:pStyle w:val="Heading1"/>
      </w:pPr>
      <w:r>
        <w:t>6. Resumen presupuestario por horizonte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456"/>
            <w:shd w:fill="17365D"/>
            <w:vAlign w:val="center"/>
          </w:tcPr>
          <w:p>
            <w:r>
              <w:rPr>
                <w:b/>
                <w:color w:val="FFFFFF"/>
                <w:sz w:val="16"/>
              </w:rPr>
              <w:t>Horizonte</w:t>
            </w:r>
          </w:p>
        </w:tc>
        <w:tc>
          <w:tcPr>
            <w:tcW w:type="dxa" w:w="2088"/>
            <w:shd w:fill="17365D"/>
            <w:vAlign w:val="center"/>
          </w:tcPr>
          <w:p>
            <w:r>
              <w:rPr>
                <w:b/>
                <w:color w:val="FFFFFF"/>
                <w:sz w:val="16"/>
              </w:rPr>
              <w:t>Escenario mínimo</w:t>
            </w:r>
          </w:p>
        </w:tc>
        <w:tc>
          <w:tcPr>
            <w:tcW w:type="dxa" w:w="2160"/>
            <w:shd w:fill="17365D"/>
            <w:vAlign w:val="center"/>
          </w:tcPr>
          <w:p>
            <w:r>
              <w:rPr>
                <w:b/>
                <w:color w:val="FFFFFF"/>
                <w:sz w:val="16"/>
              </w:rPr>
              <w:t>Escenario medio</w:t>
            </w:r>
          </w:p>
        </w:tc>
        <w:tc>
          <w:tcPr>
            <w:tcW w:type="dxa" w:w="2088"/>
            <w:shd w:fill="17365D"/>
            <w:vAlign w:val="center"/>
          </w:tcPr>
          <w:p>
            <w:r>
              <w:rPr>
                <w:b/>
                <w:color w:val="FFFFFF"/>
                <w:sz w:val="16"/>
              </w:rPr>
              <w:t>Escenario alto</w:t>
            </w:r>
          </w:p>
        </w:tc>
      </w:tr>
      <w:tr>
        <w:tc>
          <w:tcPr>
            <w:tcW w:type="dxa" w:w="3456"/>
            <w:vAlign w:val="center"/>
          </w:tcPr>
          <w:p>
            <w:pPr>
              <w:spacing w:after="20" w:before="20"/>
            </w:pPr>
            <w:r>
              <w:rPr>
                <w:rFonts w:ascii="Aptos" w:hAnsi="Aptos"/>
                <w:sz w:val="16"/>
              </w:rPr>
              <w:t>Puesta en marcha (una vez)</w:t>
            </w:r>
          </w:p>
        </w:tc>
        <w:tc>
          <w:tcPr>
            <w:tcW w:type="dxa" w:w="2088"/>
            <w:vAlign w:val="center"/>
          </w:tcPr>
          <w:p>
            <w:pPr>
              <w:spacing w:after="20" w:before="20"/>
            </w:pPr>
            <w:r>
              <w:rPr>
                <w:rFonts w:ascii="Aptos" w:hAnsi="Aptos"/>
                <w:sz w:val="16"/>
              </w:rPr>
              <w:t>$10.000</w:t>
            </w:r>
          </w:p>
        </w:tc>
        <w:tc>
          <w:tcPr>
            <w:tcW w:type="dxa" w:w="2160"/>
            <w:vAlign w:val="center"/>
          </w:tcPr>
          <w:p>
            <w:pPr>
              <w:spacing w:after="20" w:before="20"/>
            </w:pPr>
            <w:r>
              <w:rPr>
                <w:rFonts w:ascii="Aptos" w:hAnsi="Aptos"/>
                <w:sz w:val="16"/>
              </w:rPr>
              <w:t>$50.000</w:t>
            </w:r>
          </w:p>
        </w:tc>
        <w:tc>
          <w:tcPr>
            <w:tcW w:type="dxa" w:w="2088"/>
            <w:vAlign w:val="center"/>
          </w:tcPr>
          <w:p>
            <w:pPr>
              <w:spacing w:after="20" w:before="20"/>
            </w:pPr>
            <w:r>
              <w:rPr>
                <w:rFonts w:ascii="Aptos" w:hAnsi="Aptos"/>
                <w:sz w:val="16"/>
              </w:rPr>
              <w:t>$135.000</w:t>
            </w:r>
          </w:p>
        </w:tc>
      </w:tr>
      <w:tr>
        <w:tc>
          <w:tcPr>
            <w:tcW w:type="dxa" w:w="3456"/>
            <w:vAlign w:val="center"/>
            <w:shd w:fill="F5F8FB"/>
          </w:tcPr>
          <w:p>
            <w:pPr>
              <w:spacing w:after="20" w:before="20"/>
            </w:pPr>
            <w:r>
              <w:rPr>
                <w:rFonts w:ascii="Aptos" w:hAnsi="Aptos"/>
                <w:sz w:val="16"/>
              </w:rPr>
              <w:t>Operación de 3 meses</w:t>
            </w:r>
          </w:p>
        </w:tc>
        <w:tc>
          <w:tcPr>
            <w:tcW w:type="dxa" w:w="2088"/>
            <w:vAlign w:val="center"/>
            <w:shd w:fill="F5F8FB"/>
          </w:tcPr>
          <w:p>
            <w:pPr>
              <w:spacing w:after="20" w:before="20"/>
            </w:pPr>
            <w:r>
              <w:rPr>
                <w:rFonts w:ascii="Aptos" w:hAnsi="Aptos"/>
                <w:sz w:val="16"/>
              </w:rPr>
              <w:t>$3.000</w:t>
            </w:r>
          </w:p>
        </w:tc>
        <w:tc>
          <w:tcPr>
            <w:tcW w:type="dxa" w:w="2160"/>
            <w:vAlign w:val="center"/>
            <w:shd w:fill="F5F8FB"/>
          </w:tcPr>
          <w:p>
            <w:pPr>
              <w:spacing w:after="20" w:before="20"/>
            </w:pPr>
            <w:r>
              <w:rPr>
                <w:rFonts w:ascii="Aptos" w:hAnsi="Aptos"/>
                <w:sz w:val="16"/>
              </w:rPr>
              <w:t>$112.000</w:t>
            </w:r>
          </w:p>
        </w:tc>
        <w:tc>
          <w:tcPr>
            <w:tcW w:type="dxa" w:w="2088"/>
            <w:vAlign w:val="center"/>
            <w:shd w:fill="F5F8FB"/>
          </w:tcPr>
          <w:p>
            <w:pPr>
              <w:spacing w:after="20" w:before="20"/>
            </w:pPr>
            <w:r>
              <w:rPr>
                <w:rFonts w:ascii="Aptos" w:hAnsi="Aptos"/>
                <w:sz w:val="16"/>
              </w:rPr>
              <w:t>$335.000</w:t>
            </w:r>
          </w:p>
        </w:tc>
      </w:tr>
      <w:tr>
        <w:tc>
          <w:tcPr>
            <w:tcW w:type="dxa" w:w="3456"/>
            <w:vAlign w:val="center"/>
          </w:tcPr>
          <w:p>
            <w:pPr>
              <w:spacing w:after="20" w:before="20"/>
            </w:pPr>
            <w:r>
              <w:rPr>
                <w:rFonts w:ascii="Aptos" w:hAnsi="Aptos"/>
                <w:sz w:val="16"/>
              </w:rPr>
              <w:t>Total primer trimestre, sin mano de obra</w:t>
            </w:r>
          </w:p>
        </w:tc>
        <w:tc>
          <w:tcPr>
            <w:tcW w:type="dxa" w:w="2088"/>
            <w:vAlign w:val="center"/>
          </w:tcPr>
          <w:p>
            <w:pPr>
              <w:spacing w:after="20" w:before="20"/>
            </w:pPr>
            <w:r>
              <w:rPr>
                <w:rFonts w:ascii="Aptos" w:hAnsi="Aptos"/>
                <w:sz w:val="16"/>
              </w:rPr>
              <w:t>$13.000</w:t>
            </w:r>
          </w:p>
        </w:tc>
        <w:tc>
          <w:tcPr>
            <w:tcW w:type="dxa" w:w="2160"/>
            <w:vAlign w:val="center"/>
          </w:tcPr>
          <w:p>
            <w:pPr>
              <w:spacing w:after="20" w:before="20"/>
            </w:pPr>
            <w:r>
              <w:rPr>
                <w:rFonts w:ascii="Aptos" w:hAnsi="Aptos"/>
                <w:sz w:val="16"/>
              </w:rPr>
              <w:t>$162.000</w:t>
            </w:r>
          </w:p>
        </w:tc>
        <w:tc>
          <w:tcPr>
            <w:tcW w:type="dxa" w:w="2088"/>
            <w:vAlign w:val="center"/>
          </w:tcPr>
          <w:p>
            <w:pPr>
              <w:spacing w:after="20" w:before="20"/>
            </w:pPr>
            <w:r>
              <w:rPr>
                <w:rFonts w:ascii="Aptos" w:hAnsi="Aptos"/>
                <w:sz w:val="16"/>
              </w:rPr>
              <w:t>$470.000</w:t>
            </w:r>
          </w:p>
        </w:tc>
      </w:tr>
      <w:tr>
        <w:tc>
          <w:tcPr>
            <w:tcW w:type="dxa" w:w="3456"/>
            <w:vAlign w:val="center"/>
            <w:shd w:fill="F5F8FB"/>
          </w:tcPr>
          <w:p>
            <w:pPr>
              <w:spacing w:after="20" w:before="20"/>
            </w:pPr>
            <w:r>
              <w:rPr>
                <w:rFonts w:ascii="Aptos" w:hAnsi="Aptos"/>
                <w:sz w:val="16"/>
              </w:rPr>
              <w:t>Total primer año, sin mano de obra</w:t>
            </w:r>
          </w:p>
        </w:tc>
        <w:tc>
          <w:tcPr>
            <w:tcW w:type="dxa" w:w="2088"/>
            <w:vAlign w:val="center"/>
            <w:shd w:fill="F5F8FB"/>
          </w:tcPr>
          <w:p>
            <w:pPr>
              <w:spacing w:after="20" w:before="20"/>
            </w:pPr>
            <w:r>
              <w:rPr>
                <w:rFonts w:ascii="Aptos" w:hAnsi="Aptos"/>
                <w:sz w:val="16"/>
              </w:rPr>
              <w:t>$21.500</w:t>
            </w:r>
          </w:p>
        </w:tc>
        <w:tc>
          <w:tcPr>
            <w:tcW w:type="dxa" w:w="2160"/>
            <w:vAlign w:val="center"/>
            <w:shd w:fill="F5F8FB"/>
          </w:tcPr>
          <w:p>
            <w:pPr>
              <w:spacing w:after="20" w:before="20"/>
            </w:pPr>
            <w:r>
              <w:rPr>
                <w:rFonts w:ascii="Aptos" w:hAnsi="Aptos"/>
                <w:sz w:val="16"/>
              </w:rPr>
              <w:t>$499.000</w:t>
            </w:r>
          </w:p>
        </w:tc>
        <w:tc>
          <w:tcPr>
            <w:tcW w:type="dxa" w:w="2088"/>
            <w:vAlign w:val="center"/>
            <w:shd w:fill="F5F8FB"/>
          </w:tcPr>
          <w:p>
            <w:pPr>
              <w:spacing w:after="20" w:before="20"/>
            </w:pPr>
            <w:r>
              <w:rPr>
                <w:rFonts w:ascii="Aptos" w:hAnsi="Aptos"/>
                <w:sz w:val="16"/>
              </w:rPr>
              <w:t>$1.475.000</w:t>
            </w:r>
          </w:p>
        </w:tc>
      </w:tr>
      <w:tr>
        <w:tc>
          <w:tcPr>
            <w:tcW w:type="dxa" w:w="3456"/>
            <w:vAlign w:val="center"/>
          </w:tcPr>
          <w:p>
            <w:pPr>
              <w:spacing w:after="20" w:before="20"/>
            </w:pPr>
            <w:r>
              <w:rPr>
                <w:rFonts w:ascii="Aptos" w:hAnsi="Aptos"/>
                <w:sz w:val="16"/>
              </w:rPr>
              <w:t>Desarrollo profesional (una vez, por separado)</w:t>
            </w:r>
          </w:p>
        </w:tc>
        <w:tc>
          <w:tcPr>
            <w:tcW w:type="dxa" w:w="2088"/>
            <w:vAlign w:val="center"/>
          </w:tcPr>
          <w:p>
            <w:pPr>
              <w:spacing w:after="20" w:before="20"/>
            </w:pPr>
            <w:r>
              <w:rPr>
                <w:rFonts w:ascii="Aptos" w:hAnsi="Aptos"/>
                <w:sz w:val="16"/>
              </w:rPr>
              <w:t>No incluido</w:t>
            </w:r>
          </w:p>
        </w:tc>
        <w:tc>
          <w:tcPr>
            <w:tcW w:type="dxa" w:w="2160"/>
            <w:vAlign w:val="center"/>
          </w:tcPr>
          <w:p>
            <w:pPr>
              <w:spacing w:after="20" w:before="20"/>
            </w:pPr>
            <w:r>
              <w:rPr>
                <w:rFonts w:ascii="Aptos" w:hAnsi="Aptos"/>
                <w:sz w:val="16"/>
              </w:rPr>
              <w:t>$4.000.000–$8.000.000</w:t>
            </w:r>
          </w:p>
        </w:tc>
        <w:tc>
          <w:tcPr>
            <w:tcW w:type="dxa" w:w="2088"/>
            <w:vAlign w:val="center"/>
          </w:tcPr>
          <w:p>
            <w:pPr>
              <w:spacing w:after="20" w:before="20"/>
            </w:pPr>
            <w:r>
              <w:rPr>
                <w:rFonts w:ascii="Aptos" w:hAnsi="Aptos"/>
                <w:sz w:val="16"/>
              </w:rPr>
              <w:t>Hasta ~$12.500.000</w:t>
            </w:r>
          </w:p>
        </w:tc>
      </w:tr>
    </w:tbl>
    <w:p>
      <w:pPr>
        <w:spacing w:after="0"/>
      </w:pPr>
    </w:p>
    <w:p>
      <w:pPr>
        <w:pStyle w:val="Heading1"/>
      </w:pPr>
      <w:r>
        <w:t>7. Control de costos y gestión de compras</w:t>
      </w:r>
    </w:p>
    <w:p>
      <w:pPr>
        <w:pStyle w:val="ListBullet"/>
        <w:spacing w:after="40"/>
      </w:pPr>
      <w:r>
        <w:t>Antes de contratar, confirmar los precios vigentes en el sitio oficial del proveedor y registrar moneda, impuestos, límites del plan y condiciones de renovación.</w:t>
      </w:r>
    </w:p>
    <w:p>
      <w:pPr>
        <w:pStyle w:val="ListBullet"/>
        <w:spacing w:after="40"/>
      </w:pPr>
      <w:r>
        <w:t>Registrar el costo único de puesta en marcha por separado del costo recurrente mensual.</w:t>
      </w:r>
    </w:p>
    <w:p>
      <w:pPr>
        <w:pStyle w:val="ListBullet"/>
        <w:spacing w:after="40"/>
      </w:pPr>
      <w:r>
        <w:t>Establecer alertas de gasto para el proveedor de IA y revisar consumo, tokens, errores y límites de uso.</w:t>
      </w:r>
    </w:p>
    <w:p>
      <w:pPr>
        <w:pStyle w:val="ListBullet"/>
        <w:spacing w:after="40"/>
      </w:pPr>
      <w:r>
        <w:t>Revisar mensualmente alojamiento, base de datos, almacenamiento, respaldos y servicios de correo/monitoreo.</w:t>
      </w:r>
    </w:p>
    <w:p>
      <w:pPr>
        <w:pStyle w:val="ListBullet"/>
        <w:spacing w:after="40"/>
      </w:pPr>
      <w:r>
        <w:t>Solicitar aprobación del docente o patrocinador antes de cualquier compra dentro del proyecto académico original. Para un proyecto real, definir un responsable de aprobación y límite de gasto.</w:t>
      </w:r>
    </w:p>
    <w:p>
      <w:pPr>
        <w:pStyle w:val="ListBullet"/>
        <w:spacing w:after="40"/>
      </w:pPr>
      <w:r>
        <w:t>Si el gasto proyectado supera el presupuesto aprobado, comparar alternativas gratuitas, optimizar el consumo o solicitar formalmente una ampliación antes de incurrir en el costo.</w:t>
      </w:r>
    </w:p>
    <w:p>
      <w:pPr>
        <w:pStyle w:val="Heading1"/>
      </w:pPr>
      <w:r>
        <w:t>8. Riesgos de costo</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17365D"/>
            <w:vAlign w:val="center"/>
          </w:tcPr>
          <w:p>
            <w:r>
              <w:rPr>
                <w:b/>
                <w:color w:val="FFFFFF"/>
                <w:sz w:val="16"/>
              </w:rPr>
              <w:t>Riesgo</w:t>
            </w:r>
          </w:p>
        </w:tc>
        <w:tc>
          <w:tcPr>
            <w:tcW w:type="dxa" w:w="3312"/>
            <w:shd w:fill="17365D"/>
            <w:vAlign w:val="center"/>
          </w:tcPr>
          <w:p>
            <w:r>
              <w:rPr>
                <w:b/>
                <w:color w:val="FFFFFF"/>
                <w:sz w:val="16"/>
              </w:rPr>
              <w:t>Efecto</w:t>
            </w:r>
          </w:p>
        </w:tc>
        <w:tc>
          <w:tcPr>
            <w:tcW w:type="dxa" w:w="4176"/>
            <w:shd w:fill="17365D"/>
            <w:vAlign w:val="center"/>
          </w:tcPr>
          <w:p>
            <w:r>
              <w:rPr>
                <w:b/>
                <w:color w:val="FFFFFF"/>
                <w:sz w:val="16"/>
              </w:rPr>
              <w:t>Medida de control</w:t>
            </w:r>
          </w:p>
        </w:tc>
      </w:tr>
      <w:tr>
        <w:tc>
          <w:tcPr>
            <w:tcW w:type="dxa" w:w="2304"/>
            <w:vAlign w:val="center"/>
          </w:tcPr>
          <w:p>
            <w:pPr>
              <w:spacing w:after="20" w:before="20"/>
            </w:pPr>
            <w:r>
              <w:rPr>
                <w:rFonts w:ascii="Aptos" w:hAnsi="Aptos"/>
                <w:sz w:val="16"/>
              </w:rPr>
              <w:t>Límites de plan gratuito</w:t>
            </w:r>
          </w:p>
        </w:tc>
        <w:tc>
          <w:tcPr>
            <w:tcW w:type="dxa" w:w="3312"/>
            <w:vAlign w:val="center"/>
          </w:tcPr>
          <w:p>
            <w:pPr>
              <w:spacing w:after="20" w:before="20"/>
            </w:pPr>
            <w:r>
              <w:rPr>
                <w:rFonts w:ascii="Aptos" w:hAnsi="Aptos"/>
                <w:sz w:val="16"/>
              </w:rPr>
              <w:t>Servicio suspendido o necesidad de migrar a plan pagado.</w:t>
            </w:r>
          </w:p>
        </w:tc>
        <w:tc>
          <w:tcPr>
            <w:tcW w:type="dxa" w:w="4176"/>
            <w:vAlign w:val="center"/>
          </w:tcPr>
          <w:p>
            <w:pPr>
              <w:spacing w:after="20" w:before="20"/>
            </w:pPr>
            <w:r>
              <w:rPr>
                <w:rFonts w:ascii="Aptos" w:hAnsi="Aptos"/>
                <w:sz w:val="16"/>
              </w:rPr>
              <w:t>Revisar límites y tener alternativa de despliegue.</w:t>
            </w:r>
          </w:p>
        </w:tc>
      </w:tr>
      <w:tr>
        <w:tc>
          <w:tcPr>
            <w:tcW w:type="dxa" w:w="2304"/>
            <w:vAlign w:val="center"/>
            <w:shd w:fill="F5F8FB"/>
          </w:tcPr>
          <w:p>
            <w:pPr>
              <w:spacing w:after="20" w:before="20"/>
            </w:pPr>
            <w:r>
              <w:rPr>
                <w:rFonts w:ascii="Aptos" w:hAnsi="Aptos"/>
                <w:sz w:val="16"/>
              </w:rPr>
              <w:t>Aumento de consumo de IA</w:t>
            </w:r>
          </w:p>
        </w:tc>
        <w:tc>
          <w:tcPr>
            <w:tcW w:type="dxa" w:w="3312"/>
            <w:vAlign w:val="center"/>
            <w:shd w:fill="F5F8FB"/>
          </w:tcPr>
          <w:p>
            <w:pPr>
              <w:spacing w:after="20" w:before="20"/>
            </w:pPr>
            <w:r>
              <w:rPr>
                <w:rFonts w:ascii="Aptos" w:hAnsi="Aptos"/>
                <w:sz w:val="16"/>
              </w:rPr>
              <w:t>Facturación variable superior al presupuesto.</w:t>
            </w:r>
          </w:p>
        </w:tc>
        <w:tc>
          <w:tcPr>
            <w:tcW w:type="dxa" w:w="4176"/>
            <w:vAlign w:val="center"/>
            <w:shd w:fill="F5F8FB"/>
          </w:tcPr>
          <w:p>
            <w:pPr>
              <w:spacing w:after="20" w:before="20"/>
            </w:pPr>
            <w:r>
              <w:rPr>
                <w:rFonts w:ascii="Aptos" w:hAnsi="Aptos"/>
                <w:sz w:val="16"/>
              </w:rPr>
              <w:t>Definir límites, registrar uso y usar mocks en pruebas.</w:t>
            </w:r>
          </w:p>
        </w:tc>
      </w:tr>
      <w:tr>
        <w:tc>
          <w:tcPr>
            <w:tcW w:type="dxa" w:w="2304"/>
            <w:vAlign w:val="center"/>
          </w:tcPr>
          <w:p>
            <w:pPr>
              <w:spacing w:after="20" w:before="20"/>
            </w:pPr>
            <w:r>
              <w:rPr>
                <w:rFonts w:ascii="Aptos" w:hAnsi="Aptos"/>
                <w:sz w:val="16"/>
              </w:rPr>
              <w:t>Necesidad de almacenamiento/respaldos</w:t>
            </w:r>
          </w:p>
        </w:tc>
        <w:tc>
          <w:tcPr>
            <w:tcW w:type="dxa" w:w="3312"/>
            <w:vAlign w:val="center"/>
          </w:tcPr>
          <w:p>
            <w:pPr>
              <w:spacing w:after="20" w:before="20"/>
            </w:pPr>
            <w:r>
              <w:rPr>
                <w:rFonts w:ascii="Aptos" w:hAnsi="Aptos"/>
                <w:sz w:val="16"/>
              </w:rPr>
              <w:t>Incremento del gasto mensual.</w:t>
            </w:r>
          </w:p>
        </w:tc>
        <w:tc>
          <w:tcPr>
            <w:tcW w:type="dxa" w:w="4176"/>
            <w:vAlign w:val="center"/>
          </w:tcPr>
          <w:p>
            <w:pPr>
              <w:spacing w:after="20" w:before="20"/>
            </w:pPr>
            <w:r>
              <w:rPr>
                <w:rFonts w:ascii="Aptos" w:hAnsi="Aptos"/>
                <w:sz w:val="16"/>
              </w:rPr>
              <w:t>Política de retención y revisión de volumen.</w:t>
            </w:r>
          </w:p>
        </w:tc>
      </w:tr>
      <w:tr>
        <w:tc>
          <w:tcPr>
            <w:tcW w:type="dxa" w:w="2304"/>
            <w:vAlign w:val="center"/>
            <w:shd w:fill="F5F8FB"/>
          </w:tcPr>
          <w:p>
            <w:pPr>
              <w:spacing w:after="20" w:before="20"/>
            </w:pPr>
            <w:r>
              <w:rPr>
                <w:rFonts w:ascii="Aptos" w:hAnsi="Aptos"/>
                <w:sz w:val="16"/>
              </w:rPr>
              <w:t>Cambio de tarifas o tipo de cambio</w:t>
            </w:r>
          </w:p>
        </w:tc>
        <w:tc>
          <w:tcPr>
            <w:tcW w:type="dxa" w:w="3312"/>
            <w:vAlign w:val="center"/>
            <w:shd w:fill="F5F8FB"/>
          </w:tcPr>
          <w:p>
            <w:pPr>
              <w:spacing w:after="20" w:before="20"/>
            </w:pPr>
            <w:r>
              <w:rPr>
                <w:rFonts w:ascii="Aptos" w:hAnsi="Aptos"/>
                <w:sz w:val="16"/>
              </w:rPr>
              <w:t>Desviación del presupuesto.</w:t>
            </w:r>
          </w:p>
        </w:tc>
        <w:tc>
          <w:tcPr>
            <w:tcW w:type="dxa" w:w="4176"/>
            <w:vAlign w:val="center"/>
            <w:shd w:fill="F5F8FB"/>
          </w:tcPr>
          <w:p>
            <w:pPr>
              <w:spacing w:after="20" w:before="20"/>
            </w:pPr>
            <w:r>
              <w:rPr>
                <w:rFonts w:ascii="Aptos" w:hAnsi="Aptos"/>
                <w:sz w:val="16"/>
              </w:rPr>
              <w:t>Revalidar precios al contratar y dejar margen de contingencia.</w:t>
            </w:r>
          </w:p>
        </w:tc>
      </w:tr>
      <w:tr>
        <w:tc>
          <w:tcPr>
            <w:tcW w:type="dxa" w:w="2304"/>
            <w:vAlign w:val="center"/>
          </w:tcPr>
          <w:p>
            <w:pPr>
              <w:spacing w:after="20" w:before="20"/>
            </w:pPr>
            <w:r>
              <w:rPr>
                <w:rFonts w:ascii="Aptos" w:hAnsi="Aptos"/>
                <w:sz w:val="16"/>
              </w:rPr>
              <w:t>Mayor alcance o retrabajo</w:t>
            </w:r>
          </w:p>
        </w:tc>
        <w:tc>
          <w:tcPr>
            <w:tcW w:type="dxa" w:w="3312"/>
            <w:vAlign w:val="center"/>
          </w:tcPr>
          <w:p>
            <w:pPr>
              <w:spacing w:after="20" w:before="20"/>
            </w:pPr>
            <w:r>
              <w:rPr>
                <w:rFonts w:ascii="Aptos" w:hAnsi="Aptos"/>
                <w:sz w:val="16"/>
              </w:rPr>
              <w:t>Más horas profesionales.</w:t>
            </w:r>
          </w:p>
        </w:tc>
        <w:tc>
          <w:tcPr>
            <w:tcW w:type="dxa" w:w="4176"/>
            <w:vAlign w:val="center"/>
          </w:tcPr>
          <w:p>
            <w:pPr>
              <w:spacing w:after="20" w:before="20"/>
            </w:pPr>
            <w:r>
              <w:rPr>
                <w:rFonts w:ascii="Aptos" w:hAnsi="Aptos"/>
                <w:sz w:val="16"/>
              </w:rPr>
              <w:t>Control formal de cambios y priorización del MVP.</w:t>
            </w:r>
          </w:p>
        </w:tc>
      </w:tr>
    </w:tbl>
    <w:p>
      <w:pPr>
        <w:spacing w:after="0"/>
      </w:pPr>
    </w:p>
    <w:p>
      <w:pPr>
        <w:pStyle w:val="Heading1"/>
      </w:pPr>
      <w:r>
        <w:t>9. Recomendación</w:t>
      </w:r>
    </w:p>
    <w:p>
      <w:r>
        <w:t>Para una prueba académica, conviene conservar el presupuesto aprobado de $0 CLP y usar recursos existentes. Para publicar y mantener Discover como servicio real, una base de planificación razonable es reservar aproximadamente $40.000 CLP mensuales para una operación pequeña, más $10.000–$135.000 CLP de puesta en marcha y una reserva para variaciones. Si se contrata desarrollo profesional, debe presupuestarse aparte y puede situarse en torno a $4–$12,5 millones CLP para un MVP, sujeto a cotización.</w:t>
      </w:r>
    </w:p>
    <w:p>
      <w:pPr>
        <w:pStyle w:val="Heading1"/>
      </w:pPr>
      <w:r>
        <w:t>10. Fuentes y validación de precios</w:t>
      </w:r>
    </w:p>
    <w:p>
      <w:r>
        <w:t>Referencias de mercado consultadas en octubre de 2026. Son fuentes comerciales orientativas, no cotizaciones vinculantes. Los precios pueden cambiar por promoción, renovación, impuestos, moneda, recursos contratados y uso.</w:t>
      </w:r>
    </w:p>
    <w:tbl>
      <w:tblPr>
        <w:tblStyle w:val="TableGrid"/>
        <w:tblW w:type="auto" w:w="0"/>
        <w:jc w:val="center"/>
        <w:tblLook w:firstColumn="1" w:firstRow="1" w:lastColumn="0" w:lastRow="0" w:noHBand="0" w:noVBand="1" w:val="04A0"/>
      </w:tblPr>
      <w:tblGrid>
        <w:gridCol w:w="4997"/>
        <w:gridCol w:w="4997"/>
      </w:tblGrid>
      <w:tr>
        <w:tc>
          <w:tcPr>
            <w:tcW w:type="dxa" w:w="4968"/>
            <w:shd w:fill="17365D"/>
            <w:vAlign w:val="center"/>
          </w:tcPr>
          <w:p>
            <w:r>
              <w:rPr>
                <w:b/>
                <w:color w:val="FFFFFF"/>
                <w:sz w:val="18"/>
              </w:rPr>
              <w:t>Preparado por</w:t>
            </w:r>
          </w:p>
        </w:tc>
        <w:tc>
          <w:tcPr>
            <w:tcW w:type="dxa" w:w="4968"/>
            <w:shd w:fill="17365D"/>
            <w:vAlign w:val="center"/>
          </w:tcPr>
          <w:p>
            <w:r>
              <w:rPr>
                <w:b/>
                <w:color w:val="FFFFFF"/>
                <w:sz w:val="18"/>
              </w:rPr>
              <w:t>Revisado / aprobado por</w:t>
            </w:r>
          </w:p>
        </w:tc>
      </w:tr>
      <w:tr>
        <w:tc>
          <w:tcPr>
            <w:tcW w:type="dxa" w:w="4968"/>
            <w:vAlign w:val="center"/>
          </w:tcPr>
          <w:p>
            <w:pPr>
              <w:spacing w:after="20" w:before="20"/>
            </w:pPr>
            <w:r>
              <w:rPr>
                <w:rFonts w:ascii="Aptos" w:hAnsi="Aptos"/>
                <w:sz w:val="18"/>
              </w:rPr>
              <w:t>Jordán Órdenes</w:t>
              <w:br/>
              <w:t>Firma: __________________</w:t>
            </w:r>
          </w:p>
        </w:tc>
        <w:tc>
          <w:tcPr>
            <w:tcW w:type="dxa" w:w="4968"/>
            <w:vAlign w:val="center"/>
          </w:tcPr>
          <w:p>
            <w:pPr>
              <w:spacing w:after="20" w:before="20"/>
            </w:pPr>
            <w:r>
              <w:rPr>
                <w:rFonts w:ascii="Aptos" w:hAnsi="Aptos"/>
                <w:sz w:val="18"/>
              </w:rPr>
              <w:t>Docente / patrocinador</w:t>
              <w:br/>
              <w:t>Firma: __________________</w:t>
            </w:r>
          </w:p>
        </w:tc>
      </w:tr>
      <w:tr>
        <w:tc>
          <w:tcPr>
            <w:tcW w:type="dxa" w:w="4968"/>
            <w:vAlign w:val="center"/>
            <w:shd w:fill="F5F8FB"/>
          </w:tcPr>
          <w:p>
            <w:pPr>
              <w:spacing w:after="20" w:before="20"/>
            </w:pPr>
            <w:r>
              <w:rPr>
                <w:rFonts w:ascii="Aptos" w:hAnsi="Aptos"/>
                <w:sz w:val="18"/>
              </w:rPr>
              <w:t>Lino Barrera</w:t>
              <w:br/>
              <w:t>Firma: __________________</w:t>
            </w:r>
          </w:p>
        </w:tc>
        <w:tc>
          <w:tcPr>
            <w:tcW w:type="dxa" w:w="4968"/>
            <w:vAlign w:val="center"/>
            <w:shd w:fill="F5F8FB"/>
          </w:tcPr>
          <w:p>
            <w:pPr>
              <w:spacing w:after="20" w:before="20"/>
            </w:pPr>
            <w:r>
              <w:rPr>
                <w:rFonts w:ascii="Aptos" w:hAnsi="Aptos"/>
                <w:sz w:val="18"/>
              </w:rPr>
              <w:t>Fecha: __________________</w:t>
            </w:r>
          </w:p>
        </w:tc>
      </w:tr>
    </w:tbl>
    <w:p>
      <w:pPr>
        <w:spacing w:after="0"/>
      </w:pPr>
    </w:p>
    <w:p>
      <w:pPr>
        <w:pStyle w:val="ListBullet"/>
        <w:spacing w:after="40"/>
      </w:pPr>
      <w:r>
        <w:rPr>
          <w:b/>
          <w:sz w:val="17"/>
        </w:rPr>
        <w:t xml:space="preserve">Loken — ¿Cuánto cuesta desarrollar un software a medida en Chile? (2026). </w:t>
      </w:r>
      <w:r>
        <w:rPr>
          <w:color w:val="1F4E79"/>
          <w:sz w:val="17"/>
        </w:rPr>
        <w:t>https://loken.cl/blog/cuanto-cuesta-software-a-medida-chile — Referencia publicada: MVP de $3–8 millones CLP y tarifas senior de $20.000–$40.000 CLP/h.</w:t>
      </w:r>
    </w:p>
    <w:p>
      <w:pPr>
        <w:pStyle w:val="ListBullet"/>
        <w:spacing w:after="40"/>
      </w:pPr>
      <w:r>
        <w:rPr>
          <w:b/>
          <w:sz w:val="17"/>
        </w:rPr>
        <w:t xml:space="preserve">NIC Chile / referencia de dominio .cl y hosting (precios de mercado publicados). </w:t>
      </w:r>
      <w:r>
        <w:rPr>
          <w:color w:val="1F4E79"/>
          <w:sz w:val="17"/>
        </w:rPr>
        <w:t>https://znet-hosting.cl/blog/cuanto-cuesta-un-hosting-en-chile/ — Referencia publicada: dominio .cl de $9.990/año y opciones de hosting/VPS desde planes básicos hasta VPS pagado.</w:t>
      </w:r>
    </w:p>
    <w:p>
      <w:pPr>
        <w:pStyle w:val="ListBullet"/>
        <w:spacing w:after="40"/>
      </w:pPr>
      <w:r>
        <w:rPr>
          <w:b/>
          <w:sz w:val="17"/>
        </w:rPr>
        <w:t xml:space="preserve">Pudaz — precios de hosting y VPS. </w:t>
      </w:r>
      <w:r>
        <w:rPr>
          <w:color w:val="1F4E79"/>
          <w:sz w:val="17"/>
        </w:rPr>
        <w:t>https://pudaz.cl/precios/ — Referencia publicada: VPS Inicial $39.990 CLP/mes + IVA y configuración inicial $69.990 + IVA.</w:t>
      </w:r>
    </w:p>
    <w:p>
      <w:pPr>
        <w:pStyle w:val="ListBullet"/>
        <w:spacing w:after="40"/>
      </w:pPr>
      <w:r>
        <w:rPr>
          <w:b/>
          <w:sz w:val="17"/>
        </w:rPr>
        <w:t xml:space="preserve">Host.cl — servidores VPS. </w:t>
      </w:r>
      <w:r>
        <w:rPr>
          <w:color w:val="1F4E79"/>
          <w:sz w:val="17"/>
        </w:rPr>
        <w:t>https://www.host.cl/vps/ — Referencia publicada: VPS Esencial $40.900 CLP/mes + IVA.</w:t>
      </w:r>
    </w:p>
    <w:p>
      <w:pPr>
        <w:pStyle w:val="ListBullet"/>
        <w:spacing w:after="40"/>
      </w:pPr>
      <w:r>
        <w:rPr>
          <w:b/>
          <w:sz w:val="17"/>
        </w:rPr>
        <w:t xml:space="preserve">DITAP Ventures — Cuánto cuesta un MVP en Chile en 2026. </w:t>
      </w:r>
      <w:r>
        <w:rPr>
          <w:color w:val="1F4E79"/>
          <w:sz w:val="17"/>
        </w:rPr>
        <w:t>https://ventures.ditap.io/blog/cuanto-cuesta-un-mvp-en-chile-2026 — Referencia de mercado publicada: MVP acotado desde $3.500.000 CLP y rangos freelance publicados.</w:t>
      </w:r>
    </w:p>
    <w:p>
      <w:pPr>
        <w:spacing w:before="80"/>
      </w:pPr>
      <w:r>
        <w:rPr>
          <w:i/>
          <w:color w:val="666666"/>
          <w:sz w:val="17"/>
        </w:rPr>
        <w:t>Ajuste metodológico: el rango de desarrollo profesional de este plan es una estimación para el alcance particular de Discover. Como contraste, las referencias de mercado publican MVPs desde aproximadamente $3,0–$8,0 millones CLP, y algunos proveedores sitúan MVPs más amplios en rangos superiores. Por ello, el costo debe validarse mediante cotizaciones con alcance cerrado.</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Plan de Costos — Proyecto Discover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6B78"/>
        <w:sz w:val="16"/>
      </w:rPr>
      <w:t>DUOC UC  |  CAPSTONE — PROYECTO APT  |  DISCOVER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Costos — Proyecto Discover</dc:title>
  <dc:subject>Plan de costos estimado del Proyecto Discover</dc:subject>
  <dc:creator>Jordán Órdenes y Lino Barrera</dc:creator>
  <cp:keywords/>
  <dc:description>generated by python-docx</dc:description>
  <cp:lastModifiedBy/>
  <cp:revision>1</cp:revision>
  <dcterms:created xsi:type="dcterms:W3CDTF">2013-12-23T23:15:00Z</dcterms:created>
  <dcterms:modified xsi:type="dcterms:W3CDTF">2013-12-23T23:15:00Z</dcterms:modified>
  <cp:category/>
</cp:coreProperties>
</file>