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E7C7B"/>
          <w:sz w:val="17"/>
          <w:spacing w:val="30"/>
        </w:rPr>
        <w:t>MEDICAL DEVICE SEMINAR  ·  PARTICIPANT WORKBOOK</w:t>
      </w:r>
    </w:p>
    <w:p>
      <w:pPr>
        <w:spacing w:after="40" w:before="0"/>
      </w:pPr>
      <w:r>
        <w:rPr>
          <w:rFonts w:ascii="Cambria" w:hAnsi="Cambria"/>
          <w:b/>
          <w:color w:val="1B3A4B"/>
          <w:sz w:val="52"/>
        </w:rPr>
        <w:t>Global Market Entry</w:t>
      </w:r>
    </w:p>
    <w:p>
      <w:pPr>
        <w:spacing w:after="40"/>
      </w:pPr>
      <w:r>
        <w:rPr>
          <w:rFonts w:ascii="Calibri" w:hAnsi="Calibri"/>
          <w:b/>
          <w:i w:val="0"/>
          <w:color w:val="0E7C7B"/>
          <w:sz w:val="26"/>
        </w:rPr>
        <w:t>United States  ·  European Union  ·  United Kingdom  ·  Japan</w:t>
      </w:r>
    </w:p>
    <w:p>
      <w:pPr>
        <w:spacing w:after="200"/>
      </w:pPr>
      <w:r>
        <w:rPr>
          <w:rFonts w:ascii="Calibri" w:hAnsi="Calibri"/>
          <w:b w:val="0"/>
          <w:i/>
          <w:color w:val="4E626D"/>
          <w:sz w:val="24"/>
        </w:rPr>
        <w:t>A technical overview of navigating MDR and UKCA requirements for Class II devices</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How to use this workbook</w:t>
            </w:r>
          </w:p>
          <w:p>
            <w:pPr>
              <w:spacing w:after="80"/>
            </w:pPr>
            <w:r>
              <w:rPr>
                <w:rFonts w:ascii="Calibri" w:hAnsi="Calibri"/>
                <w:color w:val="22333B"/>
                <w:sz w:val="19"/>
              </w:rPr>
              <w:t>This is yours to write in. The note pages are keyed to the sections of the presentation so you can capture what matters to your product rather than transcribing slides.</w:t>
            </w:r>
          </w:p>
          <w:p>
            <w:pPr>
              <w:spacing w:after="80"/>
            </w:pPr>
            <w:r>
              <w:rPr>
                <w:rFonts w:ascii="Calibri" w:hAnsi="Calibri"/>
                <w:color w:val="22333B"/>
                <w:sz w:val="19"/>
              </w:rPr>
              <w:t>The two working sessions are done at your table during the seminar. The reference material at the back — the comparison matrix, the quick references, the glossary and the source list — is there for after you get home.</w:t>
            </w:r>
          </w:p>
          <w:p>
            <w:pPr>
              <w:spacing w:after="80"/>
            </w:pPr>
            <w:r>
              <w:rPr>
                <w:rFonts w:ascii="Calibri" w:hAnsi="Calibri"/>
                <w:color w:val="22333B"/>
                <w:sz w:val="19"/>
              </w:rPr>
              <w:t>The most useful page is the last one. Fill in three actions before you leave the room.</w:t>
            </w:r>
          </w:p>
        </w:tc>
      </w:tr>
    </w:tbl>
    <w:p>
      <w:pPr>
        <w:spacing w:after="100" w:before="0" w:line="240" w:lineRule="auto"/>
      </w:pPr>
      <w:r>
        <w:rPr>
          <w:sz w:val="2"/>
        </w:rPr>
      </w:r>
    </w:p>
    <w:p>
      <w:pPr>
        <w:keepNext/>
        <w:spacing w:after="80" w:before="160"/>
      </w:pPr>
      <w:r>
        <w:rPr>
          <w:rFonts w:ascii="Cambria" w:hAnsi="Cambria"/>
          <w:b/>
          <w:color w:val="1B3A4B"/>
          <w:sz w:val="26"/>
        </w:rPr>
        <w:t>Contents</w:t>
      </w:r>
    </w:p>
    <w:p>
      <w:pPr>
        <w:tabs>
          <w:tab w:pos="9720" w:val="right" w:leader="dot"/>
        </w:tabs>
        <w:spacing w:after="80"/>
        <w:ind w:left="0"/>
      </w:pPr>
      <w:r>
        <w:rPr>
          <w:rFonts w:ascii="Calibri" w:hAnsi="Calibri"/>
          <w:b w:val="0"/>
          <w:color w:val="22333B"/>
          <w:sz w:val="21"/>
        </w:rPr>
        <w:t>Agenda and learning objectives</w:t>
      </w:r>
      <w:r>
        <w:rPr>
          <w:rFonts w:ascii="Calibri" w:hAnsi="Calibri"/>
          <w:b w:val="0"/>
          <w:color w:val="22333B"/>
          <w:sz w:val="21"/>
        </w:rPr>
        <w:tab/>
        <w:t>2</w:t>
      </w:r>
    </w:p>
    <w:p>
      <w:pPr>
        <w:tabs>
          <w:tab w:pos="9720" w:val="right" w:leader="dot"/>
        </w:tabs>
        <w:spacing w:after="80"/>
        <w:ind w:left="0"/>
      </w:pPr>
      <w:r>
        <w:rPr>
          <w:rFonts w:ascii="Calibri" w:hAnsi="Calibri"/>
          <w:b w:val="0"/>
          <w:color w:val="22333B"/>
          <w:sz w:val="21"/>
        </w:rPr>
        <w:t>Part 1 — Four markets, not four copies</w:t>
      </w:r>
      <w:r>
        <w:rPr>
          <w:rFonts w:ascii="Calibri" w:hAnsi="Calibri"/>
          <w:b w:val="0"/>
          <w:color w:val="22333B"/>
          <w:sz w:val="21"/>
        </w:rPr>
        <w:tab/>
        <w:t>3</w:t>
      </w:r>
    </w:p>
    <w:p>
      <w:pPr>
        <w:tabs>
          <w:tab w:pos="9720" w:val="right" w:leader="dot"/>
        </w:tabs>
        <w:spacing w:after="80"/>
        <w:ind w:left="0"/>
      </w:pPr>
      <w:r>
        <w:rPr>
          <w:rFonts w:ascii="Calibri" w:hAnsi="Calibri"/>
          <w:b w:val="0"/>
          <w:color w:val="22333B"/>
          <w:sz w:val="21"/>
        </w:rPr>
        <w:t>Part 2 — EU MDR</w:t>
      </w:r>
      <w:r>
        <w:rPr>
          <w:rFonts w:ascii="Calibri" w:hAnsi="Calibri"/>
          <w:b w:val="0"/>
          <w:color w:val="22333B"/>
          <w:sz w:val="21"/>
        </w:rPr>
        <w:tab/>
        <w:t>4</w:t>
      </w:r>
    </w:p>
    <w:p>
      <w:pPr>
        <w:tabs>
          <w:tab w:pos="9720" w:val="right" w:leader="dot"/>
        </w:tabs>
        <w:spacing w:after="80"/>
        <w:ind w:left="0"/>
      </w:pPr>
      <w:r>
        <w:rPr>
          <w:rFonts w:ascii="Calibri" w:hAnsi="Calibri"/>
          <w:b/>
          <w:color w:val="1B3A4B"/>
          <w:sz w:val="21"/>
        </w:rPr>
        <w:t>Working session 1 — One device, four classifications</w:t>
      </w:r>
      <w:r>
        <w:rPr>
          <w:rFonts w:ascii="Calibri" w:hAnsi="Calibri"/>
          <w:b/>
          <w:color w:val="1B3A4B"/>
          <w:sz w:val="21"/>
        </w:rPr>
        <w:tab/>
        <w:t>6</w:t>
      </w:r>
    </w:p>
    <w:p>
      <w:pPr>
        <w:tabs>
          <w:tab w:pos="9720" w:val="right" w:leader="dot"/>
        </w:tabs>
        <w:spacing w:after="80"/>
        <w:ind w:left="0"/>
      </w:pPr>
      <w:r>
        <w:rPr>
          <w:rFonts w:ascii="Calibri" w:hAnsi="Calibri"/>
          <w:b w:val="0"/>
          <w:color w:val="22333B"/>
          <w:sz w:val="21"/>
        </w:rPr>
        <w:t>Part 3 — UKCA and the UK framework</w:t>
      </w:r>
      <w:r>
        <w:rPr>
          <w:rFonts w:ascii="Calibri" w:hAnsi="Calibri"/>
          <w:b w:val="0"/>
          <w:color w:val="22333B"/>
          <w:sz w:val="21"/>
        </w:rPr>
        <w:tab/>
        <w:t>7</w:t>
      </w:r>
    </w:p>
    <w:p>
      <w:pPr>
        <w:tabs>
          <w:tab w:pos="9720" w:val="right" w:leader="dot"/>
        </w:tabs>
        <w:spacing w:after="80"/>
        <w:ind w:left="0"/>
      </w:pPr>
      <w:r>
        <w:rPr>
          <w:rFonts w:ascii="Calibri" w:hAnsi="Calibri"/>
          <w:b w:val="0"/>
          <w:color w:val="22333B"/>
          <w:sz w:val="21"/>
        </w:rPr>
        <w:t>Part 4 — United States and Japan</w:t>
      </w:r>
      <w:r>
        <w:rPr>
          <w:rFonts w:ascii="Calibri" w:hAnsi="Calibri"/>
          <w:b w:val="0"/>
          <w:color w:val="22333B"/>
          <w:sz w:val="21"/>
        </w:rPr>
        <w:tab/>
        <w:t>8</w:t>
      </w:r>
    </w:p>
    <w:p>
      <w:pPr>
        <w:tabs>
          <w:tab w:pos="9720" w:val="right" w:leader="dot"/>
        </w:tabs>
        <w:spacing w:after="80"/>
        <w:ind w:left="0"/>
      </w:pPr>
      <w:r>
        <w:rPr>
          <w:rFonts w:ascii="Calibri" w:hAnsi="Calibri"/>
          <w:b/>
          <w:color w:val="1B3A4B"/>
          <w:sz w:val="21"/>
        </w:rPr>
        <w:t>Working session 2 — Eighteen months of runway</w:t>
      </w:r>
      <w:r>
        <w:rPr>
          <w:rFonts w:ascii="Calibri" w:hAnsi="Calibri"/>
          <w:b/>
          <w:color w:val="1B3A4B"/>
          <w:sz w:val="21"/>
        </w:rPr>
        <w:tab/>
        <w:t>9</w:t>
      </w:r>
    </w:p>
    <w:p>
      <w:pPr>
        <w:tabs>
          <w:tab w:pos="9720" w:val="right" w:leader="dot"/>
        </w:tabs>
        <w:spacing w:after="80"/>
        <w:ind w:left="0"/>
      </w:pPr>
      <w:r>
        <w:rPr>
          <w:rFonts w:ascii="Calibri" w:hAnsi="Calibri"/>
          <w:b w:val="0"/>
          <w:color w:val="22333B"/>
          <w:sz w:val="21"/>
        </w:rPr>
        <w:t>Part 5 — Making it work</w:t>
      </w:r>
      <w:r>
        <w:rPr>
          <w:rFonts w:ascii="Calibri" w:hAnsi="Calibri"/>
          <w:b w:val="0"/>
          <w:color w:val="22333B"/>
          <w:sz w:val="21"/>
        </w:rPr>
        <w:tab/>
        <w:t>10</w:t>
      </w:r>
    </w:p>
    <w:p>
      <w:pPr>
        <w:tabs>
          <w:tab w:pos="9720" w:val="right" w:leader="dot"/>
        </w:tabs>
        <w:spacing w:after="80"/>
        <w:ind w:left="0"/>
      </w:pPr>
      <w:r>
        <w:rPr>
          <w:rFonts w:ascii="Calibri" w:hAnsi="Calibri"/>
          <w:b w:val="0"/>
          <w:color w:val="22333B"/>
          <w:sz w:val="21"/>
        </w:rPr>
        <w:t>Reference: the four markets side by side</w:t>
      </w:r>
      <w:r>
        <w:rPr>
          <w:rFonts w:ascii="Calibri" w:hAnsi="Calibri"/>
          <w:b w:val="0"/>
          <w:color w:val="22333B"/>
          <w:sz w:val="21"/>
        </w:rPr>
        <w:tab/>
        <w:t>11</w:t>
      </w:r>
    </w:p>
    <w:p>
      <w:pPr>
        <w:tabs>
          <w:tab w:pos="9720" w:val="right" w:leader="dot"/>
        </w:tabs>
        <w:spacing w:after="80"/>
        <w:ind w:left="0"/>
      </w:pPr>
      <w:r>
        <w:rPr>
          <w:rFonts w:ascii="Calibri" w:hAnsi="Calibri"/>
          <w:b w:val="0"/>
          <w:color w:val="22333B"/>
          <w:sz w:val="21"/>
        </w:rPr>
        <w:t>Reference: EU MDR at a glance</w:t>
      </w:r>
      <w:r>
        <w:rPr>
          <w:rFonts w:ascii="Calibri" w:hAnsi="Calibri"/>
          <w:b w:val="0"/>
          <w:color w:val="22333B"/>
          <w:sz w:val="21"/>
        </w:rPr>
        <w:tab/>
        <w:t>12</w:t>
      </w:r>
    </w:p>
    <w:p>
      <w:pPr>
        <w:tabs>
          <w:tab w:pos="9720" w:val="right" w:leader="dot"/>
        </w:tabs>
        <w:spacing w:after="80"/>
        <w:ind w:left="0"/>
      </w:pPr>
      <w:r>
        <w:rPr>
          <w:rFonts w:ascii="Calibri" w:hAnsi="Calibri"/>
          <w:b w:val="0"/>
          <w:color w:val="22333B"/>
          <w:sz w:val="21"/>
        </w:rPr>
        <w:t>Reference: the UK position</w:t>
      </w:r>
      <w:r>
        <w:rPr>
          <w:rFonts w:ascii="Calibri" w:hAnsi="Calibri"/>
          <w:b w:val="0"/>
          <w:color w:val="22333B"/>
          <w:sz w:val="21"/>
        </w:rPr>
        <w:tab/>
        <w:t>13</w:t>
      </w:r>
    </w:p>
    <w:p>
      <w:pPr>
        <w:tabs>
          <w:tab w:pos="9720" w:val="right" w:leader="dot"/>
        </w:tabs>
        <w:spacing w:after="80"/>
        <w:ind w:left="0"/>
      </w:pPr>
      <w:r>
        <w:rPr>
          <w:rFonts w:ascii="Calibri" w:hAnsi="Calibri"/>
          <w:b w:val="0"/>
          <w:color w:val="22333B"/>
          <w:sz w:val="21"/>
        </w:rPr>
        <w:t>Glossary</w:t>
      </w:r>
      <w:r>
        <w:rPr>
          <w:rFonts w:ascii="Calibri" w:hAnsi="Calibri"/>
          <w:b w:val="0"/>
          <w:color w:val="22333B"/>
          <w:sz w:val="21"/>
        </w:rPr>
        <w:tab/>
        <w:t>14</w:t>
      </w:r>
    </w:p>
    <w:p>
      <w:pPr>
        <w:tabs>
          <w:tab w:pos="9720" w:val="right" w:leader="dot"/>
        </w:tabs>
        <w:spacing w:after="80"/>
        <w:ind w:left="0"/>
      </w:pPr>
      <w:r>
        <w:rPr>
          <w:rFonts w:ascii="Calibri" w:hAnsi="Calibri"/>
          <w:b w:val="0"/>
          <w:color w:val="22333B"/>
          <w:sz w:val="21"/>
        </w:rPr>
        <w:t>Primary sources — and what each is for</w:t>
      </w:r>
      <w:r>
        <w:rPr>
          <w:rFonts w:ascii="Calibri" w:hAnsi="Calibri"/>
          <w:b w:val="0"/>
          <w:color w:val="22333B"/>
          <w:sz w:val="21"/>
        </w:rPr>
        <w:tab/>
        <w:t>16</w:t>
      </w:r>
    </w:p>
    <w:p>
      <w:pPr>
        <w:tabs>
          <w:tab w:pos="9720" w:val="right" w:leader="dot"/>
        </w:tabs>
        <w:spacing w:after="80"/>
        <w:ind w:left="0"/>
      </w:pPr>
      <w:r>
        <w:rPr>
          <w:rFonts w:ascii="Calibri" w:hAnsi="Calibri"/>
          <w:b/>
          <w:color w:val="1B3A4B"/>
          <w:sz w:val="21"/>
        </w:rPr>
        <w:t>Your action plan</w:t>
      </w:r>
      <w:r>
        <w:rPr>
          <w:rFonts w:ascii="Calibri" w:hAnsi="Calibri"/>
          <w:b/>
          <w:color w:val="1B3A4B"/>
          <w:sz w:val="21"/>
        </w:rPr>
        <w:tab/>
        <w:t>17</w:t>
      </w:r>
    </w:p>
    <w:p>
      <w:pPr>
        <w:spacing w:after="120"/>
      </w:pPr>
      <w:r>
        <w:rPr>
          <w:rFonts w:ascii="Calibri" w:hAnsi="Calibri"/>
          <w:b w:val="0"/>
          <w:i w:val="0"/>
          <w:color w:val="22333B"/>
          <w:sz w:val="20"/>
        </w:rPr>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A note on currency</w:t>
            </w:r>
          </w:p>
          <w:p>
            <w:pPr>
              <w:spacing w:after="80"/>
            </w:pPr>
            <w:r>
              <w:rPr>
                <w:rFonts w:ascii="Calibri" w:hAnsi="Calibri"/>
                <w:color w:val="22333B"/>
                <w:sz w:val="19"/>
              </w:rPr>
              <w:t>Regulatory requirements in all four of these markets are moving. The UK framework is half-built, and the European Commission has a live proposal to amend the MDR. Dates and statuses in this workbook were checked against primary sources when it was prepared. Before relying on any of them — particularly for a submission or a board paper — confirm the current position at the source. The source list near the back tells you where to look.</w:t>
            </w:r>
          </w:p>
        </w:tc>
      </w:tr>
    </w:tbl>
    <w:p>
      <w:pPr>
        <w:spacing w:after="100" w:before="0" w:line="240" w:lineRule="auto"/>
      </w:pPr>
      <w:r>
        <w:rPr>
          <w:sz w:val="2"/>
        </w:rPr>
      </w:r>
    </w:p>
    <w:p>
      <w:pPr>
        <w:pageBreakBefore/>
        <w:spacing w:after="40" w:before="0"/>
      </w:pPr>
      <w:r>
        <w:rPr>
          <w:rFonts w:ascii="Calibri" w:hAnsi="Calibri"/>
          <w:b/>
          <w:color w:val="0E7C7B"/>
          <w:sz w:val="17"/>
          <w:spacing w:val="30"/>
        </w:rPr>
        <w:t>AGENDA AND OBJECTIVES</w:t>
      </w:r>
    </w:p>
    <w:p>
      <w:pPr>
        <w:spacing w:after="80" w:before="0"/>
      </w:pPr>
      <w:r>
        <w:rPr>
          <w:rFonts w:ascii="Cambria" w:hAnsi="Cambria"/>
          <w:b/>
          <w:color w:val="1B3A4B"/>
          <w:sz w:val="36"/>
        </w:rPr>
        <w:t>Agenda and learning objectives</w:t>
      </w:r>
    </w:p>
    <w:p>
      <w:pPr>
        <w:spacing w:before="120" w:after="160"/>
        <w:pBdr>
          <w:bottom w:val="single" w:sz="6" w:space="1" w:color="D7E2E5"/>
        </w:pBdr>
      </w:pPr>
    </w:p>
    <w:p>
      <w:pPr>
        <w:keepNext/>
        <w:spacing w:after="80" w:before="0"/>
      </w:pPr>
      <w:r>
        <w:rPr>
          <w:rFonts w:ascii="Cambria" w:hAnsi="Cambria"/>
          <w:b/>
          <w:color w:val="1B3A4B"/>
          <w:sz w:val="26"/>
        </w:rPr>
        <w:t>Run of show</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296"/>
        <w:gridCol w:w="8496"/>
      </w:tblGrid>
      <w:tr>
        <w:trPr>
          <w:cantSplit/>
          <w:tblHeader/>
        </w:trPr>
        <w:tc>
          <w:tcPr>
            <w:tcW w:type="dxa" w:w="1296"/>
            <w:shd w:val="clear" w:color="auto" w:fill="1B3A4B"/>
          </w:tcPr>
          <w:p>
            <w:pPr>
              <w:spacing w:after="40" w:before="40"/>
            </w:pPr>
            <w:r/>
            <w:r>
              <w:rPr>
                <w:rFonts w:ascii="Calibri" w:hAnsi="Calibri"/>
                <w:b/>
                <w:i w:val="0"/>
                <w:color w:val="FFFFFF"/>
                <w:sz w:val="20"/>
              </w:rPr>
              <w:t>Time</w:t>
            </w:r>
          </w:p>
        </w:tc>
        <w:tc>
          <w:tcPr>
            <w:tcW w:type="dxa" w:w="8496"/>
            <w:shd w:val="clear" w:color="auto" w:fill="1B3A4B"/>
          </w:tcPr>
          <w:p>
            <w:pPr>
              <w:spacing w:after="40" w:before="40"/>
            </w:pPr>
            <w:r/>
            <w:r>
              <w:rPr>
                <w:rFonts w:ascii="Calibri" w:hAnsi="Calibri"/>
                <w:b/>
                <w:i w:val="0"/>
                <w:color w:val="FFFFFF"/>
                <w:sz w:val="20"/>
              </w:rPr>
              <w:t>Session</w:t>
            </w:r>
          </w:p>
        </w:tc>
      </w:tr>
      <w:tr>
        <w:trPr>
          <w:cantSplit/>
        </w:trPr>
        <w:tc>
          <w:tcPr>
            <w:tcW w:type="dxa" w:w="1296"/>
          </w:tcPr>
          <w:p>
            <w:pPr>
              <w:spacing w:after="40" w:before="40"/>
            </w:pPr>
            <w:r/>
            <w:r>
              <w:rPr>
                <w:rFonts w:ascii="Calibri" w:hAnsi="Calibri"/>
                <w:b/>
                <w:i w:val="0"/>
                <w:color w:val="22333B"/>
                <w:sz w:val="20"/>
              </w:rPr>
              <w:t>0:00</w:t>
            </w:r>
          </w:p>
        </w:tc>
        <w:tc>
          <w:tcPr>
            <w:tcW w:type="dxa" w:w="8496"/>
          </w:tcPr>
          <w:p>
            <w:pPr>
              <w:spacing w:after="40" w:before="40"/>
            </w:pPr>
            <w:r/>
            <w:r>
              <w:rPr>
                <w:rFonts w:ascii="Calibri" w:hAnsi="Calibri"/>
                <w:b w:val="0"/>
                <w:i w:val="0"/>
                <w:color w:val="22333B"/>
                <w:sz w:val="20"/>
              </w:rPr>
              <w:t>Welcome, objectives, room calibration</w:t>
            </w:r>
          </w:p>
        </w:tc>
      </w:tr>
      <w:tr>
        <w:trPr>
          <w:cantSplit/>
        </w:trPr>
        <w:tc>
          <w:tcPr>
            <w:tcW w:type="dxa" w:w="1296"/>
          </w:tcPr>
          <w:p>
            <w:pPr>
              <w:spacing w:after="40" w:before="40"/>
            </w:pPr>
            <w:r/>
            <w:r>
              <w:rPr>
                <w:rFonts w:ascii="Calibri" w:hAnsi="Calibri"/>
                <w:b/>
                <w:i w:val="0"/>
                <w:color w:val="22333B"/>
                <w:sz w:val="20"/>
              </w:rPr>
              <w:t>0:04</w:t>
            </w:r>
          </w:p>
        </w:tc>
        <w:tc>
          <w:tcPr>
            <w:tcW w:type="dxa" w:w="8496"/>
          </w:tcPr>
          <w:p>
            <w:pPr>
              <w:spacing w:after="40" w:before="40"/>
            </w:pPr>
            <w:r/>
            <w:r>
              <w:rPr>
                <w:rFonts w:ascii="Calibri" w:hAnsi="Calibri"/>
                <w:b w:val="0"/>
                <w:i w:val="0"/>
                <w:color w:val="22333B"/>
                <w:sz w:val="20"/>
              </w:rPr>
              <w:t>Part 1 — Four markets, not four copies</w:t>
            </w:r>
          </w:p>
        </w:tc>
      </w:tr>
      <w:tr>
        <w:trPr>
          <w:cantSplit/>
        </w:trPr>
        <w:tc>
          <w:tcPr>
            <w:tcW w:type="dxa" w:w="1296"/>
          </w:tcPr>
          <w:p>
            <w:pPr>
              <w:spacing w:after="40" w:before="40"/>
            </w:pPr>
            <w:r/>
            <w:r>
              <w:rPr>
                <w:rFonts w:ascii="Calibri" w:hAnsi="Calibri"/>
                <w:b/>
                <w:i w:val="0"/>
                <w:color w:val="22333B"/>
                <w:sz w:val="20"/>
              </w:rPr>
              <w:t>0:15</w:t>
            </w:r>
          </w:p>
        </w:tc>
        <w:tc>
          <w:tcPr>
            <w:tcW w:type="dxa" w:w="8496"/>
          </w:tcPr>
          <w:p>
            <w:pPr>
              <w:spacing w:after="40" w:before="40"/>
            </w:pPr>
            <w:r/>
            <w:r>
              <w:rPr>
                <w:rFonts w:ascii="Calibri" w:hAnsi="Calibri"/>
                <w:b w:val="0"/>
                <w:i w:val="0"/>
                <w:color w:val="22333B"/>
                <w:sz w:val="20"/>
              </w:rPr>
              <w:t>Part 2 — EU MDR</w:t>
            </w:r>
          </w:p>
        </w:tc>
      </w:tr>
      <w:tr>
        <w:trPr>
          <w:cantSplit/>
        </w:trPr>
        <w:tc>
          <w:tcPr>
            <w:tcW w:type="dxa" w:w="1296"/>
          </w:tcPr>
          <w:p>
            <w:pPr>
              <w:spacing w:after="40" w:before="40"/>
            </w:pPr>
            <w:r/>
            <w:r>
              <w:rPr>
                <w:rFonts w:ascii="Calibri" w:hAnsi="Calibri"/>
                <w:b/>
                <w:i w:val="0"/>
                <w:color w:val="22333B"/>
                <w:sz w:val="20"/>
              </w:rPr>
              <w:t>0:37</w:t>
            </w:r>
          </w:p>
        </w:tc>
        <w:tc>
          <w:tcPr>
            <w:tcW w:type="dxa" w:w="8496"/>
          </w:tcPr>
          <w:p>
            <w:pPr>
              <w:spacing w:after="40" w:before="40"/>
            </w:pPr>
            <w:r/>
            <w:r>
              <w:rPr>
                <w:rFonts w:ascii="Calibri" w:hAnsi="Calibri"/>
                <w:b/>
                <w:i w:val="0"/>
                <w:color w:val="0E7C7B"/>
                <w:sz w:val="20"/>
              </w:rPr>
              <w:t>Working session 1 — One device, four classifications  (10 min)</w:t>
            </w:r>
          </w:p>
        </w:tc>
      </w:tr>
      <w:tr>
        <w:trPr>
          <w:cantSplit/>
        </w:trPr>
        <w:tc>
          <w:tcPr>
            <w:tcW w:type="dxa" w:w="1296"/>
          </w:tcPr>
          <w:p>
            <w:pPr>
              <w:spacing w:after="40" w:before="40"/>
            </w:pPr>
            <w:r/>
            <w:r>
              <w:rPr>
                <w:rFonts w:ascii="Calibri" w:hAnsi="Calibri"/>
                <w:b/>
                <w:i w:val="0"/>
                <w:color w:val="22333B"/>
                <w:sz w:val="20"/>
              </w:rPr>
              <w:t>0:47</w:t>
            </w:r>
          </w:p>
        </w:tc>
        <w:tc>
          <w:tcPr>
            <w:tcW w:type="dxa" w:w="8496"/>
          </w:tcPr>
          <w:p>
            <w:pPr>
              <w:spacing w:after="40" w:before="40"/>
            </w:pPr>
            <w:r/>
            <w:r>
              <w:rPr>
                <w:rFonts w:ascii="Calibri" w:hAnsi="Calibri"/>
                <w:b w:val="0"/>
                <w:i w:val="0"/>
                <w:color w:val="22333B"/>
                <w:sz w:val="20"/>
              </w:rPr>
              <w:t>Part 3 — UKCA and the UK framework</w:t>
            </w:r>
          </w:p>
        </w:tc>
      </w:tr>
      <w:tr>
        <w:trPr>
          <w:cantSplit/>
        </w:trPr>
        <w:tc>
          <w:tcPr>
            <w:tcW w:type="dxa" w:w="1296"/>
          </w:tcPr>
          <w:p>
            <w:pPr>
              <w:spacing w:after="40" w:before="40"/>
            </w:pPr>
            <w:r/>
            <w:r>
              <w:rPr>
                <w:rFonts w:ascii="Calibri" w:hAnsi="Calibri"/>
                <w:b/>
                <w:i w:val="0"/>
                <w:color w:val="22333B"/>
                <w:sz w:val="20"/>
              </w:rPr>
              <w:t>1:01</w:t>
            </w:r>
          </w:p>
        </w:tc>
        <w:tc>
          <w:tcPr>
            <w:tcW w:type="dxa" w:w="8496"/>
          </w:tcPr>
          <w:p>
            <w:pPr>
              <w:spacing w:after="40" w:before="40"/>
            </w:pPr>
            <w:r/>
            <w:r>
              <w:rPr>
                <w:rFonts w:ascii="Calibri" w:hAnsi="Calibri"/>
                <w:b w:val="0"/>
                <w:i w:val="0"/>
                <w:color w:val="22333B"/>
                <w:sz w:val="20"/>
              </w:rPr>
              <w:t>Part 4 — United States and Japan</w:t>
            </w:r>
          </w:p>
        </w:tc>
      </w:tr>
      <w:tr>
        <w:trPr>
          <w:cantSplit/>
        </w:trPr>
        <w:tc>
          <w:tcPr>
            <w:tcW w:type="dxa" w:w="1296"/>
          </w:tcPr>
          <w:p>
            <w:pPr>
              <w:spacing w:after="40" w:before="40"/>
            </w:pPr>
            <w:r/>
            <w:r>
              <w:rPr>
                <w:rFonts w:ascii="Calibri" w:hAnsi="Calibri"/>
                <w:b/>
                <w:i w:val="0"/>
                <w:color w:val="22333B"/>
                <w:sz w:val="20"/>
              </w:rPr>
              <w:t>1:12</w:t>
            </w:r>
          </w:p>
        </w:tc>
        <w:tc>
          <w:tcPr>
            <w:tcW w:type="dxa" w:w="8496"/>
          </w:tcPr>
          <w:p>
            <w:pPr>
              <w:spacing w:after="40" w:before="40"/>
            </w:pPr>
            <w:r/>
            <w:r>
              <w:rPr>
                <w:rFonts w:ascii="Calibri" w:hAnsi="Calibri"/>
                <w:b/>
                <w:i w:val="0"/>
                <w:color w:val="0E7C7B"/>
                <w:sz w:val="20"/>
              </w:rPr>
              <w:t>Working session 2 — Tabletop  (10 min)</w:t>
            </w:r>
          </w:p>
        </w:tc>
      </w:tr>
      <w:tr>
        <w:trPr>
          <w:cantSplit/>
        </w:trPr>
        <w:tc>
          <w:tcPr>
            <w:tcW w:type="dxa" w:w="1296"/>
          </w:tcPr>
          <w:p>
            <w:pPr>
              <w:spacing w:after="40" w:before="40"/>
            </w:pPr>
            <w:r/>
            <w:r>
              <w:rPr>
                <w:rFonts w:ascii="Calibri" w:hAnsi="Calibri"/>
                <w:b/>
                <w:i w:val="0"/>
                <w:color w:val="22333B"/>
                <w:sz w:val="20"/>
              </w:rPr>
              <w:t>1:22</w:t>
            </w:r>
          </w:p>
        </w:tc>
        <w:tc>
          <w:tcPr>
            <w:tcW w:type="dxa" w:w="8496"/>
          </w:tcPr>
          <w:p>
            <w:pPr>
              <w:spacing w:after="40" w:before="40"/>
            </w:pPr>
            <w:r/>
            <w:r>
              <w:rPr>
                <w:rFonts w:ascii="Calibri" w:hAnsi="Calibri"/>
                <w:b w:val="0"/>
                <w:i w:val="0"/>
                <w:color w:val="22333B"/>
                <w:sz w:val="20"/>
              </w:rPr>
              <w:t>Part 5 — Making it work</w:t>
            </w:r>
          </w:p>
        </w:tc>
      </w:tr>
      <w:tr>
        <w:trPr>
          <w:cantSplit/>
        </w:trPr>
        <w:tc>
          <w:tcPr>
            <w:tcW w:type="dxa" w:w="1296"/>
          </w:tcPr>
          <w:p>
            <w:pPr>
              <w:spacing w:after="40" w:before="40"/>
            </w:pPr>
            <w:r/>
            <w:r>
              <w:rPr>
                <w:rFonts w:ascii="Calibri" w:hAnsi="Calibri"/>
                <w:b/>
                <w:i w:val="0"/>
                <w:color w:val="22333B"/>
                <w:sz w:val="20"/>
              </w:rPr>
              <w:t>1:29</w:t>
            </w:r>
          </w:p>
        </w:tc>
        <w:tc>
          <w:tcPr>
            <w:tcW w:type="dxa" w:w="8496"/>
          </w:tcPr>
          <w:p>
            <w:pPr>
              <w:spacing w:after="40" w:before="40"/>
            </w:pPr>
            <w:r/>
            <w:r>
              <w:rPr>
                <w:rFonts w:ascii="Calibri" w:hAnsi="Calibri"/>
                <w:b w:val="0"/>
                <w:i w:val="0"/>
                <w:color w:val="22333B"/>
                <w:sz w:val="20"/>
              </w:rPr>
              <w:t>Discussion and questions</w:t>
            </w:r>
          </w:p>
        </w:tc>
      </w:tr>
    </w:tbl>
    <w:p>
      <w:pPr>
        <w:keepNext/>
        <w:spacing w:after="80" w:before="180"/>
      </w:pPr>
      <w:r>
        <w:rPr>
          <w:rFonts w:ascii="Cambria" w:hAnsi="Cambria"/>
          <w:b/>
          <w:color w:val="1B3A4B"/>
          <w:sz w:val="26"/>
        </w:rPr>
        <w:t>What you should be able to do afterwards</w:t>
      </w:r>
    </w:p>
    <w:p>
      <w:pPr>
        <w:spacing w:after="50" w:line="254" w:lineRule="auto"/>
        <w:ind w:left="792" w:hanging="432"/>
      </w:pPr>
      <w:r>
        <w:rPr>
          <w:rFonts w:ascii="Calibri" w:hAnsi="Calibri"/>
          <w:b/>
          <w:color w:val="0E7C7B"/>
          <w:sz w:val="20"/>
        </w:rPr>
        <w:t xml:space="preserve">1.  </w:t>
      </w:r>
      <w:r>
        <w:rPr>
          <w:rFonts w:ascii="Calibri" w:hAnsi="Calibri"/>
          <w:b/>
          <w:color w:val="1B3A4B"/>
          <w:sz w:val="20"/>
        </w:rPr>
        <w:t xml:space="preserve">Classify in four systems. </w:t>
      </w:r>
      <w:r>
        <w:rPr>
          <w:rFonts w:ascii="Calibri" w:hAnsi="Calibri"/>
          <w:color w:val="22333B"/>
          <w:sz w:val="20"/>
        </w:rPr>
        <w:t>Take one device and determine its regulatory class in the US, EU, UK and Japan — and explain why the answers differ rather than assuming one is wrong.</w:t>
      </w:r>
    </w:p>
    <w:p>
      <w:pPr>
        <w:spacing w:after="50" w:line="254" w:lineRule="auto"/>
        <w:ind w:left="792" w:hanging="432"/>
      </w:pPr>
      <w:r>
        <w:rPr>
          <w:rFonts w:ascii="Calibri" w:hAnsi="Calibri"/>
          <w:b/>
          <w:color w:val="0E7C7B"/>
          <w:sz w:val="20"/>
        </w:rPr>
        <w:t xml:space="preserve">2.  </w:t>
      </w:r>
      <w:r>
        <w:rPr>
          <w:rFonts w:ascii="Calibri" w:hAnsi="Calibri"/>
          <w:b/>
          <w:color w:val="1B3A4B"/>
          <w:sz w:val="20"/>
        </w:rPr>
        <w:t xml:space="preserve">Pick the right route. </w:t>
      </w:r>
      <w:r>
        <w:rPr>
          <w:rFonts w:ascii="Calibri" w:hAnsi="Calibri"/>
          <w:color w:val="22333B"/>
          <w:sz w:val="20"/>
        </w:rPr>
        <w:t>Choose a conformity assessment route under MDR and UK MDR 2002, and identify whether a Japanese device needs Ninsho or Shonin.</w:t>
      </w:r>
    </w:p>
    <w:p>
      <w:pPr>
        <w:spacing w:after="50" w:line="254" w:lineRule="auto"/>
        <w:ind w:left="792" w:hanging="432"/>
      </w:pPr>
      <w:r>
        <w:rPr>
          <w:rFonts w:ascii="Calibri" w:hAnsi="Calibri"/>
          <w:b/>
          <w:color w:val="0E7C7B"/>
          <w:sz w:val="20"/>
        </w:rPr>
        <w:t xml:space="preserve">3.  </w:t>
      </w:r>
      <w:r>
        <w:rPr>
          <w:rFonts w:ascii="Calibri" w:hAnsi="Calibri"/>
          <w:b/>
          <w:color w:val="1B3A4B"/>
          <w:sz w:val="20"/>
        </w:rPr>
        <w:t xml:space="preserve">Scope the technical file. </w:t>
      </w:r>
      <w:r>
        <w:rPr>
          <w:rFonts w:ascii="Calibri" w:hAnsi="Calibri"/>
          <w:color w:val="22333B"/>
          <w:sz w:val="20"/>
        </w:rPr>
        <w:t>Name what Annex II requires, what a 510(k) requires, and which parts of one package genuinely serve the other.</w:t>
      </w:r>
    </w:p>
    <w:p>
      <w:pPr>
        <w:spacing w:after="50" w:line="254" w:lineRule="auto"/>
        <w:ind w:left="792" w:hanging="432"/>
      </w:pPr>
      <w:r>
        <w:rPr>
          <w:rFonts w:ascii="Calibri" w:hAnsi="Calibri"/>
          <w:b/>
          <w:color w:val="0E7C7B"/>
          <w:sz w:val="20"/>
        </w:rPr>
        <w:t xml:space="preserve">4.  </w:t>
      </w:r>
      <w:r>
        <w:rPr>
          <w:rFonts w:ascii="Calibri" w:hAnsi="Calibri"/>
          <w:b/>
          <w:color w:val="1B3A4B"/>
          <w:sz w:val="20"/>
        </w:rPr>
        <w:t xml:space="preserve">Separate law from proposal. </w:t>
      </w:r>
      <w:r>
        <w:rPr>
          <w:rFonts w:ascii="Calibri" w:hAnsi="Calibri"/>
          <w:color w:val="22333B"/>
          <w:sz w:val="20"/>
        </w:rPr>
        <w:t>State what is in force, what is adopted but not yet applicable, and what is only proposed — and plan accordingly.</w:t>
      </w:r>
    </w:p>
    <w:p>
      <w:pPr>
        <w:spacing w:after="50" w:line="254" w:lineRule="auto"/>
        <w:ind w:left="792" w:hanging="432"/>
      </w:pPr>
      <w:r>
        <w:rPr>
          <w:rFonts w:ascii="Calibri" w:hAnsi="Calibri"/>
          <w:b/>
          <w:color w:val="0E7C7B"/>
          <w:sz w:val="20"/>
        </w:rPr>
        <w:t xml:space="preserve">5.  </w:t>
      </w:r>
      <w:r>
        <w:rPr>
          <w:rFonts w:ascii="Calibri" w:hAnsi="Calibri"/>
          <w:b/>
          <w:color w:val="1B3A4B"/>
          <w:sz w:val="20"/>
        </w:rPr>
        <w:t xml:space="preserve">Place the representatives. </w:t>
      </w:r>
      <w:r>
        <w:rPr>
          <w:rFonts w:ascii="Calibri" w:hAnsi="Calibri"/>
          <w:color w:val="22333B"/>
          <w:sz w:val="20"/>
        </w:rPr>
        <w:t>Explain what a US Agent, EU Authorised Representative, UK Responsible Person and Japanese MAH each carry.</w:t>
      </w:r>
    </w:p>
    <w:p>
      <w:pPr>
        <w:spacing w:after="50" w:line="254" w:lineRule="auto"/>
        <w:ind w:left="792" w:hanging="432"/>
      </w:pPr>
      <w:r>
        <w:rPr>
          <w:rFonts w:ascii="Calibri" w:hAnsi="Calibri"/>
          <w:b/>
          <w:color w:val="0E7C7B"/>
          <w:sz w:val="20"/>
        </w:rPr>
        <w:t xml:space="preserve">6.  </w:t>
      </w:r>
      <w:r>
        <w:rPr>
          <w:rFonts w:ascii="Calibri" w:hAnsi="Calibri"/>
          <w:b/>
          <w:color w:val="1B3A4B"/>
          <w:sz w:val="20"/>
        </w:rPr>
        <w:t xml:space="preserve">Sequence the programme. </w:t>
      </w:r>
      <w:r>
        <w:rPr>
          <w:rFonts w:ascii="Calibri" w:hAnsi="Calibri"/>
          <w:color w:val="22333B"/>
          <w:sz w:val="20"/>
        </w:rPr>
        <w:t>Argue for a market entry order with reasons, and identify the decisions that are expensive to reverse.</w:t>
      </w:r>
    </w:p>
    <w:p>
      <w:pPr>
        <w:keepNext/>
        <w:spacing w:after="80" w:before="180"/>
      </w:pPr>
      <w:r>
        <w:rPr>
          <w:rFonts w:ascii="Cambria" w:hAnsi="Cambria"/>
          <w:b/>
          <w:color w:val="1B3A4B"/>
          <w:sz w:val="26"/>
        </w:rPr>
        <w:t>Three questions to hold in mind throughout</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color w:val="22333B"/>
                <w:sz w:val="19"/>
              </w:rPr>
              <w:t>1.  For my product, what is the class in each of the four markets — and can I show the reasoning?</w:t>
            </w:r>
          </w:p>
          <w:p>
            <w:pPr>
              <w:spacing w:after="80"/>
            </w:pPr>
            <w:r>
              <w:rPr>
                <w:rFonts w:ascii="Calibri" w:hAnsi="Calibri"/>
                <w:color w:val="22333B"/>
                <w:sz w:val="19"/>
              </w:rPr>
              <w:t>2.  Which of my decisions so far would be expensive to reverse?</w:t>
            </w:r>
          </w:p>
          <w:p>
            <w:pPr>
              <w:spacing w:after="80"/>
            </w:pPr>
            <w:r>
              <w:rPr>
                <w:rFonts w:ascii="Calibri" w:hAnsi="Calibri"/>
                <w:color w:val="22333B"/>
                <w:sz w:val="19"/>
              </w:rPr>
              <w:t>3.  What am I assuming travels between jurisdictions that may not?</w:t>
            </w:r>
          </w:p>
        </w:tc>
      </w:tr>
    </w:tbl>
    <w:p>
      <w:pPr>
        <w:spacing w:after="100" w:before="0" w:line="240" w:lineRule="auto"/>
      </w:pPr>
      <w:r>
        <w:rPr>
          <w:sz w:val="2"/>
        </w:rPr>
      </w:r>
    </w:p>
    <w:p>
      <w:pPr>
        <w:pageBreakBefore/>
        <w:spacing w:after="40" w:before="0"/>
      </w:pPr>
      <w:r>
        <w:rPr>
          <w:rFonts w:ascii="Calibri" w:hAnsi="Calibri"/>
          <w:b/>
          <w:color w:val="0E7C7B"/>
          <w:sz w:val="17"/>
          <w:spacing w:val="30"/>
        </w:rPr>
        <w:t>PART ONE</w:t>
      </w:r>
    </w:p>
    <w:p>
      <w:pPr>
        <w:spacing w:after="80" w:before="0"/>
      </w:pPr>
      <w:r>
        <w:rPr>
          <w:rFonts w:ascii="Cambria" w:hAnsi="Cambria"/>
          <w:b/>
          <w:color w:val="1B3A4B"/>
          <w:sz w:val="36"/>
        </w:rPr>
        <w:t>Part 1 — Four markets, not four copies</w:t>
      </w:r>
    </w:p>
    <w:p>
      <w:pPr>
        <w:spacing w:before="120" w:after="160"/>
        <w:pBdr>
          <w:bottom w:val="single" w:sz="6" w:space="1" w:color="D7E2E5"/>
        </w:pBdr>
      </w:pPr>
    </w:p>
    <w:p>
      <w:pPr>
        <w:keepNext/>
        <w:spacing w:after="40" w:before="0"/>
      </w:pPr>
      <w:r>
        <w:rPr>
          <w:rFonts w:ascii="Calibri" w:hAnsi="Calibri"/>
          <w:b/>
          <w:color w:val="0E7C7B"/>
          <w:sz w:val="21"/>
        </w:rPr>
        <w:t>“Class II” is a US term. It does not travel.</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872"/>
        <w:gridCol w:w="4176"/>
        <w:gridCol w:w="3744"/>
      </w:tblGrid>
      <w:tr>
        <w:trPr>
          <w:cantSplit/>
        </w:trPr>
        <w:tc>
          <w:tcPr>
            <w:tcW w:type="dxa" w:w="1872"/>
            <w:shd w:val="clear" w:color="auto" w:fill="1B3A4B"/>
          </w:tcPr>
          <w:p>
            <w:pPr>
              <w:spacing w:after="40" w:before="40"/>
            </w:pPr>
            <w:r/>
            <w:r>
              <w:rPr>
                <w:rFonts w:ascii="Calibri" w:hAnsi="Calibri"/>
                <w:b/>
                <w:i w:val="0"/>
                <w:color w:val="FFFFFF"/>
                <w:sz w:val="18"/>
              </w:rPr>
              <w:t>Jurisdiction</w:t>
            </w:r>
          </w:p>
        </w:tc>
        <w:tc>
          <w:tcPr>
            <w:tcW w:type="dxa" w:w="4176"/>
            <w:shd w:val="clear" w:color="auto" w:fill="1B3A4B"/>
          </w:tcPr>
          <w:p>
            <w:pPr>
              <w:spacing w:after="40" w:before="40"/>
            </w:pPr>
            <w:r/>
            <w:r>
              <w:rPr>
                <w:rFonts w:ascii="Calibri" w:hAnsi="Calibri"/>
                <w:b/>
                <w:i w:val="0"/>
                <w:color w:val="FFFFFF"/>
                <w:sz w:val="18"/>
              </w:rPr>
              <w:t>Classification system</w:t>
            </w:r>
          </w:p>
        </w:tc>
        <w:tc>
          <w:tcPr>
            <w:tcW w:type="dxa" w:w="3744"/>
            <w:shd w:val="clear" w:color="auto" w:fill="1B3A4B"/>
          </w:tcPr>
          <w:p>
            <w:pPr>
              <w:spacing w:after="40" w:before="40"/>
            </w:pPr>
            <w:r/>
            <w:r>
              <w:rPr>
                <w:rFonts w:ascii="Calibri" w:hAnsi="Calibri"/>
                <w:b/>
                <w:i w:val="0"/>
                <w:color w:val="FFFFFF"/>
                <w:sz w:val="18"/>
              </w:rPr>
              <w:t>What a US Class II device becomes</w:t>
            </w:r>
          </w:p>
        </w:tc>
      </w:tr>
      <w:tr>
        <w:trPr>
          <w:cantSplit/>
        </w:trPr>
        <w:tc>
          <w:tcPr>
            <w:tcW w:type="dxa" w:w="1872"/>
          </w:tcPr>
          <w:p>
            <w:pPr>
              <w:spacing w:after="40" w:before="40"/>
            </w:pPr>
            <w:r/>
            <w:r>
              <w:rPr>
                <w:rFonts w:ascii="Calibri" w:hAnsi="Calibri"/>
                <w:b/>
                <w:i w:val="0"/>
                <w:color w:val="22333B"/>
                <w:sz w:val="18"/>
              </w:rPr>
              <w:t>United States</w:t>
            </w:r>
          </w:p>
        </w:tc>
        <w:tc>
          <w:tcPr>
            <w:tcW w:type="dxa" w:w="4176"/>
          </w:tcPr>
          <w:p>
            <w:pPr>
              <w:spacing w:after="40" w:before="40"/>
            </w:pPr>
            <w:r/>
            <w:r>
              <w:rPr>
                <w:rFonts w:ascii="Calibri" w:hAnsi="Calibri"/>
                <w:b w:val="0"/>
                <w:i w:val="0"/>
                <w:color w:val="22333B"/>
                <w:sz w:val="18"/>
              </w:rPr>
              <w:t>Three classes, assigned by regulation per device type</w:t>
            </w:r>
          </w:p>
        </w:tc>
        <w:tc>
          <w:tcPr>
            <w:tcW w:type="dxa" w:w="3744"/>
          </w:tcPr>
          <w:p>
            <w:pPr>
              <w:spacing w:after="40" w:before="40"/>
            </w:pPr>
            <w:r/>
            <w:r>
              <w:rPr>
                <w:rFonts w:ascii="Calibri" w:hAnsi="Calibri"/>
                <w:b w:val="0"/>
                <w:i w:val="0"/>
                <w:color w:val="22333B"/>
                <w:sz w:val="18"/>
              </w:rPr>
              <w:t>Class II by definition — usually a 510(k)</w:t>
            </w:r>
          </w:p>
        </w:tc>
      </w:tr>
      <w:tr>
        <w:trPr>
          <w:cantSplit/>
        </w:trPr>
        <w:tc>
          <w:tcPr>
            <w:tcW w:type="dxa" w:w="1872"/>
          </w:tcPr>
          <w:p>
            <w:pPr>
              <w:spacing w:after="40" w:before="40"/>
            </w:pPr>
            <w:r/>
            <w:r>
              <w:rPr>
                <w:rFonts w:ascii="Calibri" w:hAnsi="Calibri"/>
                <w:b/>
                <w:i w:val="0"/>
                <w:color w:val="22333B"/>
                <w:sz w:val="18"/>
              </w:rPr>
              <w:t>European Union</w:t>
            </w:r>
          </w:p>
        </w:tc>
        <w:tc>
          <w:tcPr>
            <w:tcW w:type="dxa" w:w="4176"/>
          </w:tcPr>
          <w:p>
            <w:pPr>
              <w:spacing w:after="40" w:before="40"/>
            </w:pPr>
            <w:r/>
            <w:r>
              <w:rPr>
                <w:rFonts w:ascii="Calibri" w:hAnsi="Calibri"/>
                <w:b w:val="0"/>
                <w:i w:val="0"/>
                <w:color w:val="22333B"/>
                <w:sz w:val="18"/>
              </w:rPr>
              <w:t>Four classes, derived by applying the 22 rules of MDR Annex VIII to the intended purpose</w:t>
            </w:r>
          </w:p>
        </w:tc>
        <w:tc>
          <w:tcPr>
            <w:tcW w:type="dxa" w:w="3744"/>
          </w:tcPr>
          <w:p>
            <w:pPr>
              <w:spacing w:after="40" w:before="40"/>
            </w:pPr>
            <w:r/>
            <w:r>
              <w:rPr>
                <w:rFonts w:ascii="Calibri" w:hAnsi="Calibri"/>
                <w:b/>
                <w:i w:val="0"/>
                <w:color w:val="A83A3C"/>
                <w:sz w:val="18"/>
              </w:rPr>
              <w:t>Anywhere from I to III. The rules decide, not the US class</w:t>
            </w:r>
          </w:p>
        </w:tc>
      </w:tr>
      <w:tr>
        <w:trPr>
          <w:cantSplit/>
        </w:trPr>
        <w:tc>
          <w:tcPr>
            <w:tcW w:type="dxa" w:w="1872"/>
          </w:tcPr>
          <w:p>
            <w:pPr>
              <w:spacing w:after="40" w:before="40"/>
            </w:pPr>
            <w:r/>
            <w:r>
              <w:rPr>
                <w:rFonts w:ascii="Calibri" w:hAnsi="Calibri"/>
                <w:b/>
                <w:i w:val="0"/>
                <w:color w:val="22333B"/>
                <w:sz w:val="18"/>
              </w:rPr>
              <w:t>Great Britain</w:t>
            </w:r>
          </w:p>
        </w:tc>
        <w:tc>
          <w:tcPr>
            <w:tcW w:type="dxa" w:w="4176"/>
          </w:tcPr>
          <w:p>
            <w:pPr>
              <w:spacing w:after="40" w:before="40"/>
            </w:pPr>
            <w:r/>
            <w:r>
              <w:rPr>
                <w:rFonts w:ascii="Calibri" w:hAnsi="Calibri"/>
                <w:b w:val="0"/>
                <w:i w:val="0"/>
                <w:color w:val="22333B"/>
                <w:sz w:val="18"/>
              </w:rPr>
              <w:t>Four classes, derived from the MDD Annex IX rules as modified by Schedule 2A of the UK MDR 2002</w:t>
            </w:r>
          </w:p>
        </w:tc>
        <w:tc>
          <w:tcPr>
            <w:tcW w:type="dxa" w:w="3744"/>
          </w:tcPr>
          <w:p>
            <w:pPr>
              <w:spacing w:after="40" w:before="40"/>
            </w:pPr>
            <w:r/>
            <w:r>
              <w:rPr>
                <w:rFonts w:ascii="Calibri" w:hAnsi="Calibri"/>
                <w:b/>
                <w:i w:val="0"/>
                <w:color w:val="A83A3C"/>
                <w:sz w:val="18"/>
              </w:rPr>
              <w:t>Usually the same as the EU — but not always, because GB uses the older rule set</w:t>
            </w:r>
          </w:p>
        </w:tc>
      </w:tr>
      <w:tr>
        <w:trPr>
          <w:cantSplit/>
        </w:trPr>
        <w:tc>
          <w:tcPr>
            <w:tcW w:type="dxa" w:w="1872"/>
          </w:tcPr>
          <w:p>
            <w:pPr>
              <w:spacing w:after="40" w:before="40"/>
            </w:pPr>
            <w:r/>
            <w:r>
              <w:rPr>
                <w:rFonts w:ascii="Calibri" w:hAnsi="Calibri"/>
                <w:b/>
                <w:i w:val="0"/>
                <w:color w:val="22333B"/>
                <w:sz w:val="18"/>
              </w:rPr>
              <w:t>Japan</w:t>
            </w:r>
          </w:p>
        </w:tc>
        <w:tc>
          <w:tcPr>
            <w:tcW w:type="dxa" w:w="4176"/>
          </w:tcPr>
          <w:p>
            <w:pPr>
              <w:spacing w:after="40" w:before="40"/>
            </w:pPr>
            <w:r/>
            <w:r>
              <w:rPr>
                <w:rFonts w:ascii="Calibri" w:hAnsi="Calibri"/>
                <w:b w:val="0"/>
                <w:i w:val="0"/>
                <w:color w:val="22333B"/>
                <w:sz w:val="18"/>
              </w:rPr>
              <w:t>Four classes tied to a JMDN code, with a parallel regulatory category</w:t>
            </w:r>
          </w:p>
        </w:tc>
        <w:tc>
          <w:tcPr>
            <w:tcW w:type="dxa" w:w="3744"/>
          </w:tcPr>
          <w:p>
            <w:pPr>
              <w:spacing w:after="40" w:before="40"/>
            </w:pPr>
            <w:r/>
            <w:r>
              <w:rPr>
                <w:rFonts w:ascii="Calibri" w:hAnsi="Calibri"/>
                <w:b w:val="0"/>
                <w:i w:val="0"/>
                <w:color w:val="22333B"/>
                <w:sz w:val="18"/>
              </w:rPr>
              <w:t>Determined by the JMDN code the product maps to</w:t>
            </w:r>
          </w:p>
        </w:tc>
      </w:tr>
    </w:tbl>
    <w:p>
      <w:pPr>
        <w:keepNext/>
        <w:spacing w:after="40" w:before="140"/>
      </w:pPr>
      <w:r>
        <w:rPr>
          <w:rFonts w:ascii="Calibri" w:hAnsi="Calibri"/>
          <w:b/>
          <w:color w:val="0E7C7B"/>
          <w:sz w:val="21"/>
        </w:rPr>
        <w:t>Four regulatory models — four different questions</w:t>
      </w:r>
    </w:p>
    <w:p>
      <w:pPr>
        <w:pStyle w:val="ListBullet"/>
        <w:spacing w:after="50" w:line="254" w:lineRule="auto"/>
        <w:ind w:left="576"/>
      </w:pPr>
      <w:r>
        <w:rPr>
          <w:rFonts w:ascii="Calibri" w:hAnsi="Calibri"/>
          <w:b/>
          <w:color w:val="1B3A4B"/>
          <w:sz w:val="20"/>
        </w:rPr>
        <w:t xml:space="preserve">United States: </w:t>
      </w:r>
      <w:r>
        <w:rPr>
          <w:rFonts w:ascii="Calibri" w:hAnsi="Calibri"/>
          <w:color w:val="22333B"/>
          <w:sz w:val="20"/>
        </w:rPr>
        <w:t>FDA reviews you directly. The question is comparative: is this substantially equivalent to a predicate?</w:t>
      </w:r>
    </w:p>
    <w:p>
      <w:pPr>
        <w:pStyle w:val="ListBullet"/>
        <w:spacing w:after="50" w:line="254" w:lineRule="auto"/>
        <w:ind w:left="576"/>
      </w:pPr>
      <w:r>
        <w:rPr>
          <w:rFonts w:ascii="Calibri" w:hAnsi="Calibri"/>
          <w:b/>
          <w:color w:val="1B3A4B"/>
          <w:sz w:val="20"/>
        </w:rPr>
        <w:t xml:space="preserve">European Union: </w:t>
      </w:r>
      <w:r>
        <w:rPr>
          <w:rFonts w:ascii="Calibri" w:hAnsi="Calibri"/>
          <w:color w:val="22333B"/>
          <w:sz w:val="20"/>
        </w:rPr>
        <w:t>A notified body certifies you against the General Safety and Performance Requirements. The question is absolute: do you meet the requirements?</w:t>
      </w:r>
    </w:p>
    <w:p>
      <w:pPr>
        <w:pStyle w:val="ListBullet"/>
        <w:spacing w:after="50" w:line="254" w:lineRule="auto"/>
        <w:ind w:left="576"/>
      </w:pPr>
      <w:r>
        <w:rPr>
          <w:rFonts w:ascii="Calibri" w:hAnsi="Calibri"/>
          <w:b/>
          <w:color w:val="1B3A4B"/>
          <w:sz w:val="20"/>
        </w:rPr>
        <w:t xml:space="preserve">Great Britain: </w:t>
      </w:r>
      <w:r>
        <w:rPr>
          <w:rFonts w:ascii="Calibri" w:hAnsi="Calibri"/>
          <w:color w:val="22333B"/>
          <w:sz w:val="20"/>
        </w:rPr>
        <w:t>A UK Approved Body assesses against the UK MDR 2002 — the same model, an older rule set. And CE marking is still accepted.</w:t>
      </w:r>
    </w:p>
    <w:p>
      <w:pPr>
        <w:pStyle w:val="ListBullet"/>
        <w:spacing w:after="50" w:line="254" w:lineRule="auto"/>
        <w:ind w:left="576"/>
      </w:pPr>
      <w:r>
        <w:rPr>
          <w:rFonts w:ascii="Calibri" w:hAnsi="Calibri"/>
          <w:b/>
          <w:color w:val="1B3A4B"/>
          <w:sz w:val="20"/>
        </w:rPr>
        <w:t xml:space="preserve">Japan: </w:t>
      </w:r>
      <w:r>
        <w:rPr>
          <w:rFonts w:ascii="Calibri" w:hAnsi="Calibri"/>
          <w:color w:val="22333B"/>
          <w:sz w:val="20"/>
        </w:rPr>
        <w:t>A Registered Certification Body certifies where a certification standard exists; otherwise PMDA reviews and MHLW approves.</w:t>
      </w:r>
    </w:p>
    <w:p>
      <w:pPr>
        <w:keepNext/>
        <w:spacing w:after="40" w:before="140"/>
      </w:pPr>
      <w:r>
        <w:rPr>
          <w:rFonts w:ascii="Calibri" w:hAnsi="Calibri"/>
          <w:b/>
          <w:color w:val="0E7C7B"/>
          <w:sz w:val="21"/>
        </w:rPr>
        <w:t>What transfers, and what does not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896"/>
        <w:gridCol w:w="4896"/>
      </w:tblGrid>
      <w:tr>
        <w:trPr>
          <w:cantSplit/>
        </w:trPr>
        <w:tc>
          <w:tcPr>
            <w:tcW w:type="dxa" w:w="4896"/>
            <w:shd w:val="clear" w:color="auto" w:fill="1B3A4B"/>
          </w:tcPr>
          <w:p>
            <w:pPr>
              <w:spacing w:after="40" w:before="40"/>
            </w:pPr>
            <w:r/>
            <w:r>
              <w:rPr>
                <w:rFonts w:ascii="Calibri" w:hAnsi="Calibri"/>
                <w:b/>
                <w:i w:val="0"/>
                <w:color w:val="FFFFFF"/>
                <w:sz w:val="18"/>
              </w:rPr>
              <w:t>Travels well — build once</w:t>
            </w:r>
          </w:p>
        </w:tc>
        <w:tc>
          <w:tcPr>
            <w:tcW w:type="dxa" w:w="4896"/>
            <w:shd w:val="clear" w:color="auto" w:fill="1B3A4B"/>
          </w:tcPr>
          <w:p>
            <w:pPr>
              <w:spacing w:after="40" w:before="40"/>
            </w:pPr>
            <w:r/>
            <w:r>
              <w:rPr>
                <w:rFonts w:ascii="Calibri" w:hAnsi="Calibri"/>
                <w:b/>
                <w:i w:val="0"/>
                <w:color w:val="FFFFFF"/>
                <w:sz w:val="18"/>
              </w:rPr>
              <w:t>Does not travel — budget for each</w:t>
            </w:r>
          </w:p>
        </w:tc>
      </w:tr>
      <w:tr>
        <w:trPr>
          <w:cantSplit/>
        </w:trPr>
        <w:tc>
          <w:tcPr>
            <w:tcW w:type="dxa" w:w="4896"/>
          </w:tcPr>
          <w:p>
            <w:pPr>
              <w:spacing w:after="40" w:before="40"/>
            </w:pPr>
            <w:r/>
            <w:r>
              <w:rPr>
                <w:rFonts w:ascii="Calibri" w:hAnsi="Calibri"/>
                <w:b w:val="0"/>
                <w:i w:val="0"/>
                <w:color w:val="22333B"/>
                <w:sz w:val="18"/>
              </w:rPr>
              <w:t>Bench and performance testing</w:t>
            </w:r>
          </w:p>
          <w:p>
            <w:pPr>
              <w:spacing w:after="40"/>
            </w:pPr>
            <w:r>
              <w:rPr>
                <w:rFonts w:ascii="Calibri" w:hAnsi="Calibri"/>
                <w:b w:val="0"/>
                <w:i w:val="0"/>
                <w:color w:val="22333B"/>
                <w:sz w:val="18"/>
              </w:rPr>
              <w:t>Biocompatibility (ISO 10993)</w:t>
            </w:r>
          </w:p>
          <w:p>
            <w:pPr>
              <w:spacing w:after="40"/>
            </w:pPr>
            <w:r>
              <w:rPr>
                <w:rFonts w:ascii="Calibri" w:hAnsi="Calibri"/>
                <w:b w:val="0"/>
                <w:i w:val="0"/>
                <w:color w:val="22333B"/>
                <w:sz w:val="18"/>
              </w:rPr>
              <w:t>The ISO 14971 risk management file</w:t>
            </w:r>
          </w:p>
          <w:p>
            <w:pPr>
              <w:spacing w:after="40"/>
            </w:pPr>
            <w:r>
              <w:rPr>
                <w:rFonts w:ascii="Calibri" w:hAnsi="Calibri"/>
                <w:b w:val="0"/>
                <w:i w:val="0"/>
                <w:color w:val="22333B"/>
                <w:sz w:val="18"/>
              </w:rPr>
              <w:t>Software lifecycle evidence (IEC 62304)</w:t>
            </w:r>
          </w:p>
          <w:p>
            <w:pPr>
              <w:spacing w:after="40"/>
            </w:pPr>
            <w:r>
              <w:rPr>
                <w:rFonts w:ascii="Calibri" w:hAnsi="Calibri"/>
                <w:b w:val="0"/>
                <w:i w:val="0"/>
                <w:color w:val="22333B"/>
                <w:sz w:val="18"/>
              </w:rPr>
              <w:t>One ISO 13485 quality system</w:t>
            </w:r>
          </w:p>
        </w:tc>
        <w:tc>
          <w:tcPr>
            <w:tcW w:type="dxa" w:w="4896"/>
          </w:tcPr>
          <w:p>
            <w:pPr>
              <w:spacing w:after="40" w:before="40"/>
            </w:pPr>
            <w:r/>
            <w:r>
              <w:rPr>
                <w:rFonts w:ascii="Calibri" w:hAnsi="Calibri"/>
                <w:b w:val="0"/>
                <w:i w:val="0"/>
                <w:color w:val="22333B"/>
                <w:sz w:val="18"/>
              </w:rPr>
              <w:t>The classification determination — four separate analyses</w:t>
            </w:r>
          </w:p>
          <w:p>
            <w:pPr>
              <w:spacing w:after="40"/>
            </w:pPr>
            <w:r>
              <w:rPr>
                <w:rFonts w:ascii="Calibri" w:hAnsi="Calibri"/>
                <w:b w:val="0"/>
                <w:i w:val="0"/>
                <w:color w:val="22333B"/>
                <w:sz w:val="18"/>
              </w:rPr>
              <w:t>The submission dossier itself</w:t>
            </w:r>
          </w:p>
          <w:p>
            <w:pPr>
              <w:spacing w:after="40"/>
            </w:pPr>
            <w:r>
              <w:rPr>
                <w:rFonts w:ascii="Calibri" w:hAnsi="Calibri"/>
                <w:b w:val="0"/>
                <w:i w:val="0"/>
                <w:color w:val="22333B"/>
                <w:sz w:val="18"/>
              </w:rPr>
              <w:t>Clinical evidence sufficiency</w:t>
            </w:r>
          </w:p>
          <w:p>
            <w:pPr>
              <w:spacing w:after="40"/>
            </w:pPr>
            <w:r>
              <w:rPr>
                <w:rFonts w:ascii="Calibri" w:hAnsi="Calibri"/>
                <w:b w:val="0"/>
                <w:i w:val="0"/>
                <w:color w:val="22333B"/>
                <w:sz w:val="18"/>
              </w:rPr>
              <w:t>Labelling and language</w:t>
            </w:r>
          </w:p>
          <w:p>
            <w:pPr>
              <w:spacing w:after="40"/>
            </w:pPr>
            <w:r>
              <w:rPr>
                <w:rFonts w:ascii="Calibri" w:hAnsi="Calibri"/>
                <w:b w:val="0"/>
                <w:i w:val="0"/>
                <w:color w:val="22333B"/>
                <w:sz w:val="18"/>
              </w:rPr>
              <w:t>The local representative</w:t>
            </w:r>
          </w:p>
        </w:tc>
      </w:tr>
    </w:tbl>
    <w:p>
      <w:pPr>
        <w:spacing w:after="100"/>
      </w:pPr>
      <w:r>
        <w:rPr>
          <w:rFonts w:ascii="Calibri" w:hAnsi="Calibri"/>
          <w:b w:val="0"/>
          <w:i/>
          <w:color w:val="A83A3C"/>
          <w:sz w:val="18"/>
        </w:rPr>
        <w:t>Caveat: each regulator keeps its own list of recognised standards, and they are not synchronised. Check the list before you book the test.</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The decision upstream of all four</w:t>
            </w:r>
          </w:p>
          <w:p>
            <w:pPr>
              <w:spacing w:after="80"/>
            </w:pPr>
            <w:r>
              <w:rPr>
                <w:rFonts w:ascii="Calibri" w:hAnsi="Calibri"/>
                <w:color w:val="22333B"/>
                <w:sz w:val="19"/>
              </w:rPr>
              <w:t>One sentence — the intended purpose — determines your class in four jurisdictions, your evidence burden and your route. Test: could two competent regulatory professionals, reading only that sentence, classify the device the same way in the EU? If not, it is not finished.</w:t>
            </w:r>
          </w:p>
        </w:tc>
      </w:tr>
    </w:tbl>
    <w:p>
      <w:pPr>
        <w:spacing w:after="100" w:before="0" w:line="240" w:lineRule="auto"/>
      </w:pPr>
      <w:r>
        <w:rPr>
          <w:sz w:val="2"/>
        </w:rPr>
      </w:r>
    </w:p>
    <w:p>
      <w:pPr>
        <w:keepNext/>
        <w:spacing w:after="60"/>
      </w:pPr>
      <w:r>
        <w:rPr>
          <w:rFonts w:ascii="Calibri" w:hAnsi="Calibri"/>
          <w:b w:val="0"/>
          <w:i/>
          <w:color w:val="4E626D"/>
          <w:sz w:val="18"/>
        </w:rPr>
        <w:t>Notes — what applies to my product: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PART TWO</w:t>
      </w:r>
    </w:p>
    <w:p>
      <w:pPr>
        <w:spacing w:after="80" w:before="0"/>
      </w:pPr>
      <w:r>
        <w:rPr>
          <w:rFonts w:ascii="Cambria" w:hAnsi="Cambria"/>
          <w:b/>
          <w:color w:val="1B3A4B"/>
          <w:sz w:val="36"/>
        </w:rPr>
        <w:t>Part 2 — EU MDR</w:t>
      </w:r>
    </w:p>
    <w:p>
      <w:pPr>
        <w:spacing w:before="120" w:after="160"/>
        <w:pBdr>
          <w:bottom w:val="single" w:sz="6" w:space="1" w:color="D7E2E5"/>
        </w:pBdr>
      </w:pPr>
    </w:p>
    <w:p>
      <w:pPr>
        <w:keepNext/>
        <w:spacing w:after="40" w:before="0"/>
      </w:pPr>
      <w:r>
        <w:rPr>
          <w:rFonts w:ascii="Calibri" w:hAnsi="Calibri"/>
          <w:b/>
          <w:color w:val="0E7C7B"/>
          <w:sz w:val="21"/>
        </w:rPr>
        <w:t>Annex VIII: what actually moves the class</w:t>
      </w:r>
    </w:p>
    <w:p>
      <w:pPr>
        <w:pStyle w:val="ListBullet"/>
        <w:spacing w:after="50" w:line="254" w:lineRule="auto"/>
        <w:ind w:left="576"/>
      </w:pPr>
      <w:r>
        <w:rPr>
          <w:rFonts w:ascii="Calibri" w:hAnsi="Calibri"/>
          <w:b/>
          <w:color w:val="1B3A4B"/>
          <w:sz w:val="20"/>
        </w:rPr>
        <w:t xml:space="preserve">Duration of contact: </w:t>
      </w:r>
      <w:r>
        <w:rPr>
          <w:rFonts w:ascii="Calibri" w:hAnsi="Calibri"/>
          <w:color w:val="22333B"/>
          <w:sz w:val="20"/>
        </w:rPr>
        <w:t>transient is under 60 minutes; short term is 60 minutes to 30 days; long term is over 30 days.</w:t>
      </w:r>
    </w:p>
    <w:p>
      <w:pPr>
        <w:pStyle w:val="ListBullet"/>
        <w:spacing w:after="50" w:line="254" w:lineRule="auto"/>
        <w:ind w:left="576"/>
      </w:pPr>
      <w:r>
        <w:rPr>
          <w:rFonts w:ascii="Calibri" w:hAnsi="Calibri"/>
          <w:b/>
          <w:color w:val="1B3A4B"/>
          <w:sz w:val="20"/>
        </w:rPr>
        <w:t xml:space="preserve">Invasiveness: </w:t>
      </w:r>
      <w:r>
        <w:rPr>
          <w:rFonts w:ascii="Calibri" w:hAnsi="Calibri"/>
          <w:color w:val="22333B"/>
          <w:sz w:val="20"/>
        </w:rPr>
        <w:t>body orifice versus surgically invasive, and whether it reaches the central circulatory or central nervous system.</w:t>
      </w:r>
    </w:p>
    <w:p>
      <w:pPr>
        <w:pStyle w:val="ListBullet"/>
        <w:spacing w:after="50" w:line="254" w:lineRule="auto"/>
        <w:ind w:left="576"/>
      </w:pPr>
      <w:r>
        <w:rPr>
          <w:rFonts w:ascii="Calibri" w:hAnsi="Calibri"/>
          <w:b/>
          <w:color w:val="1B3A4B"/>
          <w:sz w:val="20"/>
        </w:rPr>
        <w:t xml:space="preserve">Active or not: </w:t>
      </w:r>
      <w:r>
        <w:rPr>
          <w:rFonts w:ascii="Calibri" w:hAnsi="Calibri"/>
          <w:color w:val="22333B"/>
          <w:sz w:val="20"/>
        </w:rPr>
        <w:t>whether it depends on a source of energy, and whether it administers or exchanges energy, or supports or sustains life.</w:t>
      </w:r>
    </w:p>
    <w:p>
      <w:pPr>
        <w:pStyle w:val="ListBullet"/>
        <w:spacing w:after="50" w:line="254" w:lineRule="auto"/>
        <w:ind w:left="576"/>
      </w:pPr>
      <w:r>
        <w:rPr>
          <w:rFonts w:ascii="Calibri" w:hAnsi="Calibri"/>
          <w:b/>
          <w:color w:val="1B3A4B"/>
          <w:sz w:val="20"/>
        </w:rPr>
        <w:t xml:space="preserve">Clinical claim: </w:t>
      </w:r>
      <w:r>
        <w:rPr>
          <w:rFonts w:ascii="Calibri" w:hAnsi="Calibri"/>
          <w:color w:val="22333B"/>
          <w:sz w:val="20"/>
        </w:rPr>
        <w:t>diagnosis, monitoring, driving clinical management. This is where Rule 11 lives.</w:t>
      </w:r>
    </w:p>
    <w:p>
      <w:pPr>
        <w:spacing w:after="100"/>
      </w:pPr>
      <w:r>
        <w:rPr>
          <w:rFonts w:ascii="Calibri" w:hAnsi="Calibri"/>
          <w:b w:val="0"/>
          <w:i/>
          <w:color w:val="1B3A4B"/>
          <w:sz w:val="19"/>
        </w:rPr>
        <w:t>And apply the implementing rules in Chapter II first: accessories and software classify in their own right, and where several rules apply, the strictest wins.</w:t>
      </w:r>
    </w:p>
    <w:p>
      <w:pPr>
        <w:keepNext/>
        <w:spacing w:after="40" w:before="140"/>
      </w:pPr>
      <w:r>
        <w:rPr>
          <w:rFonts w:ascii="Calibri" w:hAnsi="Calibri"/>
          <w:b/>
          <w:color w:val="0E7C7B"/>
          <w:sz w:val="21"/>
        </w:rPr>
        <w:t>Rule 11 — software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8063"/>
        <w:gridCol w:w="1728"/>
      </w:tblGrid>
      <w:tr>
        <w:trPr>
          <w:cantSplit/>
          <w:tblHeader/>
        </w:trPr>
        <w:tc>
          <w:tcPr>
            <w:tcW w:type="dxa" w:w="8064"/>
            <w:shd w:val="clear" w:color="auto" w:fill="1B3A4B"/>
          </w:tcPr>
          <w:p>
            <w:pPr>
              <w:spacing w:after="40" w:before="40"/>
            </w:pPr>
            <w:r/>
            <w:r>
              <w:rPr>
                <w:rFonts w:ascii="Calibri" w:hAnsi="Calibri"/>
                <w:b/>
                <w:i w:val="0"/>
                <w:color w:val="FFFFFF"/>
                <w:sz w:val="18"/>
              </w:rPr>
              <w:t>What the software does</w:t>
            </w:r>
          </w:p>
        </w:tc>
        <w:tc>
          <w:tcPr>
            <w:tcW w:type="dxa" w:w="1728"/>
            <w:shd w:val="clear" w:color="auto" w:fill="1B3A4B"/>
          </w:tcPr>
          <w:p>
            <w:pPr>
              <w:spacing w:after="40" w:before="40"/>
            </w:pPr>
            <w:r/>
            <w:r>
              <w:rPr>
                <w:rFonts w:ascii="Calibri" w:hAnsi="Calibri"/>
                <w:b/>
                <w:i w:val="0"/>
                <w:color w:val="FFFFFF"/>
                <w:sz w:val="18"/>
              </w:rPr>
              <w:t>Class</w:t>
            </w:r>
          </w:p>
        </w:tc>
      </w:tr>
      <w:tr>
        <w:trPr>
          <w:cantSplit/>
        </w:trPr>
        <w:tc>
          <w:tcPr>
            <w:tcW w:type="dxa" w:w="8064"/>
          </w:tcPr>
          <w:p>
            <w:pPr>
              <w:spacing w:after="40" w:before="40"/>
            </w:pPr>
            <w:r/>
            <w:r>
              <w:rPr>
                <w:rFonts w:ascii="Calibri" w:hAnsi="Calibri"/>
                <w:b w:val="0"/>
                <w:i w:val="0"/>
                <w:color w:val="22333B"/>
                <w:sz w:val="18"/>
              </w:rPr>
              <w:t>Provides information used to take decisions for diagnostic or therapeutic purposes</w:t>
            </w:r>
          </w:p>
        </w:tc>
        <w:tc>
          <w:tcPr>
            <w:tcW w:type="dxa" w:w="1728"/>
          </w:tcPr>
          <w:p>
            <w:pPr>
              <w:spacing w:after="40" w:before="40"/>
            </w:pPr>
            <w:r/>
            <w:r>
              <w:rPr>
                <w:rFonts w:ascii="Calibri" w:hAnsi="Calibri"/>
                <w:b/>
                <w:i w:val="0"/>
                <w:color w:val="C77C1E"/>
                <w:sz w:val="18"/>
              </w:rPr>
              <w:t>IIa</w:t>
            </w:r>
          </w:p>
        </w:tc>
      </w:tr>
      <w:tr>
        <w:trPr>
          <w:cantSplit/>
        </w:trPr>
        <w:tc>
          <w:tcPr>
            <w:tcW w:type="dxa" w:w="8064"/>
          </w:tcPr>
          <w:p>
            <w:pPr>
              <w:spacing w:after="40" w:before="40"/>
            </w:pPr>
            <w:r/>
            <w:r>
              <w:rPr>
                <w:rFonts w:ascii="Calibri" w:hAnsi="Calibri"/>
                <w:b w:val="0"/>
                <w:i w:val="0"/>
                <w:color w:val="22333B"/>
                <w:sz w:val="18"/>
              </w:rPr>
              <w:t>… and those decisions may cause death or irreversible deterioration of health</w:t>
            </w:r>
          </w:p>
        </w:tc>
        <w:tc>
          <w:tcPr>
            <w:tcW w:type="dxa" w:w="1728"/>
          </w:tcPr>
          <w:p>
            <w:pPr>
              <w:spacing w:after="40" w:before="40"/>
            </w:pPr>
            <w:r/>
            <w:r>
              <w:rPr>
                <w:rFonts w:ascii="Calibri" w:hAnsi="Calibri"/>
                <w:b/>
                <w:i w:val="0"/>
                <w:color w:val="A83A3C"/>
                <w:sz w:val="18"/>
              </w:rPr>
              <w:t>III</w:t>
            </w:r>
          </w:p>
        </w:tc>
      </w:tr>
      <w:tr>
        <w:trPr>
          <w:cantSplit/>
        </w:trPr>
        <w:tc>
          <w:tcPr>
            <w:tcW w:type="dxa" w:w="8064"/>
          </w:tcPr>
          <w:p>
            <w:pPr>
              <w:spacing w:after="40" w:before="40"/>
            </w:pPr>
            <w:r/>
            <w:r>
              <w:rPr>
                <w:rFonts w:ascii="Calibri" w:hAnsi="Calibri"/>
                <w:b w:val="0"/>
                <w:i w:val="0"/>
                <w:color w:val="22333B"/>
                <w:sz w:val="18"/>
              </w:rPr>
              <w:t>… or may cause serious deterioration of health, or a surgical intervention</w:t>
            </w:r>
          </w:p>
        </w:tc>
        <w:tc>
          <w:tcPr>
            <w:tcW w:type="dxa" w:w="1728"/>
          </w:tcPr>
          <w:p>
            <w:pPr>
              <w:spacing w:after="40" w:before="40"/>
            </w:pPr>
            <w:r/>
            <w:r>
              <w:rPr>
                <w:rFonts w:ascii="Calibri" w:hAnsi="Calibri"/>
                <w:b/>
                <w:i w:val="0"/>
                <w:color w:val="8A6D1F"/>
                <w:sz w:val="18"/>
              </w:rPr>
              <w:t>IIb</w:t>
            </w:r>
          </w:p>
        </w:tc>
      </w:tr>
      <w:tr>
        <w:trPr>
          <w:cantSplit/>
        </w:trPr>
        <w:tc>
          <w:tcPr>
            <w:tcW w:type="dxa" w:w="8064"/>
          </w:tcPr>
          <w:p>
            <w:pPr>
              <w:spacing w:after="40" w:before="40"/>
            </w:pPr>
            <w:r/>
            <w:r>
              <w:rPr>
                <w:rFonts w:ascii="Calibri" w:hAnsi="Calibri"/>
                <w:b w:val="0"/>
                <w:i w:val="0"/>
                <w:color w:val="22333B"/>
                <w:sz w:val="18"/>
              </w:rPr>
              <w:t>Intended to monitor physiological processes</w:t>
            </w:r>
          </w:p>
        </w:tc>
        <w:tc>
          <w:tcPr>
            <w:tcW w:type="dxa" w:w="1728"/>
          </w:tcPr>
          <w:p>
            <w:pPr>
              <w:spacing w:after="40" w:before="40"/>
            </w:pPr>
            <w:r/>
            <w:r>
              <w:rPr>
                <w:rFonts w:ascii="Calibri" w:hAnsi="Calibri"/>
                <w:b/>
                <w:i w:val="0"/>
                <w:color w:val="C77C1E"/>
                <w:sz w:val="18"/>
              </w:rPr>
              <w:t>IIa</w:t>
            </w:r>
          </w:p>
        </w:tc>
      </w:tr>
      <w:tr>
        <w:trPr>
          <w:cantSplit/>
        </w:trPr>
        <w:tc>
          <w:tcPr>
            <w:tcW w:type="dxa" w:w="8064"/>
          </w:tcPr>
          <w:p>
            <w:pPr>
              <w:spacing w:after="40" w:before="40"/>
            </w:pPr>
            <w:r/>
            <w:r>
              <w:rPr>
                <w:rFonts w:ascii="Calibri" w:hAnsi="Calibri"/>
                <w:b w:val="0"/>
                <w:i w:val="0"/>
                <w:color w:val="22333B"/>
                <w:sz w:val="18"/>
              </w:rPr>
              <w:t>… where the parameters are vital and variation could cause immediate danger</w:t>
            </w:r>
          </w:p>
        </w:tc>
        <w:tc>
          <w:tcPr>
            <w:tcW w:type="dxa" w:w="1728"/>
          </w:tcPr>
          <w:p>
            <w:pPr>
              <w:spacing w:after="40" w:before="40"/>
            </w:pPr>
            <w:r/>
            <w:r>
              <w:rPr>
                <w:rFonts w:ascii="Calibri" w:hAnsi="Calibri"/>
                <w:b/>
                <w:i w:val="0"/>
                <w:color w:val="8A6D1F"/>
                <w:sz w:val="18"/>
              </w:rPr>
              <w:t>IIb</w:t>
            </w:r>
          </w:p>
        </w:tc>
      </w:tr>
      <w:tr>
        <w:trPr>
          <w:cantSplit/>
        </w:trPr>
        <w:tc>
          <w:tcPr>
            <w:tcW w:type="dxa" w:w="8064"/>
          </w:tcPr>
          <w:p>
            <w:pPr>
              <w:spacing w:after="40" w:before="40"/>
            </w:pPr>
            <w:r/>
            <w:r>
              <w:rPr>
                <w:rFonts w:ascii="Calibri" w:hAnsi="Calibri"/>
                <w:b w:val="0"/>
                <w:i w:val="0"/>
                <w:color w:val="22333B"/>
                <w:sz w:val="18"/>
              </w:rPr>
              <w:t>All other software</w:t>
            </w:r>
          </w:p>
        </w:tc>
        <w:tc>
          <w:tcPr>
            <w:tcW w:type="dxa" w:w="1728"/>
          </w:tcPr>
          <w:p>
            <w:pPr>
              <w:spacing w:after="40" w:before="40"/>
            </w:pPr>
            <w:r/>
            <w:r>
              <w:rPr>
                <w:rFonts w:ascii="Calibri" w:hAnsi="Calibri"/>
                <w:b/>
                <w:i w:val="0"/>
                <w:color w:val="0E7C7B"/>
                <w:sz w:val="18"/>
              </w:rPr>
              <w:t>I</w:t>
            </w:r>
          </w:p>
        </w:tc>
      </w:tr>
    </w:tbl>
    <w:p>
      <w:pPr>
        <w:spacing w:after="100"/>
      </w:pPr>
      <w:r>
        <w:rPr>
          <w:rFonts w:ascii="Calibri" w:hAnsi="Calibri"/>
          <w:b/>
          <w:i w:val="0"/>
          <w:color w:val="1B3A4B"/>
          <w:sz w:val="19"/>
        </w:rPr>
        <w:t>Rule 11 turns on the CONSEQUENCE of the decision the software informs, not on how the software works. A simple rules engine and a deep learning model making the same clinical claim classify identically.</w:t>
      </w:r>
    </w:p>
    <w:p>
      <w:pPr>
        <w:keepNext/>
        <w:spacing w:after="40" w:before="140"/>
      </w:pPr>
      <w:r>
        <w:rPr>
          <w:rFonts w:ascii="Calibri" w:hAnsi="Calibri"/>
          <w:b/>
          <w:color w:val="0E7C7B"/>
          <w:sz w:val="21"/>
        </w:rPr>
        <w:t>Class IIa and IIb — what differs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736"/>
        <w:gridCol w:w="3456"/>
        <w:gridCol w:w="3600"/>
      </w:tblGrid>
      <w:tr>
        <w:trPr>
          <w:cantSplit/>
        </w:trPr>
        <w:tc>
          <w:tcPr>
            <w:tcW w:type="dxa" w:w="2736"/>
            <w:shd w:val="clear" w:color="auto" w:fill="1B3A4B"/>
          </w:tcPr>
          <w:p>
            <w:pPr>
              <w:spacing w:after="40" w:before="40"/>
            </w:pPr>
            <w:r/>
            <w:r>
              <w:rPr>
                <w:rFonts w:ascii="Calibri" w:hAnsi="Calibri"/>
                <w:b/>
                <w:i w:val="0"/>
                <w:color w:val="FFFFFF"/>
                <w:sz w:val="18"/>
              </w:rPr>
            </w:r>
          </w:p>
        </w:tc>
        <w:tc>
          <w:tcPr>
            <w:tcW w:type="dxa" w:w="3456"/>
            <w:shd w:val="clear" w:color="auto" w:fill="1B3A4B"/>
          </w:tcPr>
          <w:p>
            <w:pPr>
              <w:spacing w:after="40" w:before="40"/>
            </w:pPr>
            <w:r/>
            <w:r>
              <w:rPr>
                <w:rFonts w:ascii="Calibri" w:hAnsi="Calibri"/>
                <w:b/>
                <w:i w:val="0"/>
                <w:color w:val="FFFFFF"/>
                <w:sz w:val="18"/>
              </w:rPr>
              <w:t>Class IIa</w:t>
            </w:r>
          </w:p>
        </w:tc>
        <w:tc>
          <w:tcPr>
            <w:tcW w:type="dxa" w:w="3600"/>
            <w:shd w:val="clear" w:color="auto" w:fill="1B3A4B"/>
          </w:tcPr>
          <w:p>
            <w:pPr>
              <w:spacing w:after="40" w:before="40"/>
            </w:pPr>
            <w:r/>
            <w:r>
              <w:rPr>
                <w:rFonts w:ascii="Calibri" w:hAnsi="Calibri"/>
                <w:b/>
                <w:i w:val="0"/>
                <w:color w:val="FFFFFF"/>
                <w:sz w:val="18"/>
              </w:rPr>
              <w:t>Class IIb</w:t>
            </w:r>
          </w:p>
        </w:tc>
      </w:tr>
      <w:tr>
        <w:trPr>
          <w:cantSplit/>
        </w:trPr>
        <w:tc>
          <w:tcPr>
            <w:tcW w:type="dxa" w:w="2736"/>
          </w:tcPr>
          <w:p>
            <w:pPr>
              <w:spacing w:after="40" w:before="40"/>
            </w:pPr>
            <w:r/>
            <w:r>
              <w:rPr>
                <w:rFonts w:ascii="Calibri" w:hAnsi="Calibri"/>
                <w:b/>
                <w:i w:val="0"/>
                <w:color w:val="22333B"/>
                <w:sz w:val="18"/>
              </w:rPr>
              <w:t>Technical documentation assessment</w:t>
            </w:r>
          </w:p>
        </w:tc>
        <w:tc>
          <w:tcPr>
            <w:tcW w:type="dxa" w:w="3456"/>
          </w:tcPr>
          <w:p>
            <w:pPr>
              <w:spacing w:after="40" w:before="40"/>
            </w:pPr>
            <w:r/>
            <w:r>
              <w:rPr>
                <w:rFonts w:ascii="Calibri" w:hAnsi="Calibri"/>
                <w:b w:val="0"/>
                <w:i w:val="0"/>
                <w:color w:val="22333B"/>
                <w:sz w:val="18"/>
              </w:rPr>
              <w:t>Representative basis — at least one device per category</w:t>
            </w:r>
          </w:p>
        </w:tc>
        <w:tc>
          <w:tcPr>
            <w:tcW w:type="dxa" w:w="3600"/>
          </w:tcPr>
          <w:p>
            <w:pPr>
              <w:spacing w:after="40" w:before="40"/>
            </w:pPr>
            <w:r/>
            <w:r>
              <w:rPr>
                <w:rFonts w:ascii="Calibri" w:hAnsi="Calibri"/>
                <w:b w:val="0"/>
                <w:i w:val="0"/>
                <w:color w:val="22333B"/>
                <w:sz w:val="18"/>
              </w:rPr>
              <w:t>Representative basis — at least one per generic device group, which is narrower</w:t>
            </w:r>
          </w:p>
        </w:tc>
      </w:tr>
      <w:tr>
        <w:trPr>
          <w:cantSplit/>
        </w:trPr>
        <w:tc>
          <w:tcPr>
            <w:tcW w:type="dxa" w:w="2736"/>
          </w:tcPr>
          <w:p>
            <w:pPr>
              <w:spacing w:after="40" w:before="40"/>
            </w:pPr>
            <w:r/>
            <w:r>
              <w:rPr>
                <w:rFonts w:ascii="Calibri" w:hAnsi="Calibri"/>
                <w:b/>
                <w:i w:val="0"/>
                <w:color w:val="22333B"/>
                <w:sz w:val="18"/>
              </w:rPr>
              <w:t>PSUR</w:t>
            </w:r>
          </w:p>
        </w:tc>
        <w:tc>
          <w:tcPr>
            <w:tcW w:type="dxa" w:w="3456"/>
          </w:tcPr>
          <w:p>
            <w:pPr>
              <w:spacing w:after="40" w:before="40"/>
            </w:pPr>
            <w:r/>
            <w:r>
              <w:rPr>
                <w:rFonts w:ascii="Calibri" w:hAnsi="Calibri"/>
                <w:b w:val="0"/>
                <w:i w:val="0"/>
                <w:color w:val="22333B"/>
                <w:sz w:val="18"/>
              </w:rPr>
              <w:t>At least every two years</w:t>
            </w:r>
          </w:p>
        </w:tc>
        <w:tc>
          <w:tcPr>
            <w:tcW w:type="dxa" w:w="3600"/>
          </w:tcPr>
          <w:p>
            <w:pPr>
              <w:spacing w:after="40" w:before="40"/>
            </w:pPr>
            <w:r/>
            <w:r>
              <w:rPr>
                <w:rFonts w:ascii="Calibri" w:hAnsi="Calibri"/>
                <w:b w:val="0"/>
                <w:i w:val="0"/>
                <w:color w:val="22333B"/>
                <w:sz w:val="18"/>
              </w:rPr>
              <w:t>At least annually</w:t>
            </w:r>
          </w:p>
        </w:tc>
      </w:tr>
      <w:tr>
        <w:trPr>
          <w:cantSplit/>
        </w:trPr>
        <w:tc>
          <w:tcPr>
            <w:tcW w:type="dxa" w:w="2736"/>
          </w:tcPr>
          <w:p>
            <w:pPr>
              <w:spacing w:after="40" w:before="40"/>
            </w:pPr>
            <w:r/>
            <w:r>
              <w:rPr>
                <w:rFonts w:ascii="Calibri" w:hAnsi="Calibri"/>
                <w:b/>
                <w:i w:val="0"/>
                <w:color w:val="22333B"/>
                <w:sz w:val="18"/>
              </w:rPr>
              <w:t>Implantables</w:t>
            </w:r>
          </w:p>
        </w:tc>
        <w:tc>
          <w:tcPr>
            <w:tcW w:type="dxa" w:w="3456"/>
          </w:tcPr>
          <w:p>
            <w:pPr>
              <w:spacing w:after="40" w:before="40"/>
            </w:pPr>
            <w:r/>
            <w:r>
              <w:rPr>
                <w:rFonts w:ascii="Calibri" w:hAnsi="Calibri"/>
                <w:b w:val="0"/>
                <w:i w:val="0"/>
                <w:color w:val="22333B"/>
                <w:sz w:val="18"/>
              </w:rPr>
              <w:t>Not usually applicable</w:t>
            </w:r>
          </w:p>
        </w:tc>
        <w:tc>
          <w:tcPr>
            <w:tcW w:type="dxa" w:w="3600"/>
          </w:tcPr>
          <w:p>
            <w:pPr>
              <w:spacing w:after="40" w:before="40"/>
            </w:pPr>
            <w:r/>
            <w:r>
              <w:rPr>
                <w:rFonts w:ascii="Calibri" w:hAnsi="Calibri"/>
                <w:b w:val="0"/>
                <w:i w:val="0"/>
                <w:color w:val="22333B"/>
                <w:sz w:val="18"/>
              </w:rPr>
              <w:t>Assessed device by device, with a listed set of exceptions</w:t>
            </w:r>
          </w:p>
        </w:tc>
      </w:tr>
    </w:tbl>
    <w:p>
      <w:pPr>
        <w:keepNext/>
        <w:spacing w:after="40" w:before="140"/>
      </w:pPr>
      <w:r>
        <w:rPr>
          <w:rFonts w:ascii="Calibri" w:hAnsi="Calibri"/>
          <w:b/>
          <w:color w:val="0E7C7B"/>
          <w:sz w:val="21"/>
        </w:rPr>
        <w:t>The clinical evidence squeeze</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Why the MDD equivalence route closed</w:t>
            </w:r>
          </w:p>
          <w:p>
            <w:pPr>
              <w:spacing w:after="80"/>
            </w:pPr>
            <w:r>
              <w:rPr>
                <w:rFonts w:ascii="Calibri" w:hAnsi="Calibri"/>
                <w:color w:val="22333B"/>
                <w:sz w:val="19"/>
              </w:rPr>
              <w:t>Under the MDD, a great many devices were carried by claiming equivalence to a competitor's device and citing its published literature.</w:t>
            </w:r>
          </w:p>
          <w:p>
            <w:pPr>
              <w:spacing w:after="80"/>
            </w:pPr>
            <w:r>
              <w:rPr>
                <w:rFonts w:ascii="Calibri" w:hAnsi="Calibri"/>
                <w:color w:val="22333B"/>
                <w:sz w:val="19"/>
              </w:rPr>
              <w:t>MDR did not ban equivalence — it made it impractical. Article 61(5) requires, where the equivalent device belongs to another manufacturer, a contract giving you full and ongoing access to their technical documentation. Your competitor will not sign it.</w:t>
            </w:r>
          </w:p>
          <w:p>
            <w:pPr>
              <w:spacing w:after="80"/>
            </w:pPr>
            <w:r>
              <w:rPr>
                <w:rFonts w:ascii="Calibri" w:hAnsi="Calibri"/>
                <w:color w:val="22333B"/>
                <w:sz w:val="19"/>
              </w:rPr>
              <w:t>The practical consequence: many devices that needed no clinical study under the MDD need PMCF data, a registry or an actual investigation under MDR. This is the largest gap between an FDA clearance and a CE certificate.</w:t>
            </w:r>
          </w:p>
        </w:tc>
      </w:tr>
    </w:tbl>
    <w:p>
      <w:pPr>
        <w:spacing w:after="100" w:before="0" w:line="240" w:lineRule="auto"/>
      </w:pPr>
      <w:r>
        <w:rPr>
          <w:sz w:val="2"/>
        </w:rPr>
      </w:r>
    </w:p>
    <w:p>
      <w:pPr>
        <w:keepNext/>
        <w:spacing w:after="40" w:before="140"/>
      </w:pPr>
      <w:r>
        <w:rPr>
          <w:rFonts w:ascii="Calibri" w:hAnsi="Calibri"/>
          <w:b/>
          <w:color w:val="0E7C7B"/>
          <w:sz w:val="21"/>
        </w:rPr>
        <w:t>The transition — Regulation (EU) 2023/607</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872"/>
        <w:gridCol w:w="7920"/>
      </w:tblGrid>
      <w:tr>
        <w:trPr>
          <w:cantSplit/>
        </w:trPr>
        <w:tc>
          <w:tcPr>
            <w:tcW w:type="dxa" w:w="1872"/>
            <w:shd w:val="clear" w:color="auto" w:fill="1B3A4B"/>
          </w:tcPr>
          <w:p>
            <w:pPr>
              <w:spacing w:after="40" w:before="40"/>
            </w:pPr>
            <w:r/>
            <w:r>
              <w:rPr>
                <w:rFonts w:ascii="Calibri" w:hAnsi="Calibri"/>
                <w:b/>
                <w:i w:val="0"/>
                <w:color w:val="FFFFFF"/>
                <w:sz w:val="18"/>
              </w:rPr>
              <w:t>Deadline</w:t>
            </w:r>
          </w:p>
        </w:tc>
        <w:tc>
          <w:tcPr>
            <w:tcW w:type="dxa" w:w="7920"/>
            <w:shd w:val="clear" w:color="auto" w:fill="1B3A4B"/>
          </w:tcPr>
          <w:p>
            <w:pPr>
              <w:spacing w:after="40" w:before="40"/>
            </w:pPr>
            <w:r/>
            <w:r>
              <w:rPr>
                <w:rFonts w:ascii="Calibri" w:hAnsi="Calibri"/>
                <w:b/>
                <w:i w:val="0"/>
                <w:color w:val="FFFFFF"/>
                <w:sz w:val="18"/>
              </w:rPr>
              <w:t>Applies to</w:t>
            </w:r>
          </w:p>
        </w:tc>
      </w:tr>
      <w:tr>
        <w:trPr>
          <w:cantSplit/>
        </w:trPr>
        <w:tc>
          <w:tcPr>
            <w:tcW w:type="dxa" w:w="1872"/>
          </w:tcPr>
          <w:p>
            <w:pPr>
              <w:spacing w:after="40" w:before="40"/>
            </w:pPr>
            <w:r/>
            <w:r>
              <w:rPr>
                <w:rFonts w:ascii="Calibri" w:hAnsi="Calibri"/>
                <w:b/>
                <w:i w:val="0"/>
                <w:color w:val="A83A3C"/>
                <w:sz w:val="18"/>
              </w:rPr>
              <w:t>31 Dec 2027</w:t>
            </w:r>
          </w:p>
        </w:tc>
        <w:tc>
          <w:tcPr>
            <w:tcW w:type="dxa" w:w="7920"/>
          </w:tcPr>
          <w:p>
            <w:pPr>
              <w:spacing w:after="40" w:before="40"/>
            </w:pPr>
            <w:r/>
            <w:r>
              <w:rPr>
                <w:rFonts w:ascii="Calibri" w:hAnsi="Calibri"/>
                <w:b w:val="0"/>
                <w:i w:val="0"/>
                <w:color w:val="22333B"/>
                <w:sz w:val="18"/>
              </w:rPr>
              <w:t>Class III, and Class IIb implantables — except sutures, staples, dental fillings, dental braces, tooth crowns, screws, wedges, plates, wires, pins, clips and connectors</w:t>
            </w:r>
          </w:p>
        </w:tc>
      </w:tr>
      <w:tr>
        <w:trPr>
          <w:cantSplit/>
        </w:trPr>
        <w:tc>
          <w:tcPr>
            <w:tcW w:type="dxa" w:w="1872"/>
          </w:tcPr>
          <w:p>
            <w:pPr>
              <w:spacing w:after="40" w:before="40"/>
            </w:pPr>
            <w:r/>
            <w:r>
              <w:rPr>
                <w:rFonts w:ascii="Calibri" w:hAnsi="Calibri"/>
                <w:b/>
                <w:i w:val="0"/>
                <w:color w:val="C77C1E"/>
                <w:sz w:val="18"/>
              </w:rPr>
              <w:t>31 Dec 2028</w:t>
            </w:r>
          </w:p>
        </w:tc>
        <w:tc>
          <w:tcPr>
            <w:tcW w:type="dxa" w:w="7920"/>
          </w:tcPr>
          <w:p>
            <w:pPr>
              <w:spacing w:after="40" w:before="40"/>
            </w:pPr>
            <w:r/>
            <w:r>
              <w:rPr>
                <w:rFonts w:ascii="Calibri" w:hAnsi="Calibri"/>
                <w:b w:val="0"/>
                <w:i w:val="0"/>
                <w:color w:val="22333B"/>
                <w:sz w:val="18"/>
              </w:rPr>
              <w:t>Other Class IIb, all Class IIa, and Class I placed on the market sterile, with a measuring function, or reusable surgical instruments</w:t>
            </w:r>
          </w:p>
        </w:tc>
      </w:tr>
    </w:tbl>
    <w:p>
      <w:pPr>
        <w:spacing w:after="100"/>
      </w:pPr>
      <w:r>
        <w:rPr>
          <w:rFonts w:ascii="Calibri" w:hAnsi="Calibri"/>
          <w:b w:val="0"/>
          <w:i w:val="0"/>
          <w:color w:val="22333B"/>
          <w:sz w:val="18"/>
        </w:rPr>
        <w:t>Conditions, all of which must hold: the device is a legacy device covered by a certificate or declaration of conformity issued under the directives before 26 May 2021; it still complies with that directive; there is no significant change in design or intended purpose; it presents no unacceptable risk; and by 26 May 2024 the manufacturer had an MDR Article 10(9) quality system and had lodged a formal application with a notified body, with a signed agreement by 26 September 2024.</w:t>
      </w:r>
    </w:p>
    <w:p>
      <w:pPr>
        <w:spacing w:after="100"/>
      </w:pPr>
      <w:r>
        <w:rPr>
          <w:rFonts w:ascii="Calibri" w:hAnsi="Calibri"/>
          <w:b/>
          <w:i w:val="0"/>
          <w:color w:val="A83A3C"/>
          <w:sz w:val="19"/>
        </w:rPr>
        <w:t>The extension is not a delay you can take. It is conditional relief you either qualified for by those 2024 dates, or did not.</w:t>
      </w:r>
    </w:p>
    <w:p>
      <w:pPr>
        <w:keepNext/>
        <w:spacing w:after="40" w:before="140"/>
      </w:pPr>
      <w:r>
        <w:rPr>
          <w:rFonts w:ascii="Calibri" w:hAnsi="Calibri"/>
          <w:b/>
          <w:color w:val="0E7C7B"/>
          <w:sz w:val="21"/>
        </w:rPr>
        <w:t>And what is only proposed</w:t>
      </w:r>
    </w:p>
    <w:p>
      <w:pPr>
        <w:spacing w:after="100"/>
      </w:pPr>
      <w:r>
        <w:rPr>
          <w:rFonts w:ascii="Calibri" w:hAnsi="Calibri"/>
          <w:b w:val="0"/>
          <w:i w:val="0"/>
          <w:color w:val="22333B"/>
          <w:sz w:val="19"/>
        </w:rPr>
        <w:t>COM(2025) 1023 final, 16 December 2025, procedure 2025/0404(COD) — a Commission proposal to simplify MDR and IVDR. Among other things it would reduce notified body involvement for Class IIa and IIb, remove the five-year certificate validity limit, loosen the clinical evidence and equivalence rules, adapt some classification rules downward including for software, and extend non-critical vigilance reporting from 15 to 30 days.</w:t>
      </w:r>
    </w:p>
    <w:p>
      <w:pPr>
        <w:spacing w:after="100"/>
      </w:pPr>
      <w:r>
        <w:rPr>
          <w:rFonts w:ascii="Calibri" w:hAnsi="Calibri"/>
          <w:b/>
          <w:i w:val="0"/>
          <w:color w:val="A83A3C"/>
          <w:sz w:val="19"/>
        </w:rPr>
        <w:t>It is a proposal under the ordinary legislative procedure. It is not law, it may change substantially, and it may fail. Track it; plan on current law until it is published in the Official Journal.</w:t>
      </w:r>
    </w:p>
    <w:p>
      <w:pPr>
        <w:pageBreakBefore/>
        <w:spacing w:after="40" w:before="0"/>
      </w:pPr>
      <w:r>
        <w:rPr>
          <w:rFonts w:ascii="Calibri" w:hAnsi="Calibri"/>
          <w:b/>
          <w:color w:val="A83A3C"/>
          <w:sz w:val="17"/>
          <w:spacing w:val="30"/>
        </w:rPr>
        <w:t>WORKING SESSION 1  ·  10 MINUTES</w:t>
      </w:r>
    </w:p>
    <w:p>
      <w:pPr>
        <w:spacing w:after="80" w:before="0"/>
      </w:pPr>
      <w:r>
        <w:rPr>
          <w:rFonts w:ascii="Cambria" w:hAnsi="Cambria"/>
          <w:b/>
          <w:color w:val="1B3A4B"/>
          <w:sz w:val="36"/>
        </w:rPr>
        <w:t>One device, four classifications</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EF3F5"/>
          </w:tcPr>
          <w:p>
            <w:pPr>
              <w:spacing w:after="60" w:before="80"/>
            </w:pPr>
            <w:r/>
            <w:r>
              <w:rPr>
                <w:rFonts w:ascii="Calibri" w:hAnsi="Calibri"/>
                <w:b/>
                <w:color w:val="1B3A4B"/>
                <w:sz w:val="20"/>
              </w:rPr>
              <w:t>The device</w:t>
            </w:r>
          </w:p>
          <w:p>
            <w:pPr>
              <w:spacing w:after="80"/>
            </w:pPr>
            <w:r>
              <w:rPr>
                <w:rFonts w:ascii="Calibri" w:hAnsi="Calibri"/>
                <w:color w:val="22333B"/>
                <w:sz w:val="19"/>
              </w:rPr>
              <w:t>A wearable continuous vital-signs monitor for hospital ward patients.</w:t>
            </w:r>
          </w:p>
          <w:p>
            <w:pPr>
              <w:spacing w:after="80"/>
            </w:pPr>
            <w:r>
              <w:rPr>
                <w:rFonts w:ascii="Calibri" w:hAnsi="Calibri"/>
                <w:color w:val="22333B"/>
                <w:sz w:val="19"/>
              </w:rPr>
              <w:t>·  An adhesive chest patch measures heart rate, respiratory rate and skin temperature continuously.</w:t>
            </w:r>
          </w:p>
          <w:p>
            <w:pPr>
              <w:spacing w:after="80"/>
            </w:pPr>
            <w:r>
              <w:rPr>
                <w:rFonts w:ascii="Calibri" w:hAnsi="Calibri"/>
                <w:color w:val="22333B"/>
                <w:sz w:val="19"/>
              </w:rPr>
              <w:t>·  It transmits to a bedside gateway and then to a server on the hospital network.</w:t>
            </w:r>
          </w:p>
          <w:p>
            <w:pPr>
              <w:spacing w:after="80"/>
            </w:pPr>
            <w:r>
              <w:rPr>
                <w:rFonts w:ascii="Calibri" w:hAnsi="Calibri"/>
                <w:color w:val="22333B"/>
                <w:sz w:val="19"/>
              </w:rPr>
              <w:t>·  Software on that server runs an early-warning algorithm and raises an alert to the nursing station when it detects signs of clinical deterioration.</w:t>
            </w:r>
          </w:p>
          <w:p>
            <w:pPr>
              <w:spacing w:after="80"/>
            </w:pPr>
            <w:r>
              <w:rPr>
                <w:rFonts w:ascii="Calibri" w:hAnsi="Calibri"/>
                <w:color w:val="22333B"/>
                <w:sz w:val="19"/>
              </w:rPr>
              <w:t>·  The patch is worn for up to 5 days and is single-patient use.</w:t>
            </w:r>
          </w:p>
          <w:p>
            <w:pPr>
              <w:spacing w:after="80"/>
            </w:pPr>
            <w:r>
              <w:rPr>
                <w:rFonts w:ascii="Calibri" w:hAnsi="Calibri"/>
                <w:color w:val="22333B"/>
                <w:sz w:val="19"/>
              </w:rPr>
              <w:t>·  It is cleared in the US as a Class II device.</w:t>
            </w:r>
          </w:p>
        </w:tc>
      </w:tr>
    </w:tbl>
    <w:p>
      <w:pPr>
        <w:spacing w:after="100" w:before="0" w:line="240" w:lineRule="auto"/>
      </w:pPr>
      <w:r>
        <w:rPr>
          <w:sz w:val="2"/>
        </w:rPr>
      </w:r>
    </w:p>
    <w:p>
      <w:pPr>
        <w:keepNext/>
        <w:spacing w:after="40" w:before="160"/>
      </w:pPr>
      <w:r>
        <w:rPr>
          <w:rFonts w:ascii="Calibri" w:hAnsi="Calibri"/>
          <w:b/>
          <w:color w:val="0E7C7B"/>
          <w:sz w:val="21"/>
        </w:rPr>
        <w:t>1.  Split the product into its regulated parts</w:t>
      </w:r>
    </w:p>
    <w:p>
      <w:pPr>
        <w:spacing w:after="60"/>
      </w:pPr>
      <w:r>
        <w:rPr>
          <w:rFonts w:ascii="Calibri" w:hAnsi="Calibri"/>
          <w:b w:val="0"/>
          <w:i/>
          <w:color w:val="4E626D"/>
          <w:sz w:val="19"/>
        </w:rPr>
        <w:t>How many devices are there here, and is the algorithm one of them?</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168"/>
        <w:gridCol w:w="2880"/>
        <w:gridCol w:w="3744"/>
      </w:tblGrid>
      <w:tr>
        <w:trPr>
          <w:cantSplit/>
        </w:trPr>
        <w:tc>
          <w:tcPr>
            <w:tcW w:type="dxa" w:w="3168"/>
            <w:shd w:val="clear" w:color="auto" w:fill="1B3A4B"/>
          </w:tcPr>
          <w:p>
            <w:pPr>
              <w:spacing w:after="40" w:before="40"/>
            </w:pPr>
            <w:r/>
            <w:r>
              <w:rPr>
                <w:rFonts w:ascii="Calibri" w:hAnsi="Calibri"/>
                <w:b/>
                <w:i w:val="0"/>
                <w:color w:val="FFFFFF"/>
                <w:sz w:val="19"/>
              </w:rPr>
              <w:t>Part</w:t>
            </w:r>
          </w:p>
        </w:tc>
        <w:tc>
          <w:tcPr>
            <w:tcW w:type="dxa" w:w="2880"/>
            <w:shd w:val="clear" w:color="auto" w:fill="1B3A4B"/>
          </w:tcPr>
          <w:p>
            <w:pPr>
              <w:spacing w:after="40" w:before="40"/>
            </w:pPr>
            <w:r/>
            <w:r>
              <w:rPr>
                <w:rFonts w:ascii="Calibri" w:hAnsi="Calibri"/>
                <w:b/>
                <w:i w:val="0"/>
                <w:color w:val="FFFFFF"/>
                <w:sz w:val="19"/>
              </w:rPr>
              <w:t>Is it a device in its own right?</w:t>
            </w:r>
          </w:p>
        </w:tc>
        <w:tc>
          <w:tcPr>
            <w:tcW w:type="dxa" w:w="3744"/>
            <w:shd w:val="clear" w:color="auto" w:fill="1B3A4B"/>
          </w:tcPr>
          <w:p>
            <w:pPr>
              <w:spacing w:after="40" w:before="40"/>
            </w:pPr>
            <w:r/>
            <w:r>
              <w:rPr>
                <w:rFonts w:ascii="Calibri" w:hAnsi="Calibri"/>
                <w:b/>
                <w:i w:val="0"/>
                <w:color w:val="FFFFFF"/>
                <w:sz w:val="19"/>
              </w:rPr>
              <w:t>Why</w:t>
            </w:r>
          </w:p>
        </w:tc>
      </w:tr>
      <w:tr>
        <w:trPr>
          <w:cantSplit/>
        </w:trPr>
        <w:tc>
          <w:tcPr>
            <w:tcW w:type="dxa" w:w="3168"/>
          </w:tcPr>
          <w:p>
            <w:pPr>
              <w:spacing w:after="40" w:before="40"/>
            </w:pPr>
            <w:r/>
            <w:r>
              <w:rPr>
                <w:rFonts w:ascii="Calibri" w:hAnsi="Calibri"/>
                <w:b w:val="0"/>
                <w:i w:val="0"/>
                <w:color w:val="22333B"/>
                <w:sz w:val="19"/>
              </w:rPr>
            </w:r>
          </w:p>
        </w:tc>
        <w:tc>
          <w:tcPr>
            <w:tcW w:type="dxa" w:w="2880"/>
          </w:tcPr>
          <w:p>
            <w:pPr>
              <w:spacing w:after="40" w:before="40"/>
            </w:pPr>
            <w:r/>
            <w:r>
              <w:rPr>
                <w:rFonts w:ascii="Calibri" w:hAnsi="Calibri"/>
                <w:b w:val="0"/>
                <w:i w:val="0"/>
                <w:color w:val="22333B"/>
                <w:sz w:val="19"/>
              </w:rPr>
            </w:r>
          </w:p>
        </w:tc>
        <w:tc>
          <w:tcPr>
            <w:tcW w:type="dxa" w:w="3744"/>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2880"/>
          </w:tcPr>
          <w:p>
            <w:pPr>
              <w:spacing w:after="40" w:before="40"/>
            </w:pPr>
            <w:r/>
            <w:r>
              <w:rPr>
                <w:rFonts w:ascii="Calibri" w:hAnsi="Calibri"/>
                <w:b w:val="0"/>
                <w:i w:val="0"/>
                <w:color w:val="22333B"/>
                <w:sz w:val="19"/>
              </w:rPr>
            </w:r>
          </w:p>
        </w:tc>
        <w:tc>
          <w:tcPr>
            <w:tcW w:type="dxa" w:w="3744"/>
          </w:tcPr>
          <w:p>
            <w:pPr>
              <w:spacing w:after="40" w:before="40"/>
            </w:pPr>
            <w:r/>
            <w:r>
              <w:rPr>
                <w:rFonts w:ascii="Calibri" w:hAnsi="Calibri"/>
                <w:b w:val="0"/>
                <w:i w:val="0"/>
                <w:color w:val="22333B"/>
                <w:sz w:val="19"/>
              </w:rPr>
            </w:r>
          </w:p>
        </w:tc>
      </w:tr>
    </w:tbl>
    <w:p>
      <w:pPr>
        <w:keepNext/>
        <w:spacing w:after="40" w:before="140"/>
      </w:pPr>
      <w:r>
        <w:rPr>
          <w:rFonts w:ascii="Calibri" w:hAnsi="Calibri"/>
          <w:b/>
          <w:color w:val="0E7C7B"/>
          <w:sz w:val="21"/>
        </w:rPr>
        <w:t>2.  Classify under MDR Annex VIII</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168"/>
        <w:gridCol w:w="4896"/>
        <w:gridCol w:w="1728"/>
      </w:tblGrid>
      <w:tr>
        <w:trPr>
          <w:cantSplit/>
        </w:trPr>
        <w:tc>
          <w:tcPr>
            <w:tcW w:type="dxa" w:w="3168"/>
            <w:shd w:val="clear" w:color="auto" w:fill="1B3A4B"/>
          </w:tcPr>
          <w:p>
            <w:pPr>
              <w:spacing w:after="40" w:before="40"/>
            </w:pPr>
            <w:r/>
            <w:r>
              <w:rPr>
                <w:rFonts w:ascii="Calibri" w:hAnsi="Calibri"/>
                <w:b/>
                <w:i w:val="0"/>
                <w:color w:val="FFFFFF"/>
                <w:sz w:val="19"/>
              </w:rPr>
              <w:t>Part</w:t>
            </w:r>
          </w:p>
        </w:tc>
        <w:tc>
          <w:tcPr>
            <w:tcW w:type="dxa" w:w="4896"/>
            <w:shd w:val="clear" w:color="auto" w:fill="1B3A4B"/>
          </w:tcPr>
          <w:p>
            <w:pPr>
              <w:spacing w:after="40" w:before="40"/>
            </w:pPr>
            <w:r/>
            <w:r>
              <w:rPr>
                <w:rFonts w:ascii="Calibri" w:hAnsi="Calibri"/>
                <w:b/>
                <w:i w:val="0"/>
                <w:color w:val="FFFFFF"/>
                <w:sz w:val="19"/>
              </w:rPr>
              <w:t>Rule(s) applied</w:t>
            </w:r>
          </w:p>
        </w:tc>
        <w:tc>
          <w:tcPr>
            <w:tcW w:type="dxa" w:w="1728"/>
            <w:shd w:val="clear" w:color="auto" w:fill="1B3A4B"/>
          </w:tcPr>
          <w:p>
            <w:pPr>
              <w:spacing w:after="40" w:before="40"/>
            </w:pPr>
            <w:r/>
            <w:r>
              <w:rPr>
                <w:rFonts w:ascii="Calibri" w:hAnsi="Calibri"/>
                <w:b/>
                <w:i w:val="0"/>
                <w:color w:val="FFFFFF"/>
                <w:sz w:val="19"/>
              </w:rPr>
              <w:t>Class</w:t>
            </w:r>
          </w:p>
        </w:tc>
      </w:tr>
      <w:tr>
        <w:trPr>
          <w:cantSplit/>
        </w:trPr>
        <w:tc>
          <w:tcPr>
            <w:tcW w:type="dxa" w:w="3168"/>
          </w:tcPr>
          <w:p>
            <w:pPr>
              <w:spacing w:after="40" w:before="40"/>
            </w:pPr>
            <w:r/>
            <w:r>
              <w:rPr>
                <w:rFonts w:ascii="Calibri" w:hAnsi="Calibri"/>
                <w:b w:val="0"/>
                <w:i w:val="0"/>
                <w:color w:val="22333B"/>
                <w:sz w:val="19"/>
              </w:rPr>
            </w:r>
          </w:p>
        </w:tc>
        <w:tc>
          <w:tcPr>
            <w:tcW w:type="dxa" w:w="4896"/>
          </w:tcPr>
          <w:p>
            <w:pPr>
              <w:spacing w:after="40" w:before="40"/>
            </w:pPr>
            <w:r/>
            <w:r>
              <w:rPr>
                <w:rFonts w:ascii="Calibri" w:hAnsi="Calibri"/>
                <w:b w:val="0"/>
                <w:i w:val="0"/>
                <w:color w:val="22333B"/>
                <w:sz w:val="19"/>
              </w:rPr>
            </w:r>
          </w:p>
        </w:tc>
        <w:tc>
          <w:tcPr>
            <w:tcW w:type="dxa" w:w="1728"/>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4896"/>
          </w:tcPr>
          <w:p>
            <w:pPr>
              <w:spacing w:after="40" w:before="40"/>
            </w:pPr>
            <w:r/>
            <w:r>
              <w:rPr>
                <w:rFonts w:ascii="Calibri" w:hAnsi="Calibri"/>
                <w:b w:val="0"/>
                <w:i w:val="0"/>
                <w:color w:val="22333B"/>
                <w:sz w:val="19"/>
              </w:rPr>
            </w:r>
          </w:p>
        </w:tc>
        <w:tc>
          <w:tcPr>
            <w:tcW w:type="dxa" w:w="1728"/>
          </w:tcPr>
          <w:p>
            <w:pPr>
              <w:spacing w:after="40" w:before="40"/>
            </w:pPr>
            <w:r/>
            <w:r>
              <w:rPr>
                <w:rFonts w:ascii="Calibri" w:hAnsi="Calibri"/>
                <w:b w:val="0"/>
                <w:i w:val="0"/>
                <w:color w:val="22333B"/>
                <w:sz w:val="19"/>
              </w:rPr>
            </w:r>
          </w:p>
        </w:tc>
      </w:tr>
      <w:tr>
        <w:trPr>
          <w:cantSplit/>
        </w:trPr>
        <w:tc>
          <w:tcPr>
            <w:tcW w:type="dxa" w:w="3168"/>
          </w:tcPr>
          <w:p>
            <w:pPr>
              <w:spacing w:after="40" w:before="40"/>
            </w:pPr>
            <w:r/>
            <w:r>
              <w:rPr>
                <w:rFonts w:ascii="Calibri" w:hAnsi="Calibri"/>
                <w:b w:val="0"/>
                <w:i w:val="0"/>
                <w:color w:val="22333B"/>
                <w:sz w:val="19"/>
              </w:rPr>
            </w:r>
          </w:p>
        </w:tc>
        <w:tc>
          <w:tcPr>
            <w:tcW w:type="dxa" w:w="4896"/>
          </w:tcPr>
          <w:p>
            <w:pPr>
              <w:spacing w:after="40" w:before="40"/>
            </w:pPr>
            <w:r/>
            <w:r>
              <w:rPr>
                <w:rFonts w:ascii="Calibri" w:hAnsi="Calibri"/>
                <w:b w:val="0"/>
                <w:i w:val="0"/>
                <w:color w:val="22333B"/>
                <w:sz w:val="19"/>
              </w:rPr>
            </w:r>
          </w:p>
        </w:tc>
        <w:tc>
          <w:tcPr>
            <w:tcW w:type="dxa" w:w="1728"/>
          </w:tcPr>
          <w:p>
            <w:pPr>
              <w:spacing w:after="40" w:before="40"/>
            </w:pPr>
            <w:r/>
            <w:r>
              <w:rPr>
                <w:rFonts w:ascii="Calibri" w:hAnsi="Calibri"/>
                <w:b w:val="0"/>
                <w:i w:val="0"/>
                <w:color w:val="22333B"/>
                <w:sz w:val="19"/>
              </w:rPr>
            </w:r>
          </w:p>
        </w:tc>
      </w:tr>
    </w:tbl>
    <w:p>
      <w:pPr>
        <w:keepNext/>
        <w:spacing w:after="40" w:before="140"/>
      </w:pPr>
      <w:r>
        <w:rPr>
          <w:rFonts w:ascii="Calibri" w:hAnsi="Calibri"/>
          <w:b/>
          <w:color w:val="0E7C7B"/>
          <w:sz w:val="21"/>
        </w:rPr>
        <w:t>3.  Now classify for Great Britain — remember GB uses the MDD rules</w:t>
      </w:r>
    </w:p>
    <w:p>
      <w:pPr>
        <w:spacing w:after="60"/>
      </w:pPr>
      <w:r>
        <w:rPr>
          <w:rFonts w:ascii="Calibri" w:hAnsi="Calibri"/>
          <w:b w:val="0"/>
          <w:i/>
          <w:color w:val="4E626D"/>
          <w:sz w:val="19"/>
        </w:rPr>
        <w:t>Do you get the same answer? If not, why not?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4.  Which EU conformity assessment route, and who assesses what?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5.  What would you need in Japan — and what must you know first?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PART THREE</w:t>
      </w:r>
    </w:p>
    <w:p>
      <w:pPr>
        <w:spacing w:after="80" w:before="0"/>
      </w:pPr>
      <w:r>
        <w:rPr>
          <w:rFonts w:ascii="Cambria" w:hAnsi="Cambria"/>
          <w:b/>
          <w:color w:val="1B3A4B"/>
          <w:sz w:val="36"/>
        </w:rPr>
        <w:t>Part 3 — UKCA and the UK framework</w:t>
      </w:r>
    </w:p>
    <w:p>
      <w:pPr>
        <w:spacing w:before="120" w:after="160"/>
        <w:pBdr>
          <w:bottom w:val="single" w:sz="6" w:space="1" w:color="D7E2E5"/>
        </w:pBdr>
      </w:pPr>
    </w:p>
    <w:p>
      <w:pPr>
        <w:keepNext/>
        <w:spacing w:after="40" w:before="0"/>
      </w:pPr>
      <w:r>
        <w:rPr>
          <w:rFonts w:ascii="Calibri" w:hAnsi="Calibri"/>
          <w:b/>
          <w:color w:val="0E7C7B"/>
          <w:sz w:val="21"/>
        </w:rPr>
        <w:t>The United Kingdom is not one market</w:t>
      </w:r>
    </w:p>
    <w:p>
      <w:pPr>
        <w:pStyle w:val="ListBullet"/>
        <w:spacing w:after="50" w:line="254" w:lineRule="auto"/>
        <w:ind w:left="576"/>
      </w:pPr>
      <w:r>
        <w:rPr>
          <w:rFonts w:ascii="Calibri" w:hAnsi="Calibri"/>
          <w:b/>
          <w:color w:val="1B3A4B"/>
          <w:sz w:val="20"/>
        </w:rPr>
        <w:t xml:space="preserve">Great Britain: </w:t>
      </w:r>
      <w:r>
        <w:rPr>
          <w:rFonts w:ascii="Calibri" w:hAnsi="Calibri"/>
          <w:color w:val="22333B"/>
          <w:sz w:val="20"/>
        </w:rPr>
        <w:t>England, Scotland and Wales. Governed by the UK Medical Devices Regulations 2002 as amended. UKCA applies here — and CE marking is also currently accepted.</w:t>
      </w:r>
    </w:p>
    <w:p>
      <w:pPr>
        <w:pStyle w:val="ListBullet"/>
        <w:spacing w:after="50" w:line="254" w:lineRule="auto"/>
        <w:ind w:left="576"/>
      </w:pPr>
      <w:r>
        <w:rPr>
          <w:rFonts w:ascii="Calibri" w:hAnsi="Calibri"/>
          <w:b/>
          <w:color w:val="1B3A4B"/>
          <w:sz w:val="20"/>
        </w:rPr>
        <w:t xml:space="preserve">Northern Ireland: </w:t>
      </w:r>
      <w:r>
        <w:rPr>
          <w:rFonts w:ascii="Calibri" w:hAnsi="Calibri"/>
          <w:color w:val="22333B"/>
          <w:sz w:val="20"/>
        </w:rPr>
        <w:t>under the Windsor Framework, EU rules continue to apply. A device needs EU MDR conformity and CE marking. UKCA alone is not valid there.</w:t>
      </w:r>
    </w:p>
    <w:p>
      <w:pPr>
        <w:pStyle w:val="ListBullet"/>
        <w:spacing w:after="50" w:line="254" w:lineRule="auto"/>
        <w:ind w:left="576"/>
      </w:pPr>
      <w:r>
        <w:rPr>
          <w:rFonts w:ascii="Calibri" w:hAnsi="Calibri"/>
          <w:b/>
          <w:color w:val="1B3A4B"/>
          <w:sz w:val="20"/>
        </w:rPr>
        <w:t xml:space="preserve">The whole UK: </w:t>
      </w:r>
      <w:r>
        <w:rPr>
          <w:rFonts w:ascii="Calibri" w:hAnsi="Calibri"/>
          <w:color w:val="22333B"/>
          <w:sz w:val="20"/>
        </w:rPr>
        <w:t>MHRA registration applies UK-wide whatever the marking, and a non-UK manufacturer needs a UK Responsible Person.</w:t>
      </w:r>
    </w:p>
    <w:p>
      <w:pPr>
        <w:spacing w:after="100"/>
      </w:pPr>
      <w:r>
        <w:rPr>
          <w:rFonts w:ascii="Calibri" w:hAnsi="Calibri"/>
          <w:b/>
          <w:i w:val="0"/>
          <w:color w:val="1B3A4B"/>
          <w:sz w:val="19"/>
        </w:rPr>
        <w:t>The consequence: a CE marked device can be sold across the whole United Kingdom today. A UKCA marked device cannot — it does not satisfy Northern Ireland.</w:t>
      </w:r>
    </w:p>
    <w:p>
      <w:pPr>
        <w:keepNext/>
        <w:spacing w:after="40" w:before="140"/>
      </w:pPr>
      <w:r>
        <w:rPr>
          <w:rFonts w:ascii="Calibri" w:hAnsi="Calibri"/>
          <w:b/>
          <w:color w:val="0E7C7B"/>
          <w:sz w:val="21"/>
        </w:rPr>
        <w:t>The dates that govern Great Britain</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608"/>
        <w:gridCol w:w="5184"/>
      </w:tblGrid>
      <w:tr>
        <w:trPr>
          <w:cantSplit/>
        </w:trPr>
        <w:tc>
          <w:tcPr>
            <w:tcW w:type="dxa" w:w="4608"/>
            <w:shd w:val="clear" w:color="auto" w:fill="1B3A4B"/>
          </w:tcPr>
          <w:p>
            <w:pPr>
              <w:spacing w:after="40" w:before="40"/>
            </w:pPr>
            <w:r/>
            <w:r>
              <w:rPr>
                <w:rFonts w:ascii="Calibri" w:hAnsi="Calibri"/>
                <w:b/>
                <w:i w:val="0"/>
                <w:color w:val="FFFFFF"/>
                <w:sz w:val="19"/>
              </w:rPr>
              <w:t>Your device carries</w:t>
            </w:r>
          </w:p>
        </w:tc>
        <w:tc>
          <w:tcPr>
            <w:tcW w:type="dxa" w:w="5184"/>
            <w:shd w:val="clear" w:color="auto" w:fill="1B3A4B"/>
          </w:tcPr>
          <w:p>
            <w:pPr>
              <w:spacing w:after="40" w:before="40"/>
            </w:pPr>
            <w:r/>
            <w:r>
              <w:rPr>
                <w:rFonts w:ascii="Calibri" w:hAnsi="Calibri"/>
                <w:b/>
                <w:i w:val="0"/>
                <w:color w:val="FFFFFF"/>
                <w:sz w:val="19"/>
              </w:rPr>
              <w:t>Accepted in Great Britain until</w:t>
            </w:r>
          </w:p>
        </w:tc>
      </w:tr>
      <w:tr>
        <w:trPr>
          <w:cantSplit/>
        </w:trPr>
        <w:tc>
          <w:tcPr>
            <w:tcW w:type="dxa" w:w="4608"/>
          </w:tcPr>
          <w:p>
            <w:pPr>
              <w:spacing w:after="40" w:before="40"/>
            </w:pPr>
            <w:r/>
            <w:r>
              <w:rPr>
                <w:rFonts w:ascii="Calibri" w:hAnsi="Calibri"/>
                <w:b/>
                <w:i w:val="0"/>
                <w:color w:val="22333B"/>
                <w:sz w:val="19"/>
              </w:rPr>
              <w:t>CE marking under EU MDR</w:t>
            </w:r>
          </w:p>
        </w:tc>
        <w:tc>
          <w:tcPr>
            <w:tcW w:type="dxa" w:w="5184"/>
          </w:tcPr>
          <w:p>
            <w:pPr>
              <w:spacing w:after="40" w:before="40"/>
            </w:pPr>
            <w:r/>
            <w:r>
              <w:rPr>
                <w:rFonts w:ascii="Calibri" w:hAnsi="Calibri"/>
                <w:b/>
                <w:i w:val="0"/>
                <w:color w:val="0E7C7B"/>
                <w:sz w:val="19"/>
              </w:rPr>
              <w:t>30 June 2030</w:t>
            </w:r>
          </w:p>
        </w:tc>
      </w:tr>
      <w:tr>
        <w:trPr>
          <w:cantSplit/>
        </w:trPr>
        <w:tc>
          <w:tcPr>
            <w:tcW w:type="dxa" w:w="4608"/>
          </w:tcPr>
          <w:p>
            <w:pPr>
              <w:spacing w:after="40" w:before="40"/>
            </w:pPr>
            <w:r/>
            <w:r>
              <w:rPr>
                <w:rFonts w:ascii="Calibri" w:hAnsi="Calibri"/>
                <w:b/>
                <w:i w:val="0"/>
                <w:color w:val="22333B"/>
                <w:sz w:val="19"/>
              </w:rPr>
              <w:t>CE marking under the MDD or AIMDD</w:t>
            </w:r>
          </w:p>
        </w:tc>
        <w:tc>
          <w:tcPr>
            <w:tcW w:type="dxa" w:w="5184"/>
          </w:tcPr>
          <w:p>
            <w:pPr>
              <w:spacing w:after="40" w:before="40"/>
            </w:pPr>
            <w:r/>
            <w:r>
              <w:rPr>
                <w:rFonts w:ascii="Calibri" w:hAnsi="Calibri"/>
                <w:b/>
                <w:i w:val="0"/>
                <w:color w:val="C77C1E"/>
                <w:sz w:val="19"/>
              </w:rPr>
              <w:t>the sooner of certificate expiry or 30 June 2028</w:t>
            </w:r>
          </w:p>
        </w:tc>
      </w:tr>
      <w:tr>
        <w:trPr>
          <w:cantSplit/>
        </w:trPr>
        <w:tc>
          <w:tcPr>
            <w:tcW w:type="dxa" w:w="4608"/>
          </w:tcPr>
          <w:p>
            <w:pPr>
              <w:spacing w:after="40" w:before="40"/>
            </w:pPr>
            <w:r/>
            <w:r>
              <w:rPr>
                <w:rFonts w:ascii="Calibri" w:hAnsi="Calibri"/>
                <w:b/>
                <w:i w:val="0"/>
                <w:color w:val="22333B"/>
                <w:sz w:val="19"/>
              </w:rPr>
              <w:t>CE marking under the IVDD</w:t>
            </w:r>
          </w:p>
        </w:tc>
        <w:tc>
          <w:tcPr>
            <w:tcW w:type="dxa" w:w="5184"/>
          </w:tcPr>
          <w:p>
            <w:pPr>
              <w:spacing w:after="40" w:before="40"/>
            </w:pPr>
            <w:r/>
            <w:r>
              <w:rPr>
                <w:rFonts w:ascii="Calibri" w:hAnsi="Calibri"/>
                <w:b/>
                <w:i w:val="0"/>
                <w:color w:val="22333B"/>
                <w:sz w:val="19"/>
              </w:rPr>
              <w:t>the sooner of certificate expiry or 30 June 2030</w:t>
            </w:r>
          </w:p>
        </w:tc>
      </w:tr>
      <w:tr>
        <w:trPr>
          <w:cantSplit/>
        </w:trPr>
        <w:tc>
          <w:tcPr>
            <w:tcW w:type="dxa" w:w="4608"/>
          </w:tcPr>
          <w:p>
            <w:pPr>
              <w:spacing w:after="40" w:before="40"/>
            </w:pPr>
            <w:r/>
            <w:r>
              <w:rPr>
                <w:rFonts w:ascii="Calibri" w:hAnsi="Calibri"/>
                <w:b/>
                <w:i w:val="0"/>
                <w:color w:val="22333B"/>
                <w:sz w:val="19"/>
              </w:rPr>
              <w:t>UKCA marking</w:t>
            </w:r>
          </w:p>
        </w:tc>
        <w:tc>
          <w:tcPr>
            <w:tcW w:type="dxa" w:w="5184"/>
          </w:tcPr>
          <w:p>
            <w:pPr>
              <w:spacing w:after="40" w:before="40"/>
            </w:pPr>
            <w:r/>
            <w:r>
              <w:rPr>
                <w:rFonts w:ascii="Calibri" w:hAnsi="Calibri"/>
                <w:b/>
                <w:i w:val="0"/>
                <w:color w:val="1B3A4B"/>
                <w:sz w:val="19"/>
              </w:rPr>
              <w:t>no end date — and not mandatory</w:t>
            </w:r>
          </w:p>
        </w:tc>
      </w:tr>
    </w:tbl>
    <w:p>
      <w:pPr>
        <w:spacing w:after="100"/>
      </w:pPr>
      <w:r>
        <w:rPr>
          <w:rFonts w:ascii="Calibri" w:hAnsi="Calibri"/>
          <w:b w:val="0"/>
          <w:i/>
          <w:color w:val="A83A3C"/>
          <w:sz w:val="19"/>
        </w:rPr>
        <w:t>On a legacy MDD certificate there are two clocks, and the earlier one governs. The government has also said it will consult on recognising CE marked devices indefinitely.</w:t>
      </w:r>
    </w:p>
    <w:p>
      <w:pPr>
        <w:keepNext/>
        <w:spacing w:after="40" w:before="140"/>
      </w:pPr>
      <w:r>
        <w:rPr>
          <w:rFonts w:ascii="Calibri" w:hAnsi="Calibri"/>
          <w:b/>
          <w:color w:val="0E7C7B"/>
          <w:sz w:val="21"/>
        </w:rPr>
        <w:t>What UKCA actually requires</w:t>
      </w:r>
    </w:p>
    <w:p>
      <w:pPr>
        <w:spacing w:after="100"/>
      </w:pPr>
      <w:r>
        <w:rPr>
          <w:rFonts w:ascii="Calibri" w:hAnsi="Calibri"/>
          <w:b w:val="0"/>
          <w:i w:val="0"/>
          <w:color w:val="22333B"/>
          <w:sz w:val="19"/>
        </w:rPr>
        <w:t>Not a British version of MDR. The UK MDR 2002 implemented the old European directives, and Schedule 2A explains how the directive annexes are read in a UK context. Classification is under MDD Annex IX, not MDR Annex VIII. An MDR technical file already exceeds what UKCA asks for in most respects — the file is not the obstacle, the assessment is.</w:t>
      </w:r>
    </w:p>
    <w:p>
      <w:pPr>
        <w:keepNext/>
        <w:spacing w:after="40" w:before="140"/>
      </w:pPr>
      <w:r>
        <w:rPr>
          <w:rFonts w:ascii="Calibri" w:hAnsi="Calibri"/>
          <w:b/>
          <w:color w:val="0E7C7B"/>
          <w:sz w:val="21"/>
        </w:rPr>
        <w:t>Where the EU and UK have genuinely diverged</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160"/>
        <w:gridCol w:w="3744"/>
        <w:gridCol w:w="3888"/>
      </w:tblGrid>
      <w:tr>
        <w:trPr>
          <w:cantSplit/>
          <w:tblHeader/>
        </w:trPr>
        <w:tc>
          <w:tcPr>
            <w:tcW w:type="dxa" w:w="2160"/>
            <w:shd w:val="clear" w:color="auto" w:fill="1B3A4B"/>
          </w:tcPr>
          <w:p>
            <w:pPr>
              <w:spacing w:after="40" w:before="40"/>
            </w:pPr>
            <w:r/>
            <w:r>
              <w:rPr>
                <w:rFonts w:ascii="Calibri" w:hAnsi="Calibri"/>
                <w:b/>
                <w:i w:val="0"/>
                <w:color w:val="FFFFFF"/>
                <w:sz w:val="18"/>
              </w:rPr>
              <w:t>Topic</w:t>
            </w:r>
          </w:p>
        </w:tc>
        <w:tc>
          <w:tcPr>
            <w:tcW w:type="dxa" w:w="3744"/>
            <w:shd w:val="clear" w:color="auto" w:fill="1B3A4B"/>
          </w:tcPr>
          <w:p>
            <w:pPr>
              <w:spacing w:after="40" w:before="40"/>
            </w:pPr>
            <w:r/>
            <w:r>
              <w:rPr>
                <w:rFonts w:ascii="Calibri" w:hAnsi="Calibri"/>
                <w:b/>
                <w:i w:val="0"/>
                <w:color w:val="FFFFFF"/>
                <w:sz w:val="18"/>
              </w:rPr>
              <w:t>EU MDR</w:t>
            </w:r>
          </w:p>
        </w:tc>
        <w:tc>
          <w:tcPr>
            <w:tcW w:type="dxa" w:w="3888"/>
            <w:shd w:val="clear" w:color="auto" w:fill="1B3A4B"/>
          </w:tcPr>
          <w:p>
            <w:pPr>
              <w:spacing w:after="40" w:before="40"/>
            </w:pPr>
            <w:r/>
            <w:r>
              <w:rPr>
                <w:rFonts w:ascii="Calibri" w:hAnsi="Calibri"/>
                <w:b/>
                <w:i w:val="0"/>
                <w:color w:val="FFFFFF"/>
                <w:sz w:val="18"/>
              </w:rPr>
              <w:t>Great Britain</w:t>
            </w:r>
          </w:p>
        </w:tc>
      </w:tr>
      <w:tr>
        <w:trPr>
          <w:cantSplit/>
        </w:trPr>
        <w:tc>
          <w:tcPr>
            <w:tcW w:type="dxa" w:w="2160"/>
          </w:tcPr>
          <w:p>
            <w:pPr>
              <w:spacing w:after="40" w:before="40"/>
            </w:pPr>
            <w:r/>
            <w:r>
              <w:rPr>
                <w:rFonts w:ascii="Calibri" w:hAnsi="Calibri"/>
                <w:b/>
                <w:i w:val="0"/>
                <w:color w:val="22333B"/>
                <w:sz w:val="18"/>
              </w:rPr>
              <w:t>Classification</w:t>
            </w:r>
          </w:p>
        </w:tc>
        <w:tc>
          <w:tcPr>
            <w:tcW w:type="dxa" w:w="3744"/>
          </w:tcPr>
          <w:p>
            <w:pPr>
              <w:spacing w:after="40" w:before="40"/>
            </w:pPr>
            <w:r/>
            <w:r>
              <w:rPr>
                <w:rFonts w:ascii="Calibri" w:hAnsi="Calibri"/>
                <w:b w:val="0"/>
                <w:i w:val="0"/>
                <w:color w:val="22333B"/>
                <w:sz w:val="18"/>
              </w:rPr>
              <w:t>MDR Annex VIII — 22 revised rules</w:t>
            </w:r>
          </w:p>
        </w:tc>
        <w:tc>
          <w:tcPr>
            <w:tcW w:type="dxa" w:w="3888"/>
          </w:tcPr>
          <w:p>
            <w:pPr>
              <w:spacing w:after="40" w:before="40"/>
            </w:pPr>
            <w:r/>
            <w:r>
              <w:rPr>
                <w:rFonts w:ascii="Calibri" w:hAnsi="Calibri"/>
                <w:b w:val="0"/>
                <w:i w:val="0"/>
                <w:color w:val="22333B"/>
                <w:sz w:val="18"/>
              </w:rPr>
              <w:t>MDD Annex IX via Schedule 2A</w:t>
            </w:r>
          </w:p>
        </w:tc>
      </w:tr>
      <w:tr>
        <w:trPr>
          <w:cantSplit/>
        </w:trPr>
        <w:tc>
          <w:tcPr>
            <w:tcW w:type="dxa" w:w="2160"/>
          </w:tcPr>
          <w:p>
            <w:pPr>
              <w:spacing w:after="40" w:before="40"/>
            </w:pPr>
            <w:r/>
            <w:r>
              <w:rPr>
                <w:rFonts w:ascii="Calibri" w:hAnsi="Calibri"/>
                <w:b/>
                <w:i w:val="0"/>
                <w:color w:val="22333B"/>
                <w:sz w:val="18"/>
              </w:rPr>
              <w:t>Software</w:t>
            </w:r>
          </w:p>
        </w:tc>
        <w:tc>
          <w:tcPr>
            <w:tcW w:type="dxa" w:w="3744"/>
          </w:tcPr>
          <w:p>
            <w:pPr>
              <w:spacing w:after="40" w:before="40"/>
            </w:pPr>
            <w:r/>
            <w:r>
              <w:rPr>
                <w:rFonts w:ascii="Calibri" w:hAnsi="Calibri"/>
                <w:b/>
                <w:i w:val="0"/>
                <w:color w:val="A83A3C"/>
                <w:sz w:val="18"/>
              </w:rPr>
              <w:t>Rule 11 classifies it in its own right, commonly IIa or IIb</w:t>
            </w:r>
          </w:p>
        </w:tc>
        <w:tc>
          <w:tcPr>
            <w:tcW w:type="dxa" w:w="3888"/>
          </w:tcPr>
          <w:p>
            <w:pPr>
              <w:spacing w:after="40" w:before="40"/>
            </w:pPr>
            <w:r/>
            <w:r>
              <w:rPr>
                <w:rFonts w:ascii="Calibri" w:hAnsi="Calibri"/>
                <w:b/>
                <w:i w:val="0"/>
                <w:color w:val="A83A3C"/>
                <w:sz w:val="18"/>
              </w:rPr>
              <w:t>No equivalent rule — classified under older provisions and can land lower</w:t>
            </w:r>
          </w:p>
        </w:tc>
      </w:tr>
      <w:tr>
        <w:trPr>
          <w:cantSplit/>
        </w:trPr>
        <w:tc>
          <w:tcPr>
            <w:tcW w:type="dxa" w:w="2160"/>
          </w:tcPr>
          <w:p>
            <w:pPr>
              <w:spacing w:after="40" w:before="40"/>
            </w:pPr>
            <w:r/>
            <w:r>
              <w:rPr>
                <w:rFonts w:ascii="Calibri" w:hAnsi="Calibri"/>
                <w:b/>
                <w:i w:val="0"/>
                <w:color w:val="22333B"/>
                <w:sz w:val="18"/>
              </w:rPr>
              <w:t>Clinical evidence</w:t>
            </w:r>
          </w:p>
        </w:tc>
        <w:tc>
          <w:tcPr>
            <w:tcW w:type="dxa" w:w="3744"/>
          </w:tcPr>
          <w:p>
            <w:pPr>
              <w:spacing w:after="40" w:before="40"/>
            </w:pPr>
            <w:r/>
            <w:r>
              <w:rPr>
                <w:rFonts w:ascii="Calibri" w:hAnsi="Calibri"/>
                <w:b w:val="0"/>
                <w:i w:val="0"/>
                <w:color w:val="22333B"/>
                <w:sz w:val="18"/>
              </w:rPr>
              <w:t>Article 61 and Annex XIV, tightened equivalence</w:t>
            </w:r>
          </w:p>
        </w:tc>
        <w:tc>
          <w:tcPr>
            <w:tcW w:type="dxa" w:w="3888"/>
          </w:tcPr>
          <w:p>
            <w:pPr>
              <w:spacing w:after="40" w:before="40"/>
            </w:pPr>
            <w:r/>
            <w:r>
              <w:rPr>
                <w:rFonts w:ascii="Calibri" w:hAnsi="Calibri"/>
                <w:b w:val="0"/>
                <w:i w:val="0"/>
                <w:color w:val="22333B"/>
                <w:sz w:val="18"/>
              </w:rPr>
              <w:t>Directive-era expectations — materially lighter</w:t>
            </w:r>
          </w:p>
        </w:tc>
      </w:tr>
      <w:tr>
        <w:trPr>
          <w:cantSplit/>
        </w:trPr>
        <w:tc>
          <w:tcPr>
            <w:tcW w:type="dxa" w:w="2160"/>
          </w:tcPr>
          <w:p>
            <w:pPr>
              <w:spacing w:after="40" w:before="40"/>
            </w:pPr>
            <w:r/>
            <w:r>
              <w:rPr>
                <w:rFonts w:ascii="Calibri" w:hAnsi="Calibri"/>
                <w:b/>
                <w:i w:val="0"/>
                <w:color w:val="22333B"/>
                <w:sz w:val="18"/>
              </w:rPr>
              <w:t>Named role</w:t>
            </w:r>
          </w:p>
        </w:tc>
        <w:tc>
          <w:tcPr>
            <w:tcW w:type="dxa" w:w="3744"/>
          </w:tcPr>
          <w:p>
            <w:pPr>
              <w:spacing w:after="40" w:before="40"/>
            </w:pPr>
            <w:r/>
            <w:r>
              <w:rPr>
                <w:rFonts w:ascii="Calibri" w:hAnsi="Calibri"/>
                <w:b w:val="0"/>
                <w:i w:val="0"/>
                <w:color w:val="22333B"/>
                <w:sz w:val="18"/>
              </w:rPr>
              <w:t>Article 15 PRRC</w:t>
            </w:r>
          </w:p>
        </w:tc>
        <w:tc>
          <w:tcPr>
            <w:tcW w:type="dxa" w:w="3888"/>
          </w:tcPr>
          <w:p>
            <w:pPr>
              <w:spacing w:after="40" w:before="40"/>
            </w:pPr>
            <w:r/>
            <w:r>
              <w:rPr>
                <w:rFonts w:ascii="Calibri" w:hAnsi="Calibri"/>
                <w:b w:val="0"/>
                <w:i w:val="0"/>
                <w:color w:val="22333B"/>
                <w:sz w:val="18"/>
              </w:rPr>
              <w:t>No direct equivalent; the UK RP is a different role</w:t>
            </w:r>
          </w:p>
        </w:tc>
      </w:tr>
      <w:tr>
        <w:trPr>
          <w:cantSplit/>
        </w:trPr>
        <w:tc>
          <w:tcPr>
            <w:tcW w:type="dxa" w:w="2160"/>
          </w:tcPr>
          <w:p>
            <w:pPr>
              <w:spacing w:after="40" w:before="40"/>
            </w:pPr>
            <w:r/>
            <w:r>
              <w:rPr>
                <w:rFonts w:ascii="Calibri" w:hAnsi="Calibri"/>
                <w:b/>
                <w:i w:val="0"/>
                <w:color w:val="22333B"/>
                <w:sz w:val="18"/>
              </w:rPr>
              <w:t>Database</w:t>
            </w:r>
          </w:p>
        </w:tc>
        <w:tc>
          <w:tcPr>
            <w:tcW w:type="dxa" w:w="3744"/>
          </w:tcPr>
          <w:p>
            <w:pPr>
              <w:spacing w:after="40" w:before="40"/>
            </w:pPr>
            <w:r/>
            <w:r>
              <w:rPr>
                <w:rFonts w:ascii="Calibri" w:hAnsi="Calibri"/>
                <w:b w:val="0"/>
                <w:i w:val="0"/>
                <w:color w:val="22333B"/>
                <w:sz w:val="18"/>
              </w:rPr>
              <w:t>EUDAMED</w:t>
            </w:r>
          </w:p>
        </w:tc>
        <w:tc>
          <w:tcPr>
            <w:tcW w:type="dxa" w:w="3888"/>
          </w:tcPr>
          <w:p>
            <w:pPr>
              <w:spacing w:after="40" w:before="40"/>
            </w:pPr>
            <w:r/>
            <w:r>
              <w:rPr>
                <w:rFonts w:ascii="Calibri" w:hAnsi="Calibri"/>
                <w:b w:val="0"/>
                <w:i w:val="0"/>
                <w:color w:val="22333B"/>
                <w:sz w:val="18"/>
              </w:rPr>
              <w:t>MHRA registration — separate system</w:t>
            </w:r>
          </w:p>
        </w:tc>
      </w:tr>
    </w:tbl>
    <w:p>
      <w:pPr>
        <w:keepNext/>
        <w:spacing w:after="40" w:before="140"/>
      </w:pPr>
      <w:r>
        <w:rPr>
          <w:rFonts w:ascii="Calibri" w:hAnsi="Calibri"/>
          <w:b/>
          <w:color w:val="0E7C7B"/>
          <w:sz w:val="21"/>
        </w:rPr>
        <w:t>The post-market surveillance regulations</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In force since 16 June 2025</w:t>
            </w:r>
          </w:p>
          <w:p>
            <w:pPr>
              <w:spacing w:after="80"/>
            </w:pPr>
            <w:r>
              <w:rPr>
                <w:rFonts w:ascii="Calibri" w:hAnsi="Calibri"/>
                <w:color w:val="22333B"/>
                <w:sz w:val="19"/>
              </w:rPr>
              <w:t>The Medical Devices (Post-market Surveillance Requirements) Regulations 2024 are the first substantial piece of the new UK framework to become law. They introduce a statutory PMS system, defined reporting to the MHRA, and periodic reporting.</w:t>
            </w:r>
          </w:p>
          <w:p>
            <w:pPr>
              <w:spacing w:after="80"/>
            </w:pPr>
            <w:r>
              <w:rPr>
                <w:rFonts w:ascii="Calibri" w:hAnsi="Calibri"/>
                <w:color w:val="22333B"/>
                <w:sz w:val="19"/>
              </w:rPr>
              <w:t>They attach to placing a device on the UK market, not to the conformity route — so a CE marked device sold in Great Britain is in scope. This breaks the assumption that relying on CE marking means no UK regulatory work. Registration and a Responsible Person can be delegated; an operating PMS system cannot.</w:t>
            </w:r>
          </w:p>
        </w:tc>
      </w:tr>
    </w:tbl>
    <w:p>
      <w:pPr>
        <w:spacing w:after="100" w:before="0" w:line="240" w:lineRule="auto"/>
      </w:pPr>
      <w:r>
        <w:rPr>
          <w:sz w:val="2"/>
        </w:rPr>
      </w:r>
    </w:p>
    <w:p>
      <w:pPr>
        <w:pageBreakBefore/>
        <w:spacing w:after="40" w:before="0"/>
      </w:pPr>
      <w:r>
        <w:rPr>
          <w:rFonts w:ascii="Calibri" w:hAnsi="Calibri"/>
          <w:b/>
          <w:color w:val="0E7C7B"/>
          <w:sz w:val="17"/>
          <w:spacing w:val="30"/>
        </w:rPr>
        <w:t>PART FOUR</w:t>
      </w:r>
    </w:p>
    <w:p>
      <w:pPr>
        <w:spacing w:after="80" w:before="0"/>
      </w:pPr>
      <w:r>
        <w:rPr>
          <w:rFonts w:ascii="Cambria" w:hAnsi="Cambria"/>
          <w:b/>
          <w:color w:val="1B3A4B"/>
          <w:sz w:val="36"/>
        </w:rPr>
        <w:t>Part 4 — United States and Japan</w:t>
      </w:r>
    </w:p>
    <w:p>
      <w:pPr>
        <w:spacing w:before="120" w:after="160"/>
        <w:pBdr>
          <w:bottom w:val="single" w:sz="6" w:space="1" w:color="D7E2E5"/>
        </w:pBdr>
      </w:pPr>
    </w:p>
    <w:p>
      <w:pPr>
        <w:keepNext/>
        <w:spacing w:after="40" w:before="0"/>
      </w:pPr>
      <w:r>
        <w:rPr>
          <w:rFonts w:ascii="Calibri" w:hAnsi="Calibri"/>
          <w:b/>
          <w:color w:val="0E7C7B"/>
          <w:sz w:val="21"/>
        </w:rPr>
        <w:t>The 510(k) in four steps</w:t>
      </w:r>
    </w:p>
    <w:p>
      <w:pPr>
        <w:spacing w:after="50" w:line="254" w:lineRule="auto"/>
        <w:ind w:left="792" w:hanging="432"/>
      </w:pPr>
      <w:r>
        <w:rPr>
          <w:rFonts w:ascii="Calibri" w:hAnsi="Calibri"/>
          <w:b/>
          <w:color w:val="0E7C7B"/>
          <w:sz w:val="19"/>
        </w:rPr>
        <w:t xml:space="preserve">1.  </w:t>
      </w:r>
      <w:r>
        <w:rPr>
          <w:rFonts w:ascii="Calibri" w:hAnsi="Calibri"/>
          <w:color w:val="22333B"/>
          <w:sz w:val="19"/>
        </w:rPr>
        <w:t>Find a predicate — a legally marketed device to which you claim substantial equivalence. Check its recall history before you build around it.</w:t>
      </w:r>
    </w:p>
    <w:p>
      <w:pPr>
        <w:spacing w:after="50" w:line="254" w:lineRule="auto"/>
        <w:ind w:left="792" w:hanging="432"/>
      </w:pPr>
      <w:r>
        <w:rPr>
          <w:rFonts w:ascii="Calibri" w:hAnsi="Calibri"/>
          <w:b/>
          <w:color w:val="0E7C7B"/>
          <w:sz w:val="19"/>
        </w:rPr>
        <w:t xml:space="preserve">2.  </w:t>
      </w:r>
      <w:r>
        <w:rPr>
          <w:rFonts w:ascii="Calibri" w:hAnsi="Calibri"/>
          <w:color w:val="22333B"/>
          <w:sz w:val="19"/>
        </w:rPr>
        <w:t>Establish substantial equivalence: same intended use, and either the same technological characteristics or different ones that do not raise different questions of safety and effectiveness.</w:t>
      </w:r>
    </w:p>
    <w:p>
      <w:pPr>
        <w:spacing w:after="50" w:line="254" w:lineRule="auto"/>
        <w:ind w:left="792" w:hanging="432"/>
      </w:pPr>
      <w:r>
        <w:rPr>
          <w:rFonts w:ascii="Calibri" w:hAnsi="Calibri"/>
          <w:b/>
          <w:color w:val="0E7C7B"/>
          <w:sz w:val="19"/>
        </w:rPr>
        <w:t xml:space="preserve">3.  </w:t>
      </w:r>
      <w:r>
        <w:rPr>
          <w:rFonts w:ascii="Calibri" w:hAnsi="Calibri"/>
          <w:color w:val="22333B"/>
          <w:sz w:val="19"/>
        </w:rPr>
        <w:t>Assemble the submission — device description, predicate comparison, performance testing, biocompatibility, sterilisation, software, labelling — via eSTAR. Then survive acceptance review and substantive review, remembering the clock pauses whenever FDA asks a question.</w:t>
      </w:r>
    </w:p>
    <w:p>
      <w:pPr>
        <w:spacing w:after="100"/>
      </w:pPr>
      <w:r>
        <w:rPr>
          <w:rFonts w:ascii="Calibri" w:hAnsi="Calibri"/>
          <w:b w:val="0"/>
          <w:i/>
          <w:color w:val="1B3A4B"/>
          <w:sz w:val="19"/>
        </w:rPr>
        <w:t>And check whether you need one at all: many Class II device types are exempt from premarket notification, subject to limitations set out in the classification regulation. Read the whole regulation — the special controls are binding.</w:t>
      </w:r>
    </w:p>
    <w:p>
      <w:pPr>
        <w:keepNext/>
        <w:spacing w:after="40" w:before="140"/>
      </w:pPr>
      <w:r>
        <w:rPr>
          <w:rFonts w:ascii="Calibri" w:hAnsi="Calibri"/>
          <w:b/>
          <w:color w:val="0E7C7B"/>
          <w:sz w:val="21"/>
        </w:rPr>
        <w:t>Japan: the route depends on your code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007"/>
        <w:gridCol w:w="2736"/>
        <w:gridCol w:w="6048"/>
      </w:tblGrid>
      <w:tr>
        <w:trPr>
          <w:cantSplit/>
        </w:trPr>
        <w:tc>
          <w:tcPr>
            <w:tcW w:type="dxa" w:w="1008"/>
            <w:shd w:val="clear" w:color="auto" w:fill="1B3A4B"/>
          </w:tcPr>
          <w:p>
            <w:pPr>
              <w:spacing w:after="40" w:before="40"/>
            </w:pPr>
            <w:r/>
            <w:r>
              <w:rPr>
                <w:rFonts w:ascii="Calibri" w:hAnsi="Calibri"/>
                <w:b/>
                <w:i w:val="0"/>
                <w:color w:val="FFFFFF"/>
                <w:sz w:val="18"/>
              </w:rPr>
              <w:t>Class</w:t>
            </w:r>
          </w:p>
        </w:tc>
        <w:tc>
          <w:tcPr>
            <w:tcW w:type="dxa" w:w="2736"/>
            <w:shd w:val="clear" w:color="auto" w:fill="1B3A4B"/>
          </w:tcPr>
          <w:p>
            <w:pPr>
              <w:spacing w:after="40" w:before="40"/>
            </w:pPr>
            <w:r/>
            <w:r>
              <w:rPr>
                <w:rFonts w:ascii="Calibri" w:hAnsi="Calibri"/>
                <w:b/>
                <w:i w:val="0"/>
                <w:color w:val="FFFFFF"/>
                <w:sz w:val="18"/>
              </w:rPr>
              <w:t>Category</w:t>
            </w:r>
          </w:p>
        </w:tc>
        <w:tc>
          <w:tcPr>
            <w:tcW w:type="dxa" w:w="6048"/>
            <w:shd w:val="clear" w:color="auto" w:fill="1B3A4B"/>
          </w:tcPr>
          <w:p>
            <w:pPr>
              <w:spacing w:after="40" w:before="40"/>
            </w:pPr>
            <w:r/>
            <w:r>
              <w:rPr>
                <w:rFonts w:ascii="Calibri" w:hAnsi="Calibri"/>
                <w:b/>
                <w:i w:val="0"/>
                <w:color w:val="FFFFFF"/>
                <w:sz w:val="18"/>
              </w:rPr>
              <w:t>Premarket route</w:t>
            </w:r>
          </w:p>
        </w:tc>
      </w:tr>
      <w:tr>
        <w:trPr>
          <w:cantSplit/>
        </w:trPr>
        <w:tc>
          <w:tcPr>
            <w:tcW w:type="dxa" w:w="1008"/>
          </w:tcPr>
          <w:p>
            <w:pPr>
              <w:spacing w:after="40" w:before="40"/>
            </w:pPr>
            <w:r/>
            <w:r>
              <w:rPr>
                <w:rFonts w:ascii="Calibri" w:hAnsi="Calibri"/>
                <w:b/>
                <w:i w:val="0"/>
                <w:color w:val="0E7C7B"/>
                <w:sz w:val="18"/>
              </w:rPr>
              <w:t>I</w:t>
            </w:r>
          </w:p>
        </w:tc>
        <w:tc>
          <w:tcPr>
            <w:tcW w:type="dxa" w:w="2736"/>
          </w:tcPr>
          <w:p>
            <w:pPr>
              <w:spacing w:after="40" w:before="40"/>
            </w:pPr>
            <w:r/>
            <w:r>
              <w:rPr>
                <w:rFonts w:ascii="Calibri" w:hAnsi="Calibri"/>
                <w:b w:val="0"/>
                <w:i w:val="0"/>
                <w:color w:val="22333B"/>
                <w:sz w:val="18"/>
              </w:rPr>
              <w:t>General medical device</w:t>
            </w:r>
          </w:p>
        </w:tc>
        <w:tc>
          <w:tcPr>
            <w:tcW w:type="dxa" w:w="6048"/>
          </w:tcPr>
          <w:p>
            <w:pPr>
              <w:spacing w:after="40" w:before="40"/>
            </w:pPr>
            <w:r/>
            <w:r>
              <w:rPr>
                <w:rFonts w:ascii="Calibri" w:hAnsi="Calibri"/>
                <w:b w:val="0"/>
                <w:i w:val="0"/>
                <w:color w:val="22333B"/>
                <w:sz w:val="18"/>
              </w:rPr>
              <w:t>Todokede — notification to the PMDA</w:t>
            </w:r>
          </w:p>
        </w:tc>
      </w:tr>
      <w:tr>
        <w:trPr>
          <w:cantSplit/>
        </w:trPr>
        <w:tc>
          <w:tcPr>
            <w:tcW w:type="dxa" w:w="1008"/>
          </w:tcPr>
          <w:p>
            <w:pPr>
              <w:spacing w:after="40" w:before="40"/>
            </w:pPr>
            <w:r/>
            <w:r>
              <w:rPr>
                <w:rFonts w:ascii="Calibri" w:hAnsi="Calibri"/>
                <w:b/>
                <w:i w:val="0"/>
                <w:color w:val="C77C1E"/>
                <w:sz w:val="18"/>
              </w:rPr>
              <w:t>II</w:t>
            </w:r>
          </w:p>
        </w:tc>
        <w:tc>
          <w:tcPr>
            <w:tcW w:type="dxa" w:w="2736"/>
          </w:tcPr>
          <w:p>
            <w:pPr>
              <w:spacing w:after="40" w:before="40"/>
            </w:pPr>
            <w:r/>
            <w:r>
              <w:rPr>
                <w:rFonts w:ascii="Calibri" w:hAnsi="Calibri"/>
                <w:b w:val="0"/>
                <w:i w:val="0"/>
                <w:color w:val="22333B"/>
                <w:sz w:val="18"/>
              </w:rPr>
              <w:t>Controlled medical device</w:t>
            </w:r>
          </w:p>
        </w:tc>
        <w:tc>
          <w:tcPr>
            <w:tcW w:type="dxa" w:w="6048"/>
          </w:tcPr>
          <w:p>
            <w:pPr>
              <w:spacing w:after="40" w:before="40"/>
            </w:pPr>
            <w:r/>
            <w:r>
              <w:rPr>
                <w:rFonts w:ascii="Calibri" w:hAnsi="Calibri"/>
                <w:b/>
                <w:i w:val="0"/>
                <w:color w:val="A83A3C"/>
                <w:sz w:val="18"/>
              </w:rPr>
              <w:t>WITH a certification standard: Ninsho, by a Registered Certification Body.  WITHOUT one: Shonin, approval of the MHLW on PMDA review</w:t>
            </w:r>
          </w:p>
        </w:tc>
      </w:tr>
      <w:tr>
        <w:trPr>
          <w:cantSplit/>
        </w:trPr>
        <w:tc>
          <w:tcPr>
            <w:tcW w:type="dxa" w:w="1008"/>
          </w:tcPr>
          <w:p>
            <w:pPr>
              <w:spacing w:after="40" w:before="40"/>
            </w:pPr>
            <w:r/>
            <w:r>
              <w:rPr>
                <w:rFonts w:ascii="Calibri" w:hAnsi="Calibri"/>
                <w:b/>
                <w:i w:val="0"/>
                <w:color w:val="B5762E"/>
                <w:sz w:val="18"/>
              </w:rPr>
              <w:t>III</w:t>
            </w:r>
          </w:p>
        </w:tc>
        <w:tc>
          <w:tcPr>
            <w:tcW w:type="dxa" w:w="2736"/>
          </w:tcPr>
          <w:p>
            <w:pPr>
              <w:spacing w:after="40" w:before="40"/>
            </w:pPr>
            <w:r/>
            <w:r>
              <w:rPr>
                <w:rFonts w:ascii="Calibri" w:hAnsi="Calibri"/>
                <w:b w:val="0"/>
                <w:i w:val="0"/>
                <w:color w:val="22333B"/>
                <w:sz w:val="18"/>
              </w:rPr>
              <w:t>Specially controlled</w:t>
            </w:r>
          </w:p>
        </w:tc>
        <w:tc>
          <w:tcPr>
            <w:tcW w:type="dxa" w:w="6048"/>
          </w:tcPr>
          <w:p>
            <w:pPr>
              <w:spacing w:after="40" w:before="40"/>
            </w:pPr>
            <w:r/>
            <w:r>
              <w:rPr>
                <w:rFonts w:ascii="Calibri" w:hAnsi="Calibri"/>
                <w:b w:val="0"/>
                <w:i w:val="0"/>
                <w:color w:val="22333B"/>
                <w:sz w:val="18"/>
              </w:rPr>
              <w:t>The same split — Ninsho where a certification standard exists, otherwise Shonin</w:t>
            </w:r>
          </w:p>
        </w:tc>
      </w:tr>
      <w:tr>
        <w:trPr>
          <w:cantSplit/>
        </w:trPr>
        <w:tc>
          <w:tcPr>
            <w:tcW w:type="dxa" w:w="1008"/>
          </w:tcPr>
          <w:p>
            <w:pPr>
              <w:spacing w:after="40" w:before="40"/>
            </w:pPr>
            <w:r/>
            <w:r>
              <w:rPr>
                <w:rFonts w:ascii="Calibri" w:hAnsi="Calibri"/>
                <w:b/>
                <w:i w:val="0"/>
                <w:color w:val="A83A3C"/>
                <w:sz w:val="18"/>
              </w:rPr>
              <w:t>IV</w:t>
            </w:r>
          </w:p>
        </w:tc>
        <w:tc>
          <w:tcPr>
            <w:tcW w:type="dxa" w:w="2736"/>
          </w:tcPr>
          <w:p>
            <w:pPr>
              <w:spacing w:after="40" w:before="40"/>
            </w:pPr>
            <w:r/>
            <w:r>
              <w:rPr>
                <w:rFonts w:ascii="Calibri" w:hAnsi="Calibri"/>
                <w:b w:val="0"/>
                <w:i w:val="0"/>
                <w:color w:val="22333B"/>
                <w:sz w:val="18"/>
              </w:rPr>
              <w:t>Specially controlled</w:t>
            </w:r>
          </w:p>
        </w:tc>
        <w:tc>
          <w:tcPr>
            <w:tcW w:type="dxa" w:w="6048"/>
          </w:tcPr>
          <w:p>
            <w:pPr>
              <w:spacing w:after="40" w:before="40"/>
            </w:pPr>
            <w:r/>
            <w:r>
              <w:rPr>
                <w:rFonts w:ascii="Calibri" w:hAnsi="Calibri"/>
                <w:b w:val="0"/>
                <w:i w:val="0"/>
                <w:color w:val="22333B"/>
                <w:sz w:val="18"/>
              </w:rPr>
              <w:t>Shonin — approval of the MHLW</w:t>
            </w:r>
          </w:p>
        </w:tc>
      </w:tr>
    </w:tbl>
    <w:p>
      <w:pPr>
        <w:spacing w:after="100"/>
      </w:pPr>
      <w:r>
        <w:rPr>
          <w:rFonts w:ascii="Calibri" w:hAnsi="Calibri"/>
          <w:b/>
          <w:i w:val="0"/>
          <w:color w:val="1B3A4B"/>
          <w:sz w:val="19"/>
        </w:rPr>
        <w:t>Both determinants are lookups, not arguments: the class follows the JMDN code, and the route follows whether a certification standard exists for it. Until you have done that research you cannot forecast Japan at all.</w:t>
      </w:r>
    </w:p>
    <w:p>
      <w:pPr>
        <w:keepNext/>
        <w:spacing w:after="40" w:before="140"/>
      </w:pPr>
      <w:r>
        <w:rPr>
          <w:rFonts w:ascii="Calibri" w:hAnsi="Calibri"/>
          <w:b/>
          <w:color w:val="0E7C7B"/>
          <w:sz w:val="21"/>
        </w:rPr>
        <w:t>Who holds what in Japan</w:t>
      </w:r>
    </w:p>
    <w:p>
      <w:pPr>
        <w:pStyle w:val="ListBullet"/>
        <w:spacing w:after="50" w:line="254" w:lineRule="auto"/>
        <w:ind w:left="576"/>
      </w:pPr>
      <w:r>
        <w:rPr>
          <w:rFonts w:ascii="Calibri" w:hAnsi="Calibri"/>
          <w:b/>
          <w:color w:val="1B3A4B"/>
          <w:sz w:val="20"/>
        </w:rPr>
        <w:t xml:space="preserve">Marketing Authorization Holder: </w:t>
      </w:r>
      <w:r>
        <w:rPr>
          <w:rFonts w:ascii="Calibri" w:hAnsi="Calibri"/>
          <w:color w:val="22333B"/>
          <w:sz w:val="20"/>
        </w:rPr>
        <w:t>a company established in Japan holds the authorisation and carries quality and safety responsibility. A foreign manufacturer cannot hold it directly.</w:t>
      </w:r>
    </w:p>
    <w:p>
      <w:pPr>
        <w:pStyle w:val="ListBullet"/>
        <w:spacing w:after="50" w:line="254" w:lineRule="auto"/>
        <w:ind w:left="576"/>
      </w:pPr>
      <w:r>
        <w:rPr>
          <w:rFonts w:ascii="Calibri" w:hAnsi="Calibri"/>
          <w:b/>
          <w:color w:val="1B3A4B"/>
          <w:sz w:val="20"/>
        </w:rPr>
        <w:t xml:space="preserve">Designated MAH: </w:t>
      </w:r>
      <w:r>
        <w:rPr>
          <w:rFonts w:ascii="Calibri" w:hAnsi="Calibri"/>
          <w:color w:val="22333B"/>
          <w:sz w:val="20"/>
        </w:rPr>
        <w:t>holds it on your behalf where you have no Japanese entity. Often a distributor — and the choice has long consequences.</w:t>
      </w:r>
    </w:p>
    <w:p>
      <w:pPr>
        <w:pStyle w:val="ListBullet"/>
        <w:spacing w:after="50" w:line="254" w:lineRule="auto"/>
        <w:ind w:left="576"/>
      </w:pPr>
      <w:r>
        <w:rPr>
          <w:rFonts w:ascii="Calibri" w:hAnsi="Calibri"/>
          <w:b/>
          <w:color w:val="1B3A4B"/>
          <w:sz w:val="20"/>
        </w:rPr>
        <w:t xml:space="preserve">Foreign Manufacturer Registration: </w:t>
      </w:r>
      <w:r>
        <w:rPr>
          <w:rFonts w:ascii="Calibri" w:hAnsi="Calibri"/>
          <w:color w:val="22333B"/>
          <w:sz w:val="20"/>
        </w:rPr>
        <w:t>the overseas site is registered separately, and that workstream runs in parallel with the product application.</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The commercial trap</w:t>
            </w:r>
          </w:p>
          <w:p>
            <w:pPr>
              <w:spacing w:after="80"/>
            </w:pPr>
            <w:r>
              <w:rPr>
                <w:rFonts w:ascii="Calibri" w:hAnsi="Calibri"/>
                <w:color w:val="22333B"/>
                <w:sz w:val="19"/>
              </w:rPr>
              <w:t>If your distributor is your DMAH, your authorisation sits in their name. Changing partner then means transferring or re-obtaining the approval, and they have no incentive to be quick. Negotiate transfer terms into the original agreement: nobody objects at the start of a relationship; everybody objects at the end.</w:t>
            </w:r>
          </w:p>
        </w:tc>
      </w:tr>
    </w:tbl>
    <w:p>
      <w:pPr>
        <w:spacing w:after="100" w:before="0" w:line="240" w:lineRule="auto"/>
      </w:pPr>
      <w:r>
        <w:rPr>
          <w:sz w:val="2"/>
        </w:rPr>
      </w:r>
    </w:p>
    <w:p>
      <w:pPr>
        <w:keepNext/>
        <w:spacing w:after="40" w:before="140"/>
      </w:pPr>
      <w:r>
        <w:rPr>
          <w:rFonts w:ascii="Calibri" w:hAnsi="Calibri"/>
          <w:b/>
          <w:color w:val="0E7C7B"/>
          <w:sz w:val="21"/>
        </w:rPr>
        <w:t>One quality system, four audiences</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160"/>
        <w:gridCol w:w="4752"/>
        <w:gridCol w:w="2880"/>
      </w:tblGrid>
      <w:tr>
        <w:trPr>
          <w:cantSplit/>
        </w:trPr>
        <w:tc>
          <w:tcPr>
            <w:tcW w:type="dxa" w:w="2160"/>
            <w:shd w:val="clear" w:color="auto" w:fill="1B3A4B"/>
          </w:tcPr>
          <w:p>
            <w:pPr>
              <w:spacing w:after="40" w:before="40"/>
            </w:pPr>
            <w:r/>
            <w:r>
              <w:rPr>
                <w:rFonts w:ascii="Calibri" w:hAnsi="Calibri"/>
                <w:b/>
                <w:i w:val="0"/>
                <w:color w:val="FFFFFF"/>
                <w:sz w:val="18"/>
              </w:rPr>
              <w:t>Jurisdiction</w:t>
            </w:r>
          </w:p>
        </w:tc>
        <w:tc>
          <w:tcPr>
            <w:tcW w:type="dxa" w:w="4752"/>
            <w:shd w:val="clear" w:color="auto" w:fill="1B3A4B"/>
          </w:tcPr>
          <w:p>
            <w:pPr>
              <w:spacing w:after="40" w:before="40"/>
            </w:pPr>
            <w:r/>
            <w:r>
              <w:rPr>
                <w:rFonts w:ascii="Calibri" w:hAnsi="Calibri"/>
                <w:b/>
                <w:i w:val="0"/>
                <w:color w:val="FFFFFF"/>
                <w:sz w:val="18"/>
              </w:rPr>
              <w:t>Requirement</w:t>
            </w:r>
          </w:p>
        </w:tc>
        <w:tc>
          <w:tcPr>
            <w:tcW w:type="dxa" w:w="2880"/>
            <w:shd w:val="clear" w:color="auto" w:fill="1B3A4B"/>
          </w:tcPr>
          <w:p>
            <w:pPr>
              <w:spacing w:after="40" w:before="40"/>
            </w:pPr>
            <w:r/>
            <w:r>
              <w:rPr>
                <w:rFonts w:ascii="Calibri" w:hAnsi="Calibri"/>
                <w:b/>
                <w:i w:val="0"/>
                <w:color w:val="FFFFFF"/>
                <w:sz w:val="18"/>
              </w:rPr>
              <w:t>MDSAP accepted?</w:t>
            </w:r>
          </w:p>
        </w:tc>
      </w:tr>
      <w:tr>
        <w:trPr>
          <w:cantSplit/>
        </w:trPr>
        <w:tc>
          <w:tcPr>
            <w:tcW w:type="dxa" w:w="2160"/>
          </w:tcPr>
          <w:p>
            <w:pPr>
              <w:spacing w:after="40" w:before="40"/>
            </w:pPr>
            <w:r/>
            <w:r>
              <w:rPr>
                <w:rFonts w:ascii="Calibri" w:hAnsi="Calibri"/>
                <w:b/>
                <w:i w:val="0"/>
                <w:color w:val="22333B"/>
                <w:sz w:val="18"/>
              </w:rPr>
              <w:t>United States</w:t>
            </w:r>
          </w:p>
        </w:tc>
        <w:tc>
          <w:tcPr>
            <w:tcW w:type="dxa" w:w="4752"/>
          </w:tcPr>
          <w:p>
            <w:pPr>
              <w:spacing w:after="40" w:before="40"/>
            </w:pPr>
            <w:r/>
            <w:r>
              <w:rPr>
                <w:rFonts w:ascii="Calibri" w:hAnsi="Calibri"/>
                <w:b w:val="0"/>
                <w:i w:val="0"/>
                <w:color w:val="22333B"/>
                <w:sz w:val="18"/>
              </w:rPr>
              <w:t>QMSR — 21 CFR 820 on ISO 13485:2016</w:t>
            </w:r>
          </w:p>
        </w:tc>
        <w:tc>
          <w:tcPr>
            <w:tcW w:type="dxa" w:w="2880"/>
          </w:tcPr>
          <w:p>
            <w:pPr>
              <w:spacing w:after="40" w:before="40"/>
            </w:pPr>
            <w:r/>
            <w:r>
              <w:rPr>
                <w:rFonts w:ascii="Calibri" w:hAnsi="Calibri"/>
                <w:b/>
                <w:i w:val="0"/>
                <w:color w:val="0E7C7B"/>
                <w:sz w:val="18"/>
              </w:rPr>
              <w:t>Yes, for routine inspections</w:t>
            </w:r>
          </w:p>
        </w:tc>
      </w:tr>
      <w:tr>
        <w:trPr>
          <w:cantSplit/>
        </w:trPr>
        <w:tc>
          <w:tcPr>
            <w:tcW w:type="dxa" w:w="2160"/>
          </w:tcPr>
          <w:p>
            <w:pPr>
              <w:spacing w:after="40" w:before="40"/>
            </w:pPr>
            <w:r/>
            <w:r>
              <w:rPr>
                <w:rFonts w:ascii="Calibri" w:hAnsi="Calibri"/>
                <w:b/>
                <w:i w:val="0"/>
                <w:color w:val="22333B"/>
                <w:sz w:val="18"/>
              </w:rPr>
              <w:t>European Union</w:t>
            </w:r>
          </w:p>
        </w:tc>
        <w:tc>
          <w:tcPr>
            <w:tcW w:type="dxa" w:w="4752"/>
          </w:tcPr>
          <w:p>
            <w:pPr>
              <w:spacing w:after="40" w:before="40"/>
            </w:pPr>
            <w:r/>
            <w:r>
              <w:rPr>
                <w:rFonts w:ascii="Calibri" w:hAnsi="Calibri"/>
                <w:b w:val="0"/>
                <w:i w:val="0"/>
                <w:color w:val="22333B"/>
                <w:sz w:val="18"/>
              </w:rPr>
              <w:t>MDR Article 10(9); ISO 13485 in practice</w:t>
            </w:r>
          </w:p>
        </w:tc>
        <w:tc>
          <w:tcPr>
            <w:tcW w:type="dxa" w:w="2880"/>
          </w:tcPr>
          <w:p>
            <w:pPr>
              <w:spacing w:after="40" w:before="40"/>
            </w:pPr>
            <w:r/>
            <w:r>
              <w:rPr>
                <w:rFonts w:ascii="Calibri" w:hAnsi="Calibri"/>
                <w:b/>
                <w:i w:val="0"/>
                <w:color w:val="A83A3C"/>
                <w:sz w:val="18"/>
              </w:rPr>
              <w:t>No — your notified body audits you</w:t>
            </w:r>
          </w:p>
        </w:tc>
      </w:tr>
      <w:tr>
        <w:trPr>
          <w:cantSplit/>
        </w:trPr>
        <w:tc>
          <w:tcPr>
            <w:tcW w:type="dxa" w:w="2160"/>
          </w:tcPr>
          <w:p>
            <w:pPr>
              <w:spacing w:after="40" w:before="40"/>
            </w:pPr>
            <w:r/>
            <w:r>
              <w:rPr>
                <w:rFonts w:ascii="Calibri" w:hAnsi="Calibri"/>
                <w:b/>
                <w:i w:val="0"/>
                <w:color w:val="22333B"/>
                <w:sz w:val="18"/>
              </w:rPr>
              <w:t>Great Britain</w:t>
            </w:r>
          </w:p>
        </w:tc>
        <w:tc>
          <w:tcPr>
            <w:tcW w:type="dxa" w:w="4752"/>
          </w:tcPr>
          <w:p>
            <w:pPr>
              <w:spacing w:after="40" w:before="40"/>
            </w:pPr>
            <w:r/>
            <w:r>
              <w:rPr>
                <w:rFonts w:ascii="Calibri" w:hAnsi="Calibri"/>
                <w:b w:val="0"/>
                <w:i w:val="0"/>
                <w:color w:val="22333B"/>
                <w:sz w:val="18"/>
              </w:rPr>
              <w:t>Per the UK MDR route; ISO 13485</w:t>
            </w:r>
          </w:p>
        </w:tc>
        <w:tc>
          <w:tcPr>
            <w:tcW w:type="dxa" w:w="2880"/>
          </w:tcPr>
          <w:p>
            <w:pPr>
              <w:spacing w:after="40" w:before="40"/>
            </w:pPr>
            <w:r/>
            <w:r>
              <w:rPr>
                <w:rFonts w:ascii="Calibri" w:hAnsi="Calibri"/>
                <w:b w:val="0"/>
                <w:i w:val="0"/>
                <w:color w:val="22333B"/>
                <w:sz w:val="18"/>
              </w:rPr>
              <w:t>Not as a substitute — check policy</w:t>
            </w:r>
          </w:p>
        </w:tc>
      </w:tr>
      <w:tr>
        <w:trPr>
          <w:cantSplit/>
        </w:trPr>
        <w:tc>
          <w:tcPr>
            <w:tcW w:type="dxa" w:w="2160"/>
          </w:tcPr>
          <w:p>
            <w:pPr>
              <w:spacing w:after="40" w:before="40"/>
            </w:pPr>
            <w:r/>
            <w:r>
              <w:rPr>
                <w:rFonts w:ascii="Calibri" w:hAnsi="Calibri"/>
                <w:b/>
                <w:i w:val="0"/>
                <w:color w:val="22333B"/>
                <w:sz w:val="18"/>
              </w:rPr>
              <w:t>Japan</w:t>
            </w:r>
          </w:p>
        </w:tc>
        <w:tc>
          <w:tcPr>
            <w:tcW w:type="dxa" w:w="4752"/>
          </w:tcPr>
          <w:p>
            <w:pPr>
              <w:spacing w:after="40" w:before="40"/>
            </w:pPr>
            <w:r/>
            <w:r>
              <w:rPr>
                <w:rFonts w:ascii="Calibri" w:hAnsi="Calibri"/>
                <w:b w:val="0"/>
                <w:i w:val="0"/>
                <w:color w:val="22333B"/>
                <w:sz w:val="18"/>
              </w:rPr>
              <w:t>QMS Ordinance — ISO 13485 plus additions</w:t>
            </w:r>
          </w:p>
        </w:tc>
        <w:tc>
          <w:tcPr>
            <w:tcW w:type="dxa" w:w="2880"/>
          </w:tcPr>
          <w:p>
            <w:pPr>
              <w:spacing w:after="40" w:before="40"/>
            </w:pPr>
            <w:r/>
            <w:r>
              <w:rPr>
                <w:rFonts w:ascii="Calibri" w:hAnsi="Calibri"/>
                <w:b w:val="0"/>
                <w:i w:val="0"/>
                <w:color w:val="22333B"/>
                <w:sz w:val="18"/>
              </w:rPr>
              <w:t>Participates — confirm scope</w:t>
            </w:r>
          </w:p>
        </w:tc>
      </w:tr>
    </w:tbl>
    <w:p>
      <w:pPr>
        <w:spacing w:after="100"/>
      </w:pPr>
      <w:r>
        <w:rPr>
          <w:rFonts w:ascii="Calibri" w:hAnsi="Calibri"/>
          <w:b/>
          <w:i w:val="0"/>
          <w:color w:val="1B3A4B"/>
          <w:sz w:val="19"/>
        </w:rPr>
        <w:t>Build to ISO 13485 as the base and layer the jurisdiction-specific additions on top. Running parallel quality systems is the most expensive avoidable mistake in this field.</w:t>
      </w:r>
    </w:p>
    <w:p>
      <w:pPr>
        <w:pageBreakBefore/>
        <w:spacing w:after="40" w:before="0"/>
      </w:pPr>
      <w:r>
        <w:rPr>
          <w:rFonts w:ascii="Calibri" w:hAnsi="Calibri"/>
          <w:b/>
          <w:color w:val="A83A3C"/>
          <w:sz w:val="17"/>
          <w:spacing w:val="30"/>
        </w:rPr>
        <w:t>WORKING SESSION 2  ·  10 MINUTES  ·  TABLETOP</w:t>
      </w:r>
    </w:p>
    <w:p>
      <w:pPr>
        <w:spacing w:after="80" w:before="0"/>
      </w:pPr>
      <w:r>
        <w:rPr>
          <w:rFonts w:ascii="Cambria" w:hAnsi="Cambria"/>
          <w:b/>
          <w:color w:val="1B3A4B"/>
          <w:sz w:val="36"/>
        </w:rPr>
        <w:t>Eighteen months of runway</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The situation</w:t>
            </w:r>
          </w:p>
          <w:p>
            <w:pPr>
              <w:spacing w:after="80"/>
            </w:pPr>
            <w:r>
              <w:rPr>
                <w:rFonts w:ascii="Calibri" w:hAnsi="Calibri"/>
                <w:color w:val="22333B"/>
                <w:sz w:val="19"/>
              </w:rPr>
              <w:t>You are the regulatory lead. Your company has the wearable monitor from the first session. It is cleared in the US and selling modestly.</w:t>
            </w:r>
          </w:p>
          <w:p>
            <w:pPr>
              <w:spacing w:after="80"/>
            </w:pPr>
            <w:r>
              <w:rPr>
                <w:rFonts w:ascii="Calibri" w:hAnsi="Calibri"/>
                <w:color w:val="22333B"/>
                <w:sz w:val="19"/>
              </w:rPr>
              <w:t>You have 18 months of runway, one regulatory hire you have not yet made, and a board that wants international revenue in this financial year.</w:t>
            </w:r>
          </w:p>
          <w:p>
            <w:pPr>
              <w:spacing w:after="80"/>
            </w:pPr>
            <w:r>
              <w:rPr>
                <w:rFonts w:ascii="Calibri" w:hAnsi="Calibri"/>
                <w:color w:val="22333B"/>
                <w:sz w:val="19"/>
              </w:rPr>
              <w:t>Your CEO has decided you will “do Europe, the UK and Japan”. Your clinical evidence is bench testing and a 60-patient usability study. You have no notified body contract. Your Japanese distributor has offered to act as DMAH at no cost.</w:t>
            </w:r>
          </w:p>
        </w:tc>
      </w:tr>
    </w:tbl>
    <w:p>
      <w:pPr>
        <w:spacing w:after="100" w:before="0" w:line="240" w:lineRule="auto"/>
      </w:pPr>
      <w:r>
        <w:rPr>
          <w:sz w:val="2"/>
        </w:rPr>
      </w:r>
    </w:p>
    <w:p>
      <w:pPr>
        <w:keepNext/>
        <w:spacing w:after="40" w:before="160"/>
      </w:pPr>
      <w:r>
        <w:rPr>
          <w:rFonts w:ascii="Calibri" w:hAnsi="Calibri"/>
          <w:b/>
          <w:color w:val="0E7C7B"/>
          <w:sz w:val="21"/>
        </w:rPr>
        <w:t>Round 1 — sequence it</w:t>
      </w:r>
    </w:p>
    <w:p>
      <w:pPr>
        <w:spacing w:after="60"/>
      </w:pPr>
      <w:r>
        <w:rPr>
          <w:rFonts w:ascii="Calibri" w:hAnsi="Calibri"/>
          <w:b w:val="0"/>
          <w:i/>
          <w:color w:val="4E626D"/>
          <w:sz w:val="19"/>
        </w:rPr>
        <w:t>Which market first, and why?  What do you tell the board about revenue this year?  What does your one hire need to be good at?</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Round 2 — find what breaks</w:t>
      </w:r>
    </w:p>
    <w:p>
      <w:pPr>
        <w:spacing w:after="60"/>
      </w:pPr>
      <w:r>
        <w:rPr>
          <w:rFonts w:ascii="Calibri" w:hAnsi="Calibri"/>
          <w:b w:val="0"/>
          <w:i/>
          <w:color w:val="4E626D"/>
          <w:sz w:val="19"/>
        </w:rPr>
        <w:t>Where does the clinical evidence fall short, and for which market?  What is the earliest realistic EU date?  What would you do about the UK specifically?</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keepNext/>
        <w:spacing w:after="40" w:before="140"/>
      </w:pPr>
      <w:r>
        <w:rPr>
          <w:rFonts w:ascii="Calibri" w:hAnsi="Calibri"/>
          <w:b/>
          <w:color w:val="0E7C7B"/>
          <w:sz w:val="21"/>
        </w:rPr>
        <w:t>Round 3 — the decisions you cannot reverse</w:t>
      </w:r>
    </w:p>
    <w:p>
      <w:pPr>
        <w:spacing w:after="60"/>
      </w:pPr>
      <w:r>
        <w:rPr>
          <w:rFonts w:ascii="Calibri" w:hAnsi="Calibri"/>
          <w:b w:val="0"/>
          <w:i/>
          <w:color w:val="4E626D"/>
          <w:sz w:val="19"/>
        </w:rPr>
        <w:t>What do you say to the Japanese distributor?  What must be decided in the next 30 days?  What would you refuse to do, even under board pressure?</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PART FIVE</w:t>
      </w:r>
    </w:p>
    <w:p>
      <w:pPr>
        <w:spacing w:after="80" w:before="0"/>
      </w:pPr>
      <w:r>
        <w:rPr>
          <w:rFonts w:ascii="Cambria" w:hAnsi="Cambria"/>
          <w:b/>
          <w:color w:val="1B3A4B"/>
          <w:sz w:val="36"/>
        </w:rPr>
        <w:t>Part 5 — Making it work</w:t>
      </w:r>
    </w:p>
    <w:p>
      <w:pPr>
        <w:spacing w:before="120" w:after="160"/>
        <w:pBdr>
          <w:bottom w:val="single" w:sz="6" w:space="1" w:color="D7E2E5"/>
        </w:pBdr>
      </w:pPr>
    </w:p>
    <w:p>
      <w:pPr>
        <w:keepNext/>
        <w:spacing w:after="40" w:before="0"/>
      </w:pPr>
      <w:r>
        <w:rPr>
          <w:rFonts w:ascii="Calibri" w:hAnsi="Calibri"/>
          <w:b/>
          <w:color w:val="0E7C7B"/>
          <w:sz w:val="21"/>
        </w:rPr>
        <w:t>One technical file, four submissions</w:t>
      </w:r>
    </w:p>
    <w:p>
      <w:pPr>
        <w:spacing w:after="50" w:line="254" w:lineRule="auto"/>
        <w:ind w:left="792" w:hanging="432"/>
      </w:pPr>
      <w:r>
        <w:rPr>
          <w:rFonts w:ascii="Calibri" w:hAnsi="Calibri"/>
          <w:b/>
          <w:color w:val="0E7C7B"/>
          <w:sz w:val="19"/>
        </w:rPr>
        <w:t xml:space="preserve">1.  </w:t>
      </w:r>
      <w:r>
        <w:rPr>
          <w:rFonts w:ascii="Calibri" w:hAnsi="Calibri"/>
          <w:b/>
          <w:color w:val="1B3A4B"/>
          <w:sz w:val="19"/>
        </w:rPr>
        <w:t xml:space="preserve">Hold evidence separately from submissions. </w:t>
      </w:r>
      <w:r>
        <w:rPr>
          <w:rFonts w:ascii="Calibri" w:hAnsi="Calibri"/>
          <w:color w:val="22333B"/>
          <w:sz w:val="19"/>
        </w:rPr>
        <w:t>Test reports, the risk file, clinical data and design records are durable assets. A 510(k), an Annex II file, a UKCA file and a Ninsho application are views of those assets assembled for different readers.</w:t>
      </w:r>
    </w:p>
    <w:p>
      <w:pPr>
        <w:spacing w:after="50" w:line="254" w:lineRule="auto"/>
        <w:ind w:left="792" w:hanging="432"/>
      </w:pPr>
      <w:r>
        <w:rPr>
          <w:rFonts w:ascii="Calibri" w:hAnsi="Calibri"/>
          <w:b/>
          <w:color w:val="0E7C7B"/>
          <w:sz w:val="19"/>
        </w:rPr>
        <w:t xml:space="preserve">2.  </w:t>
      </w:r>
      <w:r>
        <w:rPr>
          <w:rFonts w:ascii="Calibri" w:hAnsi="Calibri"/>
          <w:b/>
          <w:color w:val="1B3A4B"/>
          <w:sz w:val="19"/>
        </w:rPr>
        <w:t xml:space="preserve">Index against the strictest requirement set. </w:t>
      </w:r>
      <w:r>
        <w:rPr>
          <w:rFonts w:ascii="Calibri" w:hAnsi="Calibri"/>
          <w:color w:val="22333B"/>
          <w:sz w:val="19"/>
        </w:rPr>
        <w:t>Build the index around MDR Annex II and the GSPR checklist. Everything else is then a subset or a reformatting, not new work.</w:t>
      </w:r>
    </w:p>
    <w:p>
      <w:pPr>
        <w:spacing w:after="50" w:line="254" w:lineRule="auto"/>
        <w:ind w:left="792" w:hanging="432"/>
      </w:pPr>
      <w:r>
        <w:rPr>
          <w:rFonts w:ascii="Calibri" w:hAnsi="Calibri"/>
          <w:b/>
          <w:color w:val="0E7C7B"/>
          <w:sz w:val="19"/>
        </w:rPr>
        <w:t xml:space="preserve">3.  </w:t>
      </w:r>
      <w:r>
        <w:rPr>
          <w:rFonts w:ascii="Calibri" w:hAnsi="Calibri"/>
          <w:b/>
          <w:color w:val="1B3A4B"/>
          <w:sz w:val="19"/>
        </w:rPr>
        <w:t xml:space="preserve">Keep four classification rationales. </w:t>
      </w:r>
      <w:r>
        <w:rPr>
          <w:rFonts w:ascii="Calibri" w:hAnsi="Calibri"/>
          <w:color w:val="22333B"/>
          <w:sz w:val="19"/>
        </w:rPr>
        <w:t>One document per jurisdiction, each citing its own rules, each dated. Two hours of work that answers the first question every assessor asks.</w:t>
      </w:r>
    </w:p>
    <w:p>
      <w:pPr>
        <w:spacing w:after="50" w:line="254" w:lineRule="auto"/>
        <w:ind w:left="792" w:hanging="432"/>
      </w:pPr>
      <w:r>
        <w:rPr>
          <w:rFonts w:ascii="Calibri" w:hAnsi="Calibri"/>
          <w:b/>
          <w:color w:val="0E7C7B"/>
          <w:sz w:val="19"/>
        </w:rPr>
        <w:t xml:space="preserve">4.  </w:t>
      </w:r>
      <w:r>
        <w:rPr>
          <w:rFonts w:ascii="Calibri" w:hAnsi="Calibri"/>
          <w:b/>
          <w:color w:val="1B3A4B"/>
          <w:sz w:val="19"/>
        </w:rPr>
        <w:t xml:space="preserve">Track standards and editions in one register. </w:t>
      </w:r>
      <w:r>
        <w:rPr>
          <w:rFonts w:ascii="Calibri" w:hAnsi="Calibri"/>
          <w:color w:val="22333B"/>
          <w:sz w:val="19"/>
        </w:rPr>
        <w:t>Which standard, which edition, which report, which regulator recognises it. This is where reuse either works or quietly fails.</w:t>
      </w:r>
    </w:p>
    <w:p>
      <w:pPr>
        <w:keepNext/>
        <w:spacing w:after="40" w:before="140"/>
      </w:pPr>
      <w:r>
        <w:rPr>
          <w:rFonts w:ascii="Calibri" w:hAnsi="Calibri"/>
          <w:b/>
          <w:color w:val="0E7C7B"/>
          <w:sz w:val="21"/>
        </w:rPr>
        <w:t>Which market first?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896"/>
        <w:gridCol w:w="4896"/>
      </w:tblGrid>
      <w:tr>
        <w:trPr>
          <w:cantSplit/>
        </w:trPr>
        <w:tc>
          <w:tcPr>
            <w:tcW w:type="dxa" w:w="4896"/>
            <w:shd w:val="clear" w:color="auto" w:fill="1B3A4B"/>
          </w:tcPr>
          <w:p>
            <w:pPr>
              <w:spacing w:after="40" w:before="40"/>
            </w:pPr>
            <w:r/>
            <w:r>
              <w:rPr>
                <w:rFonts w:ascii="Calibri" w:hAnsi="Calibri"/>
                <w:b/>
                <w:i w:val="0"/>
                <w:color w:val="FFFFFF"/>
                <w:sz w:val="18"/>
              </w:rPr>
              <w:t>The case for Europe first</w:t>
            </w:r>
          </w:p>
        </w:tc>
        <w:tc>
          <w:tcPr>
            <w:tcW w:type="dxa" w:w="4896"/>
            <w:shd w:val="clear" w:color="auto" w:fill="1B3A4B"/>
          </w:tcPr>
          <w:p>
            <w:pPr>
              <w:spacing w:after="40" w:before="40"/>
            </w:pPr>
            <w:r/>
            <w:r>
              <w:rPr>
                <w:rFonts w:ascii="Calibri" w:hAnsi="Calibri"/>
                <w:b/>
                <w:i w:val="0"/>
                <w:color w:val="FFFFFF"/>
                <w:sz w:val="18"/>
              </w:rPr>
              <w:t>The case against — and what to do instead</w:t>
            </w:r>
          </w:p>
        </w:tc>
      </w:tr>
      <w:tr>
        <w:trPr>
          <w:cantSplit/>
        </w:trPr>
        <w:tc>
          <w:tcPr>
            <w:tcW w:type="dxa" w:w="4896"/>
          </w:tcPr>
          <w:p>
            <w:pPr>
              <w:spacing w:after="40" w:before="40"/>
            </w:pPr>
            <w:r/>
            <w:r>
              <w:rPr>
                <w:rFonts w:ascii="Calibri" w:hAnsi="Calibri"/>
                <w:b w:val="0"/>
                <w:i w:val="0"/>
                <w:color w:val="22333B"/>
                <w:sz w:val="18"/>
              </w:rPr>
              <w:t>It is the most demanding, so everything else becomes a subset</w:t>
            </w:r>
          </w:p>
          <w:p>
            <w:pPr>
              <w:spacing w:after="40"/>
            </w:pPr>
            <w:r>
              <w:rPr>
                <w:rFonts w:ascii="Calibri" w:hAnsi="Calibri"/>
                <w:b w:val="0"/>
                <w:i w:val="0"/>
                <w:color w:val="22333B"/>
                <w:sz w:val="18"/>
              </w:rPr>
            </w:r>
          </w:p>
          <w:p>
            <w:pPr>
              <w:spacing w:after="40"/>
            </w:pPr>
            <w:r>
              <w:rPr>
                <w:rFonts w:ascii="Calibri" w:hAnsi="Calibri"/>
                <w:b w:val="0"/>
                <w:i w:val="0"/>
                <w:color w:val="22333B"/>
                <w:sz w:val="18"/>
              </w:rPr>
              <w:t>The MDR file over-satisfies UKCA and much of it serves Japan</w:t>
            </w:r>
          </w:p>
          <w:p>
            <w:pPr>
              <w:spacing w:after="40"/>
            </w:pPr>
            <w:r>
              <w:rPr>
                <w:rFonts w:ascii="Calibri" w:hAnsi="Calibri"/>
                <w:b w:val="0"/>
                <w:i w:val="0"/>
                <w:color w:val="22333B"/>
                <w:sz w:val="18"/>
              </w:rPr>
            </w:r>
          </w:p>
          <w:p>
            <w:pPr>
              <w:spacing w:after="40"/>
            </w:pPr>
            <w:r>
              <w:rPr>
                <w:rFonts w:ascii="Calibri" w:hAnsi="Calibri"/>
                <w:b w:val="0"/>
                <w:i w:val="0"/>
                <w:color w:val="22333B"/>
                <w:sz w:val="18"/>
              </w:rPr>
              <w:t>A CE certificate currently reaches the whole UK</w:t>
            </w:r>
          </w:p>
          <w:p>
            <w:pPr>
              <w:spacing w:after="40"/>
            </w:pPr>
            <w:r>
              <w:rPr>
                <w:rFonts w:ascii="Calibri" w:hAnsi="Calibri"/>
                <w:b w:val="0"/>
                <w:i w:val="0"/>
                <w:color w:val="22333B"/>
                <w:sz w:val="18"/>
              </w:rPr>
            </w:r>
          </w:p>
          <w:p>
            <w:pPr>
              <w:spacing w:after="40"/>
            </w:pPr>
            <w:r>
              <w:rPr>
                <w:rFonts w:ascii="Calibri" w:hAnsi="Calibri"/>
                <w:b w:val="0"/>
                <w:i w:val="0"/>
                <w:color w:val="22333B"/>
                <w:sz w:val="18"/>
              </w:rPr>
              <w:t>Notified body queues are long, so starting early has option value</w:t>
            </w:r>
          </w:p>
          <w:p>
            <w:pPr>
              <w:spacing w:after="40"/>
            </w:pPr>
            <w:r>
              <w:rPr>
                <w:rFonts w:ascii="Calibri" w:hAnsi="Calibri"/>
                <w:b w:val="0"/>
                <w:i w:val="0"/>
                <w:color w:val="22333B"/>
                <w:sz w:val="18"/>
              </w:rPr>
            </w:r>
          </w:p>
          <w:p>
            <w:pPr>
              <w:spacing w:after="40"/>
            </w:pPr>
            <w:r>
              <w:rPr>
                <w:rFonts w:ascii="Calibri" w:hAnsi="Calibri"/>
                <w:b w:val="0"/>
                <w:i w:val="0"/>
                <w:color w:val="22333B"/>
                <w:sz w:val="18"/>
              </w:rPr>
              <w:t>Take this route when you have the clinical evidence, or the runway to generate it</w:t>
            </w:r>
          </w:p>
        </w:tc>
        <w:tc>
          <w:tcPr>
            <w:tcW w:type="dxa" w:w="4896"/>
            <w:shd w:val="clear" w:color="auto" w:fill="FBF0E2"/>
          </w:tcPr>
          <w:p>
            <w:pPr>
              <w:spacing w:after="40" w:before="40"/>
            </w:pPr>
            <w:r/>
            <w:r>
              <w:rPr>
                <w:rFonts w:ascii="Calibri" w:hAnsi="Calibri"/>
                <w:b w:val="0"/>
                <w:i w:val="0"/>
                <w:color w:val="22333B"/>
                <w:sz w:val="18"/>
              </w:rPr>
              <w:t>It is the slowest and most expensive first step</w:t>
            </w:r>
          </w:p>
          <w:p>
            <w:pPr>
              <w:spacing w:after="40"/>
            </w:pPr>
            <w:r>
              <w:rPr>
                <w:rFonts w:ascii="Calibri" w:hAnsi="Calibri"/>
                <w:b w:val="0"/>
                <w:i w:val="0"/>
                <w:color w:val="22333B"/>
                <w:sz w:val="18"/>
              </w:rPr>
            </w:r>
          </w:p>
          <w:p>
            <w:pPr>
              <w:spacing w:after="40"/>
            </w:pPr>
            <w:r>
              <w:rPr>
                <w:rFonts w:ascii="Calibri" w:hAnsi="Calibri"/>
                <w:b w:val="0"/>
                <w:i w:val="0"/>
                <w:color w:val="22333B"/>
                <w:sz w:val="18"/>
              </w:rPr>
              <w:t>The clinical evidence gap lands on the critical path</w:t>
            </w:r>
          </w:p>
          <w:p>
            <w:pPr>
              <w:spacing w:after="40"/>
            </w:pPr>
            <w:r>
              <w:rPr>
                <w:rFonts w:ascii="Calibri" w:hAnsi="Calibri"/>
                <w:b w:val="0"/>
                <w:i w:val="0"/>
                <w:color w:val="22333B"/>
                <w:sz w:val="18"/>
              </w:rPr>
            </w:r>
          </w:p>
          <w:p>
            <w:pPr>
              <w:spacing w:after="40"/>
            </w:pPr>
            <w:r>
              <w:rPr>
                <w:rFonts w:ascii="Calibri" w:hAnsi="Calibri"/>
                <w:b w:val="0"/>
                <w:i w:val="0"/>
                <w:color w:val="22333B"/>
                <w:sz w:val="18"/>
              </w:rPr>
              <w:t>Revenue arrives last, which is the opposite of what most boards need</w:t>
            </w:r>
          </w:p>
          <w:p>
            <w:pPr>
              <w:spacing w:after="40"/>
            </w:pPr>
            <w:r>
              <w:rPr>
                <w:rFonts w:ascii="Calibri" w:hAnsi="Calibri"/>
                <w:b w:val="0"/>
                <w:i w:val="0"/>
                <w:color w:val="22333B"/>
                <w:sz w:val="18"/>
              </w:rPr>
            </w:r>
          </w:p>
          <w:p>
            <w:pPr>
              <w:spacing w:after="40"/>
            </w:pPr>
            <w:r>
              <w:rPr>
                <w:rFonts w:ascii="Calibri" w:hAnsi="Calibri"/>
                <w:b w:val="0"/>
                <w:i w:val="0"/>
                <w:color w:val="22333B"/>
                <w:sz w:val="18"/>
              </w:rPr>
              <w:t>Instead: sequence for what unblocks revenue soonest while building toward the strictest file — and start the European evidence in parallel from day one</w:t>
            </w:r>
          </w:p>
        </w:tc>
      </w:tr>
    </w:tbl>
    <w:p>
      <w:pPr>
        <w:spacing w:after="100"/>
      </w:pPr>
      <w:r>
        <w:rPr>
          <w:rFonts w:ascii="Calibri" w:hAnsi="Calibri"/>
          <w:b/>
          <w:i w:val="0"/>
          <w:color w:val="A83A3C"/>
          <w:sz w:val="20"/>
        </w:rPr>
        <w:t>Whichever order you choose: start the clinical evidence strategy on day one, in every scenario. Almost everything else can be accelerated with money. Clinical evidence cannot.</w:t>
      </w:r>
    </w:p>
    <w:p>
      <w:pPr>
        <w:keepNext/>
        <w:spacing w:after="40" w:before="140"/>
      </w:pPr>
      <w:r>
        <w:rPr>
          <w:rFonts w:ascii="Calibri" w:hAnsi="Calibri"/>
          <w:b/>
          <w:color w:val="0E7C7B"/>
          <w:sz w:val="21"/>
        </w:rPr>
        <w:t>Five things worth remembering</w:t>
      </w:r>
    </w:p>
    <w:p>
      <w:pPr>
        <w:spacing w:after="50" w:line="254" w:lineRule="auto"/>
        <w:ind w:left="792" w:hanging="432"/>
      </w:pPr>
      <w:r>
        <w:rPr>
          <w:rFonts w:ascii="Calibri" w:hAnsi="Calibri"/>
          <w:b/>
          <w:color w:val="0E7C7B"/>
          <w:sz w:val="19"/>
        </w:rPr>
        <w:t xml:space="preserve">1.  </w:t>
      </w:r>
      <w:r>
        <w:rPr>
          <w:rFonts w:ascii="Calibri" w:hAnsi="Calibri"/>
          <w:b/>
          <w:color w:val="1B3A4B"/>
          <w:sz w:val="19"/>
        </w:rPr>
        <w:t xml:space="preserve">“Class II” is a US term and it does not travel. </w:t>
      </w:r>
      <w:r>
        <w:rPr>
          <w:rFonts w:ascii="Calibri" w:hAnsi="Calibri"/>
          <w:color w:val="22333B"/>
          <w:sz w:val="19"/>
        </w:rPr>
        <w:t>Four jurisdictions, four classification systems, four determinations from the same intended purpose.</w:t>
      </w:r>
    </w:p>
    <w:p>
      <w:pPr>
        <w:spacing w:after="50" w:line="254" w:lineRule="auto"/>
        <w:ind w:left="792" w:hanging="432"/>
      </w:pPr>
      <w:r>
        <w:rPr>
          <w:rFonts w:ascii="Calibri" w:hAnsi="Calibri"/>
          <w:b/>
          <w:color w:val="0E7C7B"/>
          <w:sz w:val="19"/>
        </w:rPr>
        <w:t xml:space="preserve">2.  </w:t>
      </w:r>
      <w:r>
        <w:rPr>
          <w:rFonts w:ascii="Calibri" w:hAnsi="Calibri"/>
          <w:b/>
          <w:color w:val="1B3A4B"/>
          <w:sz w:val="19"/>
        </w:rPr>
        <w:t xml:space="preserve">The four regulators ask different questions. </w:t>
      </w:r>
      <w:r>
        <w:rPr>
          <w:rFonts w:ascii="Calibri" w:hAnsi="Calibri"/>
          <w:color w:val="22333B"/>
          <w:sz w:val="19"/>
        </w:rPr>
        <w:t>Substantial equivalence, conformity with the GSPRs, conformity with the directives, conformity with a standard.</w:t>
      </w:r>
    </w:p>
    <w:p>
      <w:pPr>
        <w:spacing w:after="50" w:line="254" w:lineRule="auto"/>
        <w:ind w:left="792" w:hanging="432"/>
      </w:pPr>
      <w:r>
        <w:rPr>
          <w:rFonts w:ascii="Calibri" w:hAnsi="Calibri"/>
          <w:b/>
          <w:color w:val="0E7C7B"/>
          <w:sz w:val="19"/>
        </w:rPr>
        <w:t xml:space="preserve">3.  </w:t>
      </w:r>
      <w:r>
        <w:rPr>
          <w:rFonts w:ascii="Calibri" w:hAnsi="Calibri"/>
          <w:b/>
          <w:color w:val="1B3A4B"/>
          <w:sz w:val="19"/>
        </w:rPr>
        <w:t xml:space="preserve">Clinical evidence is the incompressible item. </w:t>
      </w:r>
      <w:r>
        <w:rPr>
          <w:rFonts w:ascii="Calibri" w:hAnsi="Calibri"/>
          <w:color w:val="22333B"/>
          <w:sz w:val="19"/>
        </w:rPr>
        <w:t>The largest gap between an FDA clearance and a CE certificate, and the only workstream money cannot accelerate.</w:t>
      </w:r>
    </w:p>
    <w:p>
      <w:pPr>
        <w:spacing w:after="50" w:line="254" w:lineRule="auto"/>
        <w:ind w:left="792" w:hanging="432"/>
      </w:pPr>
      <w:r>
        <w:rPr>
          <w:rFonts w:ascii="Calibri" w:hAnsi="Calibri"/>
          <w:b/>
          <w:color w:val="0E7C7B"/>
          <w:sz w:val="19"/>
        </w:rPr>
        <w:t xml:space="preserve">4.  </w:t>
      </w:r>
      <w:r>
        <w:rPr>
          <w:rFonts w:ascii="Calibri" w:hAnsi="Calibri"/>
          <w:b/>
          <w:color w:val="1B3A4B"/>
          <w:sz w:val="19"/>
        </w:rPr>
        <w:t xml:space="preserve">Know what is in force, adopted, and merely proposed. </w:t>
      </w:r>
      <w:r>
        <w:rPr>
          <w:rFonts w:ascii="Calibri" w:hAnsi="Calibri"/>
          <w:color w:val="22333B"/>
          <w:sz w:val="19"/>
        </w:rPr>
        <w:t>The EU simplification package is a proposal. The UK pre-market framework is an intention. The UK post-market regulations are law.</w:t>
      </w:r>
    </w:p>
    <w:p>
      <w:pPr>
        <w:spacing w:after="50" w:line="254" w:lineRule="auto"/>
        <w:ind w:left="792" w:hanging="432"/>
      </w:pPr>
      <w:r>
        <w:rPr>
          <w:rFonts w:ascii="Calibri" w:hAnsi="Calibri"/>
          <w:b/>
          <w:color w:val="0E7C7B"/>
          <w:sz w:val="19"/>
        </w:rPr>
        <w:t xml:space="preserve">5.  </w:t>
      </w:r>
      <w:r>
        <w:rPr>
          <w:rFonts w:ascii="Calibri" w:hAnsi="Calibri"/>
          <w:b/>
          <w:color w:val="1B3A4B"/>
          <w:sz w:val="19"/>
        </w:rPr>
        <w:t xml:space="preserve">The expensive decisions are made early and cheaply. </w:t>
      </w:r>
      <w:r>
        <w:rPr>
          <w:rFonts w:ascii="Calibri" w:hAnsi="Calibri"/>
          <w:color w:val="22333B"/>
          <w:sz w:val="19"/>
        </w:rPr>
        <w:t>The intended purpose sentence, the predicate, the notified body, the DMAH agreement.</w:t>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The four markets side by side</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440"/>
        <w:gridCol w:w="2088"/>
        <w:gridCol w:w="2088"/>
        <w:gridCol w:w="2088"/>
        <w:gridCol w:w="2088"/>
      </w:tblGrid>
      <w:tr>
        <w:trPr>
          <w:cantSplit/>
          <w:tblHeader/>
        </w:trPr>
        <w:tc>
          <w:tcPr>
            <w:tcW w:type="dxa" w:w="1440"/>
            <w:shd w:val="clear" w:color="auto" w:fill="1B3A4B"/>
          </w:tcPr>
          <w:p>
            <w:pPr>
              <w:spacing w:after="40" w:before="40"/>
            </w:pPr>
            <w:r/>
            <w:r>
              <w:rPr>
                <w:rFonts w:ascii="Calibri" w:hAnsi="Calibri"/>
                <w:b/>
                <w:i w:val="0"/>
                <w:color w:val="FFFFFF"/>
                <w:sz w:val="16"/>
              </w:rPr>
            </w:r>
          </w:p>
        </w:tc>
        <w:tc>
          <w:tcPr>
            <w:tcW w:type="dxa" w:w="2088"/>
            <w:shd w:val="clear" w:color="auto" w:fill="1B3A4B"/>
          </w:tcPr>
          <w:p>
            <w:pPr>
              <w:spacing w:after="40" w:before="40"/>
            </w:pPr>
            <w:r/>
            <w:r>
              <w:rPr>
                <w:rFonts w:ascii="Calibri" w:hAnsi="Calibri"/>
                <w:b/>
                <w:i w:val="0"/>
                <w:color w:val="FFFFFF"/>
                <w:sz w:val="16"/>
              </w:rPr>
              <w:t>United States</w:t>
            </w:r>
          </w:p>
        </w:tc>
        <w:tc>
          <w:tcPr>
            <w:tcW w:type="dxa" w:w="2088"/>
            <w:shd w:val="clear" w:color="auto" w:fill="1B3A4B"/>
          </w:tcPr>
          <w:p>
            <w:pPr>
              <w:spacing w:after="40" w:before="40"/>
            </w:pPr>
            <w:r/>
            <w:r>
              <w:rPr>
                <w:rFonts w:ascii="Calibri" w:hAnsi="Calibri"/>
                <w:b/>
                <w:i w:val="0"/>
                <w:color w:val="FFFFFF"/>
                <w:sz w:val="16"/>
              </w:rPr>
              <w:t>European Union</w:t>
            </w:r>
          </w:p>
        </w:tc>
        <w:tc>
          <w:tcPr>
            <w:tcW w:type="dxa" w:w="2088"/>
            <w:shd w:val="clear" w:color="auto" w:fill="1B3A4B"/>
          </w:tcPr>
          <w:p>
            <w:pPr>
              <w:spacing w:after="40" w:before="40"/>
            </w:pPr>
            <w:r/>
            <w:r>
              <w:rPr>
                <w:rFonts w:ascii="Calibri" w:hAnsi="Calibri"/>
                <w:b/>
                <w:i w:val="0"/>
                <w:color w:val="FFFFFF"/>
                <w:sz w:val="16"/>
              </w:rPr>
              <w:t>Great Britain</w:t>
            </w:r>
          </w:p>
        </w:tc>
        <w:tc>
          <w:tcPr>
            <w:tcW w:type="dxa" w:w="2088"/>
            <w:shd w:val="clear" w:color="auto" w:fill="1B3A4B"/>
          </w:tcPr>
          <w:p>
            <w:pPr>
              <w:spacing w:after="40" w:before="40"/>
            </w:pPr>
            <w:r/>
            <w:r>
              <w:rPr>
                <w:rFonts w:ascii="Calibri" w:hAnsi="Calibri"/>
                <w:b/>
                <w:i w:val="0"/>
                <w:color w:val="FFFFFF"/>
                <w:sz w:val="16"/>
              </w:rPr>
              <w:t>Japan</w:t>
            </w:r>
          </w:p>
        </w:tc>
      </w:tr>
      <w:tr>
        <w:trPr>
          <w:cantSplit/>
        </w:trPr>
        <w:tc>
          <w:tcPr>
            <w:tcW w:type="dxa" w:w="1440"/>
          </w:tcPr>
          <w:p>
            <w:pPr>
              <w:spacing w:after="40" w:before="40"/>
            </w:pPr>
            <w:r/>
            <w:r>
              <w:rPr>
                <w:rFonts w:ascii="Calibri" w:hAnsi="Calibri"/>
                <w:b/>
                <w:i w:val="0"/>
                <w:color w:val="22333B"/>
                <w:sz w:val="16"/>
              </w:rPr>
              <w:t>Class basis</w:t>
            </w:r>
          </w:p>
        </w:tc>
        <w:tc>
          <w:tcPr>
            <w:tcW w:type="dxa" w:w="2088"/>
          </w:tcPr>
          <w:p>
            <w:pPr>
              <w:spacing w:after="40" w:before="40"/>
            </w:pPr>
            <w:r/>
            <w:r>
              <w:rPr>
                <w:rFonts w:ascii="Calibri" w:hAnsi="Calibri"/>
                <w:b w:val="0"/>
                <w:i w:val="0"/>
                <w:color w:val="22333B"/>
                <w:sz w:val="16"/>
              </w:rPr>
              <w:t>By regulation, per device type</w:t>
            </w:r>
          </w:p>
        </w:tc>
        <w:tc>
          <w:tcPr>
            <w:tcW w:type="dxa" w:w="2088"/>
          </w:tcPr>
          <w:p>
            <w:pPr>
              <w:spacing w:after="40" w:before="40"/>
            </w:pPr>
            <w:r/>
            <w:r>
              <w:rPr>
                <w:rFonts w:ascii="Calibri" w:hAnsi="Calibri"/>
                <w:b w:val="0"/>
                <w:i w:val="0"/>
                <w:color w:val="22333B"/>
                <w:sz w:val="16"/>
              </w:rPr>
              <w:t>MDR Annex VIII rules</w:t>
            </w:r>
          </w:p>
        </w:tc>
        <w:tc>
          <w:tcPr>
            <w:tcW w:type="dxa" w:w="2088"/>
          </w:tcPr>
          <w:p>
            <w:pPr>
              <w:spacing w:after="40" w:before="40"/>
            </w:pPr>
            <w:r/>
            <w:r>
              <w:rPr>
                <w:rFonts w:ascii="Calibri" w:hAnsi="Calibri"/>
                <w:b w:val="0"/>
                <w:i w:val="0"/>
                <w:color w:val="22333B"/>
                <w:sz w:val="16"/>
              </w:rPr>
              <w:t>MDD Annex IX rules</w:t>
            </w:r>
          </w:p>
        </w:tc>
        <w:tc>
          <w:tcPr>
            <w:tcW w:type="dxa" w:w="2088"/>
          </w:tcPr>
          <w:p>
            <w:pPr>
              <w:spacing w:after="40" w:before="40"/>
            </w:pPr>
            <w:r/>
            <w:r>
              <w:rPr>
                <w:rFonts w:ascii="Calibri" w:hAnsi="Calibri"/>
                <w:b w:val="0"/>
                <w:i w:val="0"/>
                <w:color w:val="22333B"/>
                <w:sz w:val="16"/>
              </w:rPr>
              <w:t>Follows the JMDN code</w:t>
            </w:r>
          </w:p>
        </w:tc>
      </w:tr>
      <w:tr>
        <w:trPr>
          <w:cantSplit/>
        </w:trPr>
        <w:tc>
          <w:tcPr>
            <w:tcW w:type="dxa" w:w="1440"/>
          </w:tcPr>
          <w:p>
            <w:pPr>
              <w:spacing w:after="40" w:before="40"/>
            </w:pPr>
            <w:r/>
            <w:r>
              <w:rPr>
                <w:rFonts w:ascii="Calibri" w:hAnsi="Calibri"/>
                <w:b/>
                <w:i w:val="0"/>
                <w:color w:val="22333B"/>
                <w:sz w:val="16"/>
              </w:rPr>
              <w:t>Who assesses</w:t>
            </w:r>
          </w:p>
        </w:tc>
        <w:tc>
          <w:tcPr>
            <w:tcW w:type="dxa" w:w="2088"/>
          </w:tcPr>
          <w:p>
            <w:pPr>
              <w:spacing w:after="40" w:before="40"/>
            </w:pPr>
            <w:r/>
            <w:r>
              <w:rPr>
                <w:rFonts w:ascii="Calibri" w:hAnsi="Calibri"/>
                <w:b w:val="0"/>
                <w:i w:val="0"/>
                <w:color w:val="22333B"/>
                <w:sz w:val="16"/>
              </w:rPr>
              <w:t>FDA directly</w:t>
            </w:r>
          </w:p>
        </w:tc>
        <w:tc>
          <w:tcPr>
            <w:tcW w:type="dxa" w:w="2088"/>
          </w:tcPr>
          <w:p>
            <w:pPr>
              <w:spacing w:after="40" w:before="40"/>
            </w:pPr>
            <w:r/>
            <w:r>
              <w:rPr>
                <w:rFonts w:ascii="Calibri" w:hAnsi="Calibri"/>
                <w:b w:val="0"/>
                <w:i w:val="0"/>
                <w:color w:val="22333B"/>
                <w:sz w:val="16"/>
              </w:rPr>
              <w:t>A notified body</w:t>
            </w:r>
          </w:p>
        </w:tc>
        <w:tc>
          <w:tcPr>
            <w:tcW w:type="dxa" w:w="2088"/>
          </w:tcPr>
          <w:p>
            <w:pPr>
              <w:spacing w:after="40" w:before="40"/>
            </w:pPr>
            <w:r/>
            <w:r>
              <w:rPr>
                <w:rFonts w:ascii="Calibri" w:hAnsi="Calibri"/>
                <w:b w:val="0"/>
                <w:i w:val="0"/>
                <w:color w:val="22333B"/>
                <w:sz w:val="16"/>
              </w:rPr>
              <w:t>A UK Approved Body</w:t>
            </w:r>
          </w:p>
        </w:tc>
        <w:tc>
          <w:tcPr>
            <w:tcW w:type="dxa" w:w="2088"/>
          </w:tcPr>
          <w:p>
            <w:pPr>
              <w:spacing w:after="40" w:before="40"/>
            </w:pPr>
            <w:r/>
            <w:r>
              <w:rPr>
                <w:rFonts w:ascii="Calibri" w:hAnsi="Calibri"/>
                <w:b w:val="0"/>
                <w:i w:val="0"/>
                <w:color w:val="22333B"/>
                <w:sz w:val="16"/>
              </w:rPr>
              <w:t>An RCB, or PMDA/MHLW</w:t>
            </w:r>
          </w:p>
        </w:tc>
      </w:tr>
      <w:tr>
        <w:trPr>
          <w:cantSplit/>
        </w:trPr>
        <w:tc>
          <w:tcPr>
            <w:tcW w:type="dxa" w:w="1440"/>
          </w:tcPr>
          <w:p>
            <w:pPr>
              <w:spacing w:after="40" w:before="40"/>
            </w:pPr>
            <w:r/>
            <w:r>
              <w:rPr>
                <w:rFonts w:ascii="Calibri" w:hAnsi="Calibri"/>
                <w:b/>
                <w:i w:val="0"/>
                <w:color w:val="22333B"/>
                <w:sz w:val="16"/>
              </w:rPr>
              <w:t>Premarket route</w:t>
            </w:r>
          </w:p>
        </w:tc>
        <w:tc>
          <w:tcPr>
            <w:tcW w:type="dxa" w:w="2088"/>
          </w:tcPr>
          <w:p>
            <w:pPr>
              <w:spacing w:after="40" w:before="40"/>
            </w:pPr>
            <w:r/>
            <w:r>
              <w:rPr>
                <w:rFonts w:ascii="Calibri" w:hAnsi="Calibri"/>
                <w:b w:val="0"/>
                <w:i w:val="0"/>
                <w:color w:val="22333B"/>
                <w:sz w:val="16"/>
              </w:rPr>
              <w:t>510(k), De Novo or PMA — or exempt</w:t>
            </w:r>
          </w:p>
        </w:tc>
        <w:tc>
          <w:tcPr>
            <w:tcW w:type="dxa" w:w="2088"/>
          </w:tcPr>
          <w:p>
            <w:pPr>
              <w:spacing w:after="40" w:before="40"/>
            </w:pPr>
            <w:r/>
            <w:r>
              <w:rPr>
                <w:rFonts w:ascii="Calibri" w:hAnsi="Calibri"/>
                <w:b w:val="0"/>
                <w:i w:val="0"/>
                <w:color w:val="22333B"/>
                <w:sz w:val="16"/>
              </w:rPr>
              <w:t>Annex IX, X or XI</w:t>
            </w:r>
          </w:p>
        </w:tc>
        <w:tc>
          <w:tcPr>
            <w:tcW w:type="dxa" w:w="2088"/>
          </w:tcPr>
          <w:p>
            <w:pPr>
              <w:spacing w:after="40" w:before="40"/>
            </w:pPr>
            <w:r/>
            <w:r>
              <w:rPr>
                <w:rFonts w:ascii="Calibri" w:hAnsi="Calibri"/>
                <w:b/>
                <w:i w:val="0"/>
                <w:color w:val="22333B"/>
                <w:sz w:val="16"/>
              </w:rPr>
              <w:t>UKCA — or rely on CE for now</w:t>
            </w:r>
          </w:p>
        </w:tc>
        <w:tc>
          <w:tcPr>
            <w:tcW w:type="dxa" w:w="2088"/>
          </w:tcPr>
          <w:p>
            <w:pPr>
              <w:spacing w:after="40" w:before="40"/>
            </w:pPr>
            <w:r/>
            <w:r>
              <w:rPr>
                <w:rFonts w:ascii="Calibri" w:hAnsi="Calibri"/>
                <w:b w:val="0"/>
                <w:i w:val="0"/>
                <w:color w:val="22333B"/>
                <w:sz w:val="16"/>
              </w:rPr>
              <w:t>Todokede, Ninsho or Shonin</w:t>
            </w:r>
          </w:p>
        </w:tc>
      </w:tr>
      <w:tr>
        <w:trPr>
          <w:cantSplit/>
        </w:trPr>
        <w:tc>
          <w:tcPr>
            <w:tcW w:type="dxa" w:w="1440"/>
          </w:tcPr>
          <w:p>
            <w:pPr>
              <w:spacing w:after="40" w:before="40"/>
            </w:pPr>
            <w:r/>
            <w:r>
              <w:rPr>
                <w:rFonts w:ascii="Calibri" w:hAnsi="Calibri"/>
                <w:b/>
                <w:i w:val="0"/>
                <w:color w:val="22333B"/>
                <w:sz w:val="16"/>
              </w:rPr>
              <w:t>Core question</w:t>
            </w:r>
          </w:p>
        </w:tc>
        <w:tc>
          <w:tcPr>
            <w:tcW w:type="dxa" w:w="2088"/>
          </w:tcPr>
          <w:p>
            <w:pPr>
              <w:spacing w:after="40" w:before="40"/>
            </w:pPr>
            <w:r/>
            <w:r>
              <w:rPr>
                <w:rFonts w:ascii="Calibri" w:hAnsi="Calibri"/>
                <w:b w:val="0"/>
                <w:i w:val="0"/>
                <w:color w:val="22333B"/>
                <w:sz w:val="16"/>
              </w:rPr>
              <w:t>Substantially equivalent to a predicate?</w:t>
            </w:r>
          </w:p>
        </w:tc>
        <w:tc>
          <w:tcPr>
            <w:tcW w:type="dxa" w:w="2088"/>
          </w:tcPr>
          <w:p>
            <w:pPr>
              <w:spacing w:after="40" w:before="40"/>
            </w:pPr>
            <w:r/>
            <w:r>
              <w:rPr>
                <w:rFonts w:ascii="Calibri" w:hAnsi="Calibri"/>
                <w:b w:val="0"/>
                <w:i w:val="0"/>
                <w:color w:val="22333B"/>
                <w:sz w:val="16"/>
              </w:rPr>
              <w:t>Does it meet the GSPRs?</w:t>
            </w:r>
          </w:p>
        </w:tc>
        <w:tc>
          <w:tcPr>
            <w:tcW w:type="dxa" w:w="2088"/>
          </w:tcPr>
          <w:p>
            <w:pPr>
              <w:spacing w:after="40" w:before="40"/>
            </w:pPr>
            <w:r/>
            <w:r>
              <w:rPr>
                <w:rFonts w:ascii="Calibri" w:hAnsi="Calibri"/>
                <w:b w:val="0"/>
                <w:i w:val="0"/>
                <w:color w:val="22333B"/>
                <w:sz w:val="16"/>
              </w:rPr>
              <w:t>Does it meet the directive requirements?</w:t>
            </w:r>
          </w:p>
        </w:tc>
        <w:tc>
          <w:tcPr>
            <w:tcW w:type="dxa" w:w="2088"/>
          </w:tcPr>
          <w:p>
            <w:pPr>
              <w:spacing w:after="40" w:before="40"/>
            </w:pPr>
            <w:r/>
            <w:r>
              <w:rPr>
                <w:rFonts w:ascii="Calibri" w:hAnsi="Calibri"/>
                <w:b w:val="0"/>
                <w:i w:val="0"/>
                <w:color w:val="22333B"/>
                <w:sz w:val="16"/>
              </w:rPr>
              <w:t>Does it meet the standard for its code?</w:t>
            </w:r>
          </w:p>
        </w:tc>
      </w:tr>
      <w:tr>
        <w:trPr>
          <w:cantSplit/>
        </w:trPr>
        <w:tc>
          <w:tcPr>
            <w:tcW w:type="dxa" w:w="1440"/>
          </w:tcPr>
          <w:p>
            <w:pPr>
              <w:spacing w:after="40" w:before="40"/>
            </w:pPr>
            <w:r/>
            <w:r>
              <w:rPr>
                <w:rFonts w:ascii="Calibri" w:hAnsi="Calibri"/>
                <w:b/>
                <w:i w:val="0"/>
                <w:color w:val="22333B"/>
                <w:sz w:val="16"/>
              </w:rPr>
              <w:t>Clinical evidence</w:t>
            </w:r>
          </w:p>
        </w:tc>
        <w:tc>
          <w:tcPr>
            <w:tcW w:type="dxa" w:w="2088"/>
          </w:tcPr>
          <w:p>
            <w:pPr>
              <w:spacing w:after="40" w:before="40"/>
            </w:pPr>
            <w:r/>
            <w:r>
              <w:rPr>
                <w:rFonts w:ascii="Calibri" w:hAnsi="Calibri"/>
                <w:b w:val="0"/>
                <w:i w:val="0"/>
                <w:color w:val="22333B"/>
                <w:sz w:val="16"/>
              </w:rPr>
              <w:t>Often none for a 510(k)</w:t>
            </w:r>
          </w:p>
        </w:tc>
        <w:tc>
          <w:tcPr>
            <w:tcW w:type="dxa" w:w="2088"/>
          </w:tcPr>
          <w:p>
            <w:pPr>
              <w:spacing w:after="40" w:before="40"/>
            </w:pPr>
            <w:r/>
            <w:r>
              <w:rPr>
                <w:rFonts w:ascii="Calibri" w:hAnsi="Calibri"/>
                <w:b/>
                <w:i w:val="0"/>
                <w:color w:val="A83A3C"/>
                <w:sz w:val="16"/>
              </w:rPr>
              <w:t>Clinical evaluation for every device</w:t>
            </w:r>
          </w:p>
        </w:tc>
        <w:tc>
          <w:tcPr>
            <w:tcW w:type="dxa" w:w="2088"/>
          </w:tcPr>
          <w:p>
            <w:pPr>
              <w:spacing w:after="40" w:before="40"/>
            </w:pPr>
            <w:r/>
            <w:r>
              <w:rPr>
                <w:rFonts w:ascii="Calibri" w:hAnsi="Calibri"/>
                <w:b w:val="0"/>
                <w:i w:val="0"/>
                <w:color w:val="22333B"/>
                <w:sz w:val="16"/>
              </w:rPr>
              <w:t>Directive-era — lighter</w:t>
            </w:r>
          </w:p>
        </w:tc>
        <w:tc>
          <w:tcPr>
            <w:tcW w:type="dxa" w:w="2088"/>
          </w:tcPr>
          <w:p>
            <w:pPr>
              <w:spacing w:after="40" w:before="40"/>
            </w:pPr>
            <w:r/>
            <w:r>
              <w:rPr>
                <w:rFonts w:ascii="Calibri" w:hAnsi="Calibri"/>
                <w:b w:val="0"/>
                <w:i w:val="0"/>
                <w:color w:val="22333B"/>
                <w:sz w:val="16"/>
              </w:rPr>
              <w:t>Foreign data accepted; bridging may be needed</w:t>
            </w:r>
          </w:p>
        </w:tc>
      </w:tr>
      <w:tr>
        <w:trPr>
          <w:cantSplit/>
        </w:trPr>
        <w:tc>
          <w:tcPr>
            <w:tcW w:type="dxa" w:w="1440"/>
          </w:tcPr>
          <w:p>
            <w:pPr>
              <w:spacing w:after="40" w:before="40"/>
            </w:pPr>
            <w:r/>
            <w:r>
              <w:rPr>
                <w:rFonts w:ascii="Calibri" w:hAnsi="Calibri"/>
                <w:b/>
                <w:i w:val="0"/>
                <w:color w:val="22333B"/>
                <w:sz w:val="16"/>
              </w:rPr>
              <w:t>Local role</w:t>
            </w:r>
          </w:p>
        </w:tc>
        <w:tc>
          <w:tcPr>
            <w:tcW w:type="dxa" w:w="2088"/>
          </w:tcPr>
          <w:p>
            <w:pPr>
              <w:spacing w:after="40" w:before="40"/>
            </w:pPr>
            <w:r/>
            <w:r>
              <w:rPr>
                <w:rFonts w:ascii="Calibri" w:hAnsi="Calibri"/>
                <w:b w:val="0"/>
                <w:i w:val="0"/>
                <w:color w:val="22333B"/>
                <w:sz w:val="16"/>
              </w:rPr>
              <w:t>US Agent</w:t>
            </w:r>
          </w:p>
        </w:tc>
        <w:tc>
          <w:tcPr>
            <w:tcW w:type="dxa" w:w="2088"/>
          </w:tcPr>
          <w:p>
            <w:pPr>
              <w:spacing w:after="40" w:before="40"/>
            </w:pPr>
            <w:r/>
            <w:r>
              <w:rPr>
                <w:rFonts w:ascii="Calibri" w:hAnsi="Calibri"/>
                <w:b w:val="0"/>
                <w:i w:val="0"/>
                <w:color w:val="22333B"/>
                <w:sz w:val="16"/>
              </w:rPr>
              <w:t>Authorised Rep — jointly liable</w:t>
            </w:r>
          </w:p>
        </w:tc>
        <w:tc>
          <w:tcPr>
            <w:tcW w:type="dxa" w:w="2088"/>
          </w:tcPr>
          <w:p>
            <w:pPr>
              <w:spacing w:after="40" w:before="40"/>
            </w:pPr>
            <w:r/>
            <w:r>
              <w:rPr>
                <w:rFonts w:ascii="Calibri" w:hAnsi="Calibri"/>
                <w:b w:val="0"/>
                <w:i w:val="0"/>
                <w:color w:val="22333B"/>
                <w:sz w:val="16"/>
              </w:rPr>
              <w:t>UK Responsible Person</w:t>
            </w:r>
          </w:p>
        </w:tc>
        <w:tc>
          <w:tcPr>
            <w:tcW w:type="dxa" w:w="2088"/>
          </w:tcPr>
          <w:p>
            <w:pPr>
              <w:spacing w:after="40" w:before="40"/>
            </w:pPr>
            <w:r/>
            <w:r>
              <w:rPr>
                <w:rFonts w:ascii="Calibri" w:hAnsi="Calibri"/>
                <w:b/>
                <w:i w:val="0"/>
                <w:color w:val="22333B"/>
                <w:sz w:val="16"/>
              </w:rPr>
              <w:t>MAH or DMAH — holds the authorisation</w:t>
            </w:r>
          </w:p>
        </w:tc>
      </w:tr>
      <w:tr>
        <w:trPr>
          <w:cantSplit/>
        </w:trPr>
        <w:tc>
          <w:tcPr>
            <w:tcW w:type="dxa" w:w="1440"/>
          </w:tcPr>
          <w:p>
            <w:pPr>
              <w:spacing w:after="40" w:before="40"/>
            </w:pPr>
            <w:r/>
            <w:r>
              <w:rPr>
                <w:rFonts w:ascii="Calibri" w:hAnsi="Calibri"/>
                <w:b/>
                <w:i w:val="0"/>
                <w:color w:val="22333B"/>
                <w:sz w:val="16"/>
              </w:rPr>
              <w:t>Registration</w:t>
            </w:r>
          </w:p>
        </w:tc>
        <w:tc>
          <w:tcPr>
            <w:tcW w:type="dxa" w:w="2088"/>
          </w:tcPr>
          <w:p>
            <w:pPr>
              <w:spacing w:after="40" w:before="40"/>
            </w:pPr>
            <w:r/>
            <w:r>
              <w:rPr>
                <w:rFonts w:ascii="Calibri" w:hAnsi="Calibri"/>
                <w:b w:val="0"/>
                <w:i w:val="0"/>
                <w:color w:val="22333B"/>
                <w:sz w:val="16"/>
              </w:rPr>
              <w:t>Establishment registration and listing, annual</w:t>
            </w:r>
          </w:p>
        </w:tc>
        <w:tc>
          <w:tcPr>
            <w:tcW w:type="dxa" w:w="2088"/>
          </w:tcPr>
          <w:p>
            <w:pPr>
              <w:spacing w:after="40" w:before="40"/>
            </w:pPr>
            <w:r/>
            <w:r>
              <w:rPr>
                <w:rFonts w:ascii="Calibri" w:hAnsi="Calibri"/>
                <w:b w:val="0"/>
                <w:i w:val="0"/>
                <w:color w:val="22333B"/>
                <w:sz w:val="16"/>
              </w:rPr>
              <w:t>EUDAMED</w:t>
            </w:r>
          </w:p>
        </w:tc>
        <w:tc>
          <w:tcPr>
            <w:tcW w:type="dxa" w:w="2088"/>
          </w:tcPr>
          <w:p>
            <w:pPr>
              <w:spacing w:after="40" w:before="40"/>
            </w:pPr>
            <w:r/>
            <w:r>
              <w:rPr>
                <w:rFonts w:ascii="Calibri" w:hAnsi="Calibri"/>
                <w:b w:val="0"/>
                <w:i w:val="0"/>
                <w:color w:val="22333B"/>
                <w:sz w:val="16"/>
              </w:rPr>
              <w:t>MHRA — whatever the marking</w:t>
            </w:r>
          </w:p>
        </w:tc>
        <w:tc>
          <w:tcPr>
            <w:tcW w:type="dxa" w:w="2088"/>
          </w:tcPr>
          <w:p>
            <w:pPr>
              <w:spacing w:after="40" w:before="40"/>
            </w:pPr>
            <w:r/>
            <w:r>
              <w:rPr>
                <w:rFonts w:ascii="Calibri" w:hAnsi="Calibri"/>
                <w:b w:val="0"/>
                <w:i w:val="0"/>
                <w:color w:val="22333B"/>
                <w:sz w:val="16"/>
              </w:rPr>
              <w:t>Via the MAH</w:t>
            </w:r>
          </w:p>
        </w:tc>
      </w:tr>
      <w:tr>
        <w:trPr>
          <w:cantSplit/>
        </w:trPr>
        <w:tc>
          <w:tcPr>
            <w:tcW w:type="dxa" w:w="1440"/>
          </w:tcPr>
          <w:p>
            <w:pPr>
              <w:spacing w:after="40" w:before="40"/>
            </w:pPr>
            <w:r/>
            <w:r>
              <w:rPr>
                <w:rFonts w:ascii="Calibri" w:hAnsi="Calibri"/>
                <w:b/>
                <w:i w:val="0"/>
                <w:color w:val="22333B"/>
                <w:sz w:val="16"/>
              </w:rPr>
              <w:t>QMS</w:t>
            </w:r>
          </w:p>
        </w:tc>
        <w:tc>
          <w:tcPr>
            <w:tcW w:type="dxa" w:w="2088"/>
          </w:tcPr>
          <w:p>
            <w:pPr>
              <w:spacing w:after="40" w:before="40"/>
            </w:pPr>
            <w:r/>
            <w:r>
              <w:rPr>
                <w:rFonts w:ascii="Calibri" w:hAnsi="Calibri"/>
                <w:b w:val="0"/>
                <w:i w:val="0"/>
                <w:color w:val="22333B"/>
                <w:sz w:val="16"/>
              </w:rPr>
              <w:t>QMSR — 820 on ISO 13485</w:t>
            </w:r>
          </w:p>
        </w:tc>
        <w:tc>
          <w:tcPr>
            <w:tcW w:type="dxa" w:w="2088"/>
          </w:tcPr>
          <w:p>
            <w:pPr>
              <w:spacing w:after="40" w:before="40"/>
            </w:pPr>
            <w:r/>
            <w:r>
              <w:rPr>
                <w:rFonts w:ascii="Calibri" w:hAnsi="Calibri"/>
                <w:b w:val="0"/>
                <w:i w:val="0"/>
                <w:color w:val="22333B"/>
                <w:sz w:val="16"/>
              </w:rPr>
              <w:t>Article 10(9); ISO 13485</w:t>
            </w:r>
          </w:p>
        </w:tc>
        <w:tc>
          <w:tcPr>
            <w:tcW w:type="dxa" w:w="2088"/>
          </w:tcPr>
          <w:p>
            <w:pPr>
              <w:spacing w:after="40" w:before="40"/>
            </w:pPr>
            <w:r/>
            <w:r>
              <w:rPr>
                <w:rFonts w:ascii="Calibri" w:hAnsi="Calibri"/>
                <w:b w:val="0"/>
                <w:i w:val="0"/>
                <w:color w:val="22333B"/>
                <w:sz w:val="16"/>
              </w:rPr>
              <w:t>Per the route; ISO 13485</w:t>
            </w:r>
          </w:p>
        </w:tc>
        <w:tc>
          <w:tcPr>
            <w:tcW w:type="dxa" w:w="2088"/>
          </w:tcPr>
          <w:p>
            <w:pPr>
              <w:spacing w:after="40" w:before="40"/>
            </w:pPr>
            <w:r/>
            <w:r>
              <w:rPr>
                <w:rFonts w:ascii="Calibri" w:hAnsi="Calibri"/>
                <w:b w:val="0"/>
                <w:i w:val="0"/>
                <w:color w:val="22333B"/>
                <w:sz w:val="16"/>
              </w:rPr>
              <w:t>QMS Ordinance — 13485 plus</w:t>
            </w:r>
          </w:p>
        </w:tc>
      </w:tr>
      <w:tr>
        <w:trPr>
          <w:cantSplit/>
        </w:trPr>
        <w:tc>
          <w:tcPr>
            <w:tcW w:type="dxa" w:w="1440"/>
          </w:tcPr>
          <w:p>
            <w:pPr>
              <w:spacing w:after="40" w:before="40"/>
            </w:pPr>
            <w:r/>
            <w:r>
              <w:rPr>
                <w:rFonts w:ascii="Calibri" w:hAnsi="Calibri"/>
                <w:b/>
                <w:i w:val="0"/>
                <w:color w:val="22333B"/>
                <w:sz w:val="16"/>
              </w:rPr>
              <w:t>MDSAP accepted</w:t>
            </w:r>
          </w:p>
        </w:tc>
        <w:tc>
          <w:tcPr>
            <w:tcW w:type="dxa" w:w="2088"/>
          </w:tcPr>
          <w:p>
            <w:pPr>
              <w:spacing w:after="40" w:before="40"/>
            </w:pPr>
            <w:r/>
            <w:r>
              <w:rPr>
                <w:rFonts w:ascii="Calibri" w:hAnsi="Calibri"/>
                <w:b/>
                <w:i w:val="0"/>
                <w:color w:val="0E7C7B"/>
                <w:sz w:val="16"/>
              </w:rPr>
              <w:t>Yes</w:t>
            </w:r>
          </w:p>
        </w:tc>
        <w:tc>
          <w:tcPr>
            <w:tcW w:type="dxa" w:w="2088"/>
          </w:tcPr>
          <w:p>
            <w:pPr>
              <w:spacing w:after="40" w:before="40"/>
            </w:pPr>
            <w:r/>
            <w:r>
              <w:rPr>
                <w:rFonts w:ascii="Calibri" w:hAnsi="Calibri"/>
                <w:b/>
                <w:i w:val="0"/>
                <w:color w:val="A83A3C"/>
                <w:sz w:val="16"/>
              </w:rPr>
              <w:t>No</w:t>
            </w:r>
          </w:p>
        </w:tc>
        <w:tc>
          <w:tcPr>
            <w:tcW w:type="dxa" w:w="2088"/>
          </w:tcPr>
          <w:p>
            <w:pPr>
              <w:spacing w:after="40" w:before="40"/>
            </w:pPr>
            <w:r/>
            <w:r>
              <w:rPr>
                <w:rFonts w:ascii="Calibri" w:hAnsi="Calibri"/>
                <w:b w:val="0"/>
                <w:i w:val="0"/>
                <w:color w:val="22333B"/>
                <w:sz w:val="16"/>
              </w:rPr>
              <w:t>Not as a substitute</w:t>
            </w:r>
          </w:p>
        </w:tc>
        <w:tc>
          <w:tcPr>
            <w:tcW w:type="dxa" w:w="2088"/>
          </w:tcPr>
          <w:p>
            <w:pPr>
              <w:spacing w:after="40" w:before="40"/>
            </w:pPr>
            <w:r/>
            <w:r>
              <w:rPr>
                <w:rFonts w:ascii="Calibri" w:hAnsi="Calibri"/>
                <w:b w:val="0"/>
                <w:i w:val="0"/>
                <w:color w:val="22333B"/>
                <w:sz w:val="16"/>
              </w:rPr>
              <w:t>Participates</w:t>
            </w:r>
          </w:p>
        </w:tc>
      </w:tr>
      <w:tr>
        <w:trPr>
          <w:cantSplit/>
        </w:trPr>
        <w:tc>
          <w:tcPr>
            <w:tcW w:type="dxa" w:w="1440"/>
          </w:tcPr>
          <w:p>
            <w:pPr>
              <w:spacing w:after="40" w:before="40"/>
            </w:pPr>
            <w:r/>
            <w:r>
              <w:rPr>
                <w:rFonts w:ascii="Calibri" w:hAnsi="Calibri"/>
                <w:b/>
                <w:i w:val="0"/>
                <w:color w:val="22333B"/>
                <w:sz w:val="16"/>
              </w:rPr>
              <w:t>Post-market</w:t>
            </w:r>
          </w:p>
        </w:tc>
        <w:tc>
          <w:tcPr>
            <w:tcW w:type="dxa" w:w="2088"/>
          </w:tcPr>
          <w:p>
            <w:pPr>
              <w:spacing w:after="40" w:before="40"/>
            </w:pPr>
            <w:r/>
            <w:r>
              <w:rPr>
                <w:rFonts w:ascii="Calibri" w:hAnsi="Calibri"/>
                <w:b w:val="0"/>
                <w:i w:val="0"/>
                <w:color w:val="22333B"/>
                <w:sz w:val="16"/>
              </w:rPr>
              <w:t>MDR reporting; 806 corrections</w:t>
            </w:r>
          </w:p>
        </w:tc>
        <w:tc>
          <w:tcPr>
            <w:tcW w:type="dxa" w:w="2088"/>
          </w:tcPr>
          <w:p>
            <w:pPr>
              <w:spacing w:after="40" w:before="40"/>
            </w:pPr>
            <w:r/>
            <w:r>
              <w:rPr>
                <w:rFonts w:ascii="Calibri" w:hAnsi="Calibri"/>
                <w:b w:val="0"/>
                <w:i w:val="0"/>
                <w:color w:val="22333B"/>
                <w:sz w:val="16"/>
              </w:rPr>
              <w:t>Annex III: PMS, PMCF, PSUR</w:t>
            </w:r>
          </w:p>
        </w:tc>
        <w:tc>
          <w:tcPr>
            <w:tcW w:type="dxa" w:w="2088"/>
          </w:tcPr>
          <w:p>
            <w:pPr>
              <w:spacing w:after="40" w:before="40"/>
            </w:pPr>
            <w:r/>
            <w:r>
              <w:rPr>
                <w:rFonts w:ascii="Calibri" w:hAnsi="Calibri"/>
                <w:b/>
                <w:i w:val="0"/>
                <w:color w:val="22333B"/>
                <w:sz w:val="16"/>
              </w:rPr>
              <w:t>PMS regs since Jun 2025</w:t>
            </w:r>
          </w:p>
        </w:tc>
        <w:tc>
          <w:tcPr>
            <w:tcW w:type="dxa" w:w="2088"/>
          </w:tcPr>
          <w:p>
            <w:pPr>
              <w:spacing w:after="40" w:before="40"/>
            </w:pPr>
            <w:r/>
            <w:r>
              <w:rPr>
                <w:rFonts w:ascii="Calibri" w:hAnsi="Calibri"/>
                <w:b w:val="0"/>
                <w:i w:val="0"/>
                <w:color w:val="22333B"/>
                <w:sz w:val="16"/>
              </w:rPr>
              <w:t>Via the MAH, on a QMS cycle</w:t>
            </w:r>
          </w:p>
        </w:tc>
      </w:tr>
      <w:tr>
        <w:trPr>
          <w:cantSplit/>
        </w:trPr>
        <w:tc>
          <w:tcPr>
            <w:tcW w:type="dxa" w:w="1440"/>
          </w:tcPr>
          <w:p>
            <w:pPr>
              <w:spacing w:after="40" w:before="40"/>
            </w:pPr>
            <w:r/>
            <w:r>
              <w:rPr>
                <w:rFonts w:ascii="Calibri" w:hAnsi="Calibri"/>
                <w:b/>
                <w:i w:val="0"/>
                <w:color w:val="A83A3C"/>
                <w:sz w:val="16"/>
              </w:rPr>
              <w:t>The trap</w:t>
            </w:r>
          </w:p>
        </w:tc>
        <w:tc>
          <w:tcPr>
            <w:tcW w:type="dxa" w:w="2088"/>
          </w:tcPr>
          <w:p>
            <w:pPr>
              <w:spacing w:after="40" w:before="40"/>
            </w:pPr>
            <w:r/>
            <w:r>
              <w:rPr>
                <w:rFonts w:ascii="Calibri" w:hAnsi="Calibri"/>
                <w:b w:val="0"/>
                <w:i/>
                <w:color w:val="22333B"/>
                <w:sz w:val="16"/>
              </w:rPr>
              <w:t>Assuming clearance means the file travels</w:t>
            </w:r>
          </w:p>
        </w:tc>
        <w:tc>
          <w:tcPr>
            <w:tcW w:type="dxa" w:w="2088"/>
          </w:tcPr>
          <w:p>
            <w:pPr>
              <w:spacing w:after="40" w:before="40"/>
            </w:pPr>
            <w:r/>
            <w:r>
              <w:rPr>
                <w:rFonts w:ascii="Calibri" w:hAnsi="Calibri"/>
                <w:b w:val="0"/>
                <w:i/>
                <w:color w:val="22333B"/>
                <w:sz w:val="16"/>
              </w:rPr>
              <w:t>Finding the clinical gap after contracting an NB</w:t>
            </w:r>
          </w:p>
        </w:tc>
        <w:tc>
          <w:tcPr>
            <w:tcW w:type="dxa" w:w="2088"/>
          </w:tcPr>
          <w:p>
            <w:pPr>
              <w:spacing w:after="40" w:before="40"/>
            </w:pPr>
            <w:r/>
            <w:r>
              <w:rPr>
                <w:rFonts w:ascii="Calibri" w:hAnsi="Calibri"/>
                <w:b w:val="0"/>
                <w:i/>
                <w:color w:val="22333B"/>
                <w:sz w:val="16"/>
              </w:rPr>
              <w:t>Building UKCA you may never need</w:t>
            </w:r>
          </w:p>
        </w:tc>
        <w:tc>
          <w:tcPr>
            <w:tcW w:type="dxa" w:w="2088"/>
          </w:tcPr>
          <w:p>
            <w:pPr>
              <w:spacing w:after="40" w:before="40"/>
            </w:pPr>
            <w:r/>
            <w:r>
              <w:rPr>
                <w:rFonts w:ascii="Calibri" w:hAnsi="Calibri"/>
                <w:b w:val="0"/>
                <w:i/>
                <w:color w:val="22333B"/>
                <w:sz w:val="16"/>
              </w:rPr>
              <w:t>Letting your distributor hold the authorisation</w:t>
            </w:r>
          </w:p>
        </w:tc>
      </w:tr>
    </w:tbl>
    <w:p>
      <w:pPr>
        <w:spacing w:after="80"/>
      </w:pPr>
      <w:r>
        <w:rPr>
          <w:rFonts w:ascii="Calibri" w:hAnsi="Calibri"/>
          <w:b w:val="0"/>
          <w:i w:val="0"/>
          <w:color w:val="22333B"/>
          <w:sz w:val="20"/>
        </w:rPr>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Read the “core question” row across</w:t>
            </w:r>
          </w:p>
          <w:p>
            <w:pPr>
              <w:spacing w:after="80"/>
            </w:pPr>
            <w:r>
              <w:rPr>
                <w:rFonts w:ascii="Calibri" w:hAnsi="Calibri"/>
                <w:color w:val="22333B"/>
                <w:sz w:val="19"/>
              </w:rPr>
              <w:t>Four different questions. That row alone explains why the evidence packages differ, why an FDA clearance does not carry Europe, and why the same device can be straightforward in one market and a programme in another. And notice the bottom row: each market has a characteristic expensive mistake, and three of the four are decisions made early, cheaply, and usually without anyone realising a decision is being made.</w:t>
            </w:r>
          </w:p>
        </w:tc>
      </w:tr>
    </w:tbl>
    <w:p>
      <w:pPr>
        <w:spacing w:after="100" w:before="0" w:line="240" w:lineRule="auto"/>
      </w:pPr>
      <w:r>
        <w:rPr>
          <w:sz w:val="2"/>
        </w:rPr>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EU MDR at a glance</w:t>
      </w:r>
    </w:p>
    <w:p>
      <w:pPr>
        <w:spacing w:before="120" w:after="120"/>
        <w:pBdr>
          <w:bottom w:val="single" w:sz="6" w:space="1" w:color="D7E2E5"/>
        </w:pBdr>
      </w:pPr>
    </w:p>
    <w:p>
      <w:pPr>
        <w:keepNext/>
        <w:spacing w:after="80" w:before="0"/>
      </w:pPr>
      <w:r>
        <w:rPr>
          <w:rFonts w:ascii="Cambria" w:hAnsi="Cambria"/>
          <w:b/>
          <w:color w:val="1B3A4B"/>
          <w:sz w:val="26"/>
        </w:rPr>
        <w:t>The Annex II technical file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456"/>
        <w:gridCol w:w="6336"/>
      </w:tblGrid>
      <w:tr>
        <w:trPr>
          <w:cantSplit/>
          <w:tblHeader/>
        </w:trPr>
        <w:tc>
          <w:tcPr>
            <w:tcW w:type="dxa" w:w="3456"/>
            <w:shd w:val="clear" w:color="auto" w:fill="1B3A4B"/>
          </w:tcPr>
          <w:p>
            <w:pPr>
              <w:spacing w:after="40" w:before="40"/>
            </w:pPr>
            <w:r/>
            <w:r>
              <w:rPr>
                <w:rFonts w:ascii="Calibri" w:hAnsi="Calibri"/>
                <w:b/>
                <w:i w:val="0"/>
                <w:color w:val="FFFFFF"/>
                <w:sz w:val="18"/>
              </w:rPr>
              <w:t>Element</w:t>
            </w:r>
          </w:p>
        </w:tc>
        <w:tc>
          <w:tcPr>
            <w:tcW w:type="dxa" w:w="6336"/>
            <w:shd w:val="clear" w:color="auto" w:fill="1B3A4B"/>
          </w:tcPr>
          <w:p>
            <w:pPr>
              <w:spacing w:after="40" w:before="40"/>
            </w:pPr>
            <w:r/>
            <w:r>
              <w:rPr>
                <w:rFonts w:ascii="Calibri" w:hAnsi="Calibri"/>
                <w:b/>
                <w:i w:val="0"/>
                <w:color w:val="FFFFFF"/>
                <w:sz w:val="18"/>
              </w:rPr>
              <w:t>What makes it adequate</w:t>
            </w:r>
          </w:p>
        </w:tc>
      </w:tr>
      <w:tr>
        <w:trPr>
          <w:cantSplit/>
        </w:trPr>
        <w:tc>
          <w:tcPr>
            <w:tcW w:type="dxa" w:w="3456"/>
          </w:tcPr>
          <w:p>
            <w:pPr>
              <w:spacing w:after="40" w:before="40"/>
            </w:pPr>
            <w:r/>
            <w:r>
              <w:rPr>
                <w:rFonts w:ascii="Calibri" w:hAnsi="Calibri"/>
                <w:b/>
                <w:i w:val="0"/>
                <w:color w:val="22333B"/>
                <w:sz w:val="18"/>
              </w:rPr>
              <w:t>Device description and specification</w:t>
            </w:r>
          </w:p>
        </w:tc>
        <w:tc>
          <w:tcPr>
            <w:tcW w:type="dxa" w:w="6336"/>
          </w:tcPr>
          <w:p>
            <w:pPr>
              <w:spacing w:after="40" w:before="40"/>
            </w:pPr>
            <w:r/>
            <w:r>
              <w:rPr>
                <w:rFonts w:ascii="Calibri" w:hAnsi="Calibri"/>
                <w:b w:val="0"/>
                <w:i w:val="0"/>
                <w:color w:val="22333B"/>
                <w:sz w:val="18"/>
              </w:rPr>
              <w:t>Variants, accessories, Basic UDI-DI, intended purpose, intended population and user, principles of operation.</w:t>
            </w:r>
          </w:p>
        </w:tc>
      </w:tr>
      <w:tr>
        <w:trPr>
          <w:cantSplit/>
        </w:trPr>
        <w:tc>
          <w:tcPr>
            <w:tcW w:type="dxa" w:w="3456"/>
          </w:tcPr>
          <w:p>
            <w:pPr>
              <w:spacing w:after="40" w:before="40"/>
            </w:pPr>
            <w:r/>
            <w:r>
              <w:rPr>
                <w:rFonts w:ascii="Calibri" w:hAnsi="Calibri"/>
                <w:b/>
                <w:i w:val="0"/>
                <w:color w:val="22333B"/>
                <w:sz w:val="18"/>
              </w:rPr>
              <w:t>Information supplied by the manufacturer</w:t>
            </w:r>
          </w:p>
        </w:tc>
        <w:tc>
          <w:tcPr>
            <w:tcW w:type="dxa" w:w="6336"/>
          </w:tcPr>
          <w:p>
            <w:pPr>
              <w:spacing w:after="40" w:before="40"/>
            </w:pPr>
            <w:r/>
            <w:r>
              <w:rPr>
                <w:rFonts w:ascii="Calibri" w:hAnsi="Calibri"/>
                <w:b w:val="0"/>
                <w:i w:val="0"/>
                <w:color w:val="22333B"/>
                <w:sz w:val="18"/>
              </w:rPr>
              <w:t>Labels and IFU in the languages of every member state where the device is made available.</w:t>
            </w:r>
          </w:p>
        </w:tc>
      </w:tr>
      <w:tr>
        <w:trPr>
          <w:cantSplit/>
        </w:trPr>
        <w:tc>
          <w:tcPr>
            <w:tcW w:type="dxa" w:w="3456"/>
          </w:tcPr>
          <w:p>
            <w:pPr>
              <w:spacing w:after="40" w:before="40"/>
            </w:pPr>
            <w:r/>
            <w:r>
              <w:rPr>
                <w:rFonts w:ascii="Calibri" w:hAnsi="Calibri"/>
                <w:b/>
                <w:i w:val="0"/>
                <w:color w:val="22333B"/>
                <w:sz w:val="18"/>
              </w:rPr>
              <w:t>Design and manufacturing information</w:t>
            </w:r>
          </w:p>
        </w:tc>
        <w:tc>
          <w:tcPr>
            <w:tcW w:type="dxa" w:w="6336"/>
          </w:tcPr>
          <w:p>
            <w:pPr>
              <w:spacing w:after="40" w:before="40"/>
            </w:pPr>
            <w:r/>
            <w:r>
              <w:rPr>
                <w:rFonts w:ascii="Calibri" w:hAnsi="Calibri"/>
                <w:b w:val="0"/>
                <w:i w:val="0"/>
                <w:color w:val="22333B"/>
                <w:sz w:val="18"/>
              </w:rPr>
              <w:t>Design stages, manufacturing processes, and the sites — including suppliers and subcontractors.</w:t>
            </w:r>
          </w:p>
        </w:tc>
      </w:tr>
      <w:tr>
        <w:trPr>
          <w:cantSplit/>
        </w:trPr>
        <w:tc>
          <w:tcPr>
            <w:tcW w:type="dxa" w:w="3456"/>
          </w:tcPr>
          <w:p>
            <w:pPr>
              <w:spacing w:after="40" w:before="40"/>
            </w:pPr>
            <w:r/>
            <w:r>
              <w:rPr>
                <w:rFonts w:ascii="Calibri" w:hAnsi="Calibri"/>
                <w:b/>
                <w:i w:val="0"/>
                <w:color w:val="22333B"/>
                <w:sz w:val="18"/>
              </w:rPr>
              <w:t>GSPR checklist</w:t>
            </w:r>
          </w:p>
        </w:tc>
        <w:tc>
          <w:tcPr>
            <w:tcW w:type="dxa" w:w="6336"/>
          </w:tcPr>
          <w:p>
            <w:pPr>
              <w:spacing w:after="40" w:before="40"/>
            </w:pPr>
            <w:r/>
            <w:r>
              <w:rPr>
                <w:rFonts w:ascii="Calibri" w:hAnsi="Calibri"/>
                <w:b w:val="0"/>
                <w:i w:val="0"/>
                <w:color w:val="22333B"/>
                <w:sz w:val="18"/>
              </w:rPr>
              <w:t>Every Annex I requirement, applicability, method of demonstration, and a precise cross-reference to evidence.</w:t>
            </w:r>
          </w:p>
        </w:tc>
      </w:tr>
      <w:tr>
        <w:trPr>
          <w:cantSplit/>
        </w:trPr>
        <w:tc>
          <w:tcPr>
            <w:tcW w:type="dxa" w:w="3456"/>
          </w:tcPr>
          <w:p>
            <w:pPr>
              <w:spacing w:after="40" w:before="40"/>
            </w:pPr>
            <w:r/>
            <w:r>
              <w:rPr>
                <w:rFonts w:ascii="Calibri" w:hAnsi="Calibri"/>
                <w:b/>
                <w:i w:val="0"/>
                <w:color w:val="22333B"/>
                <w:sz w:val="18"/>
              </w:rPr>
              <w:t>Benefit-risk and risk management</w:t>
            </w:r>
          </w:p>
        </w:tc>
        <w:tc>
          <w:tcPr>
            <w:tcW w:type="dxa" w:w="6336"/>
          </w:tcPr>
          <w:p>
            <w:pPr>
              <w:spacing w:after="40" w:before="40"/>
            </w:pPr>
            <w:r/>
            <w:r>
              <w:rPr>
                <w:rFonts w:ascii="Calibri" w:hAnsi="Calibri"/>
                <w:b w:val="0"/>
                <w:i w:val="0"/>
                <w:color w:val="22333B"/>
                <w:sz w:val="18"/>
              </w:rPr>
              <w:t>The ISO 14971 file, with controls traced to verification that they are implemented and effective.</w:t>
            </w:r>
          </w:p>
        </w:tc>
      </w:tr>
      <w:tr>
        <w:trPr>
          <w:cantSplit/>
        </w:trPr>
        <w:tc>
          <w:tcPr>
            <w:tcW w:type="dxa" w:w="3456"/>
          </w:tcPr>
          <w:p>
            <w:pPr>
              <w:spacing w:after="40" w:before="40"/>
            </w:pPr>
            <w:r/>
            <w:r>
              <w:rPr>
                <w:rFonts w:ascii="Calibri" w:hAnsi="Calibri"/>
                <w:b/>
                <w:i w:val="0"/>
                <w:color w:val="22333B"/>
                <w:sz w:val="18"/>
              </w:rPr>
              <w:t>Verification and validation</w:t>
            </w:r>
          </w:p>
        </w:tc>
        <w:tc>
          <w:tcPr>
            <w:tcW w:type="dxa" w:w="6336"/>
          </w:tcPr>
          <w:p>
            <w:pPr>
              <w:spacing w:after="40" w:before="40"/>
            </w:pPr>
            <w:r/>
            <w:r>
              <w:rPr>
                <w:rFonts w:ascii="Calibri" w:hAnsi="Calibri"/>
                <w:b w:val="0"/>
                <w:i w:val="0"/>
                <w:color w:val="22333B"/>
                <w:sz w:val="18"/>
              </w:rPr>
              <w:t>Bench, biocompatibility, electrical safety, software, usability, stability and shelf life, and the clinical evaluation report.</w:t>
            </w:r>
          </w:p>
        </w:tc>
      </w:tr>
      <w:tr>
        <w:trPr>
          <w:cantSplit/>
        </w:trPr>
        <w:tc>
          <w:tcPr>
            <w:tcW w:type="dxa" w:w="3456"/>
          </w:tcPr>
          <w:p>
            <w:pPr>
              <w:spacing w:after="40" w:before="40"/>
            </w:pPr>
            <w:r/>
            <w:r>
              <w:rPr>
                <w:rFonts w:ascii="Calibri" w:hAnsi="Calibri"/>
                <w:b/>
                <w:i w:val="0"/>
                <w:color w:val="22333B"/>
                <w:sz w:val="18"/>
              </w:rPr>
              <w:t>Annex III — post-market surveillance</w:t>
            </w:r>
          </w:p>
        </w:tc>
        <w:tc>
          <w:tcPr>
            <w:tcW w:type="dxa" w:w="6336"/>
          </w:tcPr>
          <w:p>
            <w:pPr>
              <w:spacing w:after="40" w:before="40"/>
            </w:pPr>
            <w:r/>
            <w:r>
              <w:rPr>
                <w:rFonts w:ascii="Calibri" w:hAnsi="Calibri"/>
                <w:b/>
                <w:i w:val="0"/>
                <w:color w:val="22333B"/>
                <w:sz w:val="18"/>
              </w:rPr>
              <w:t>A separate annex and a separate obligation: the PMS plan, and the PSUR or PMS report by class.</w:t>
            </w:r>
          </w:p>
        </w:tc>
      </w:tr>
    </w:tbl>
    <w:p>
      <w:pPr>
        <w:keepNext/>
        <w:spacing w:after="80" w:before="180"/>
      </w:pPr>
      <w:r>
        <w:rPr>
          <w:rFonts w:ascii="Cambria" w:hAnsi="Cambria"/>
          <w:b/>
          <w:color w:val="1B3A4B"/>
          <w:sz w:val="26"/>
        </w:rPr>
        <w:t>Build the GSPR checklist first, not last</w:t>
      </w:r>
    </w:p>
    <w:p>
      <w:pPr>
        <w:spacing w:after="100"/>
      </w:pPr>
      <w:r>
        <w:rPr>
          <w:rFonts w:ascii="Calibri" w:hAnsi="Calibri"/>
          <w:b w:val="0"/>
          <w:i w:val="0"/>
          <w:color w:val="22333B"/>
          <w:sz w:val="19"/>
        </w:rPr>
        <w:t>For every Annex I requirement: does it apply, by what method will you demonstrate conformity, and exactly which document and section holds the evidence. Built early it is a gap analysis that tells you what to test. Built at the end it is a discovery exercise that tells you what you forgot.</w:t>
      </w:r>
    </w:p>
    <w:p>
      <w:pPr>
        <w:keepNext/>
        <w:spacing w:after="80" w:before="180"/>
      </w:pPr>
      <w:r>
        <w:rPr>
          <w:rFonts w:ascii="Cambria" w:hAnsi="Cambria"/>
          <w:b/>
          <w:color w:val="1B3A4B"/>
          <w:sz w:val="26"/>
        </w:rPr>
        <w:t>Accountability and traceability</w:t>
      </w:r>
    </w:p>
    <w:p>
      <w:pPr>
        <w:pStyle w:val="ListBullet"/>
        <w:spacing w:after="50" w:line="254" w:lineRule="auto"/>
        <w:ind w:left="576"/>
      </w:pPr>
      <w:r>
        <w:rPr>
          <w:rFonts w:ascii="Calibri" w:hAnsi="Calibri"/>
          <w:b/>
          <w:color w:val="1B3A4B"/>
          <w:sz w:val="19"/>
        </w:rPr>
        <w:t xml:space="preserve">Article 15 — PRRC: </w:t>
      </w:r>
      <w:r>
        <w:rPr>
          <w:rFonts w:ascii="Calibri" w:hAnsi="Calibri"/>
          <w:color w:val="22333B"/>
          <w:sz w:val="19"/>
        </w:rPr>
        <w:t>a named person responsible for regulatory compliance. Micro and small enterprises need not employ one but must have one permanently and continuously at their disposal.</w:t>
      </w:r>
    </w:p>
    <w:p>
      <w:pPr>
        <w:pStyle w:val="ListBullet"/>
        <w:spacing w:after="50" w:line="254" w:lineRule="auto"/>
        <w:ind w:left="576"/>
      </w:pPr>
      <w:r>
        <w:rPr>
          <w:rFonts w:ascii="Calibri" w:hAnsi="Calibri"/>
          <w:b/>
          <w:color w:val="1B3A4B"/>
          <w:sz w:val="19"/>
        </w:rPr>
        <w:t xml:space="preserve">Article 11 — Authorised Representative: </w:t>
      </w:r>
      <w:r>
        <w:rPr>
          <w:rFonts w:ascii="Calibri" w:hAnsi="Calibri"/>
          <w:color w:val="22333B"/>
          <w:sz w:val="19"/>
        </w:rPr>
        <w:t>required for any manufacturer outside the EU, acting under a written mandate. Article 11(5) makes them jointly and severally liable with you for defective devices.</w:t>
      </w:r>
    </w:p>
    <w:p>
      <w:pPr>
        <w:pStyle w:val="ListBullet"/>
        <w:spacing w:after="50" w:line="254" w:lineRule="auto"/>
        <w:ind w:left="576"/>
      </w:pPr>
      <w:r>
        <w:rPr>
          <w:rFonts w:ascii="Calibri" w:hAnsi="Calibri"/>
          <w:b/>
          <w:color w:val="1B3A4B"/>
          <w:sz w:val="19"/>
        </w:rPr>
        <w:t xml:space="preserve">Basic UDI-DI: </w:t>
      </w:r>
      <w:r>
        <w:rPr>
          <w:rFonts w:ascii="Calibri" w:hAnsi="Calibri"/>
          <w:color w:val="22333B"/>
          <w:sz w:val="19"/>
        </w:rPr>
        <w:t>identifies the model, appears on the declaration of conformity and in EUDAMED, and is NOT on the label. The UDI-DI plus UDI-PI is the carrier on the device.</w:t>
      </w:r>
    </w:p>
    <w:p>
      <w:pPr>
        <w:keepNext/>
        <w:spacing w:after="80" w:before="180"/>
      </w:pPr>
      <w:r>
        <w:rPr>
          <w:rFonts w:ascii="Cambria" w:hAnsi="Cambria"/>
          <w:b/>
          <w:color w:val="1B3A4B"/>
          <w:sz w:val="26"/>
        </w:rPr>
        <w:t>Post-market obligations</w:t>
      </w:r>
    </w:p>
    <w:p>
      <w:pPr>
        <w:pStyle w:val="ListBullet"/>
        <w:spacing w:after="50" w:line="254" w:lineRule="auto"/>
        <w:ind w:left="576"/>
      </w:pPr>
      <w:r>
        <w:rPr>
          <w:rFonts w:ascii="Calibri" w:hAnsi="Calibri"/>
          <w:b/>
          <w:color w:val="1B3A4B"/>
          <w:sz w:val="19"/>
        </w:rPr>
        <w:t xml:space="preserve">PMS plan: </w:t>
      </w:r>
      <w:r>
        <w:rPr>
          <w:rFonts w:ascii="Calibri" w:hAnsi="Calibri"/>
          <w:color w:val="22333B"/>
          <w:sz w:val="19"/>
        </w:rPr>
        <w:t>documented, proactive and systematic; assessed by the notified body before you sell anything.</w:t>
      </w:r>
    </w:p>
    <w:p>
      <w:pPr>
        <w:pStyle w:val="ListBullet"/>
        <w:spacing w:after="50" w:line="254" w:lineRule="auto"/>
        <w:ind w:left="576"/>
      </w:pPr>
      <w:r>
        <w:rPr>
          <w:rFonts w:ascii="Calibri" w:hAnsi="Calibri"/>
          <w:b/>
          <w:color w:val="1B3A4B"/>
          <w:sz w:val="19"/>
        </w:rPr>
        <w:t xml:space="preserve">PMCF: </w:t>
      </w:r>
      <w:r>
        <w:rPr>
          <w:rFonts w:ascii="Calibri" w:hAnsi="Calibri"/>
          <w:color w:val="22333B"/>
          <w:sz w:val="19"/>
        </w:rPr>
        <w:t>the mechanism that keeps the clinical evaluation current. Not doing it requires a justification that gets read carefully.</w:t>
      </w:r>
    </w:p>
    <w:p>
      <w:pPr>
        <w:pStyle w:val="ListBullet"/>
        <w:spacing w:after="50" w:line="254" w:lineRule="auto"/>
        <w:ind w:left="576"/>
      </w:pPr>
      <w:r>
        <w:rPr>
          <w:rFonts w:ascii="Calibri" w:hAnsi="Calibri"/>
          <w:b/>
          <w:color w:val="1B3A4B"/>
          <w:sz w:val="19"/>
        </w:rPr>
        <w:t xml:space="preserve">PSUR: </w:t>
      </w:r>
      <w:r>
        <w:rPr>
          <w:rFonts w:ascii="Calibri" w:hAnsi="Calibri"/>
          <w:color w:val="22333B"/>
          <w:sz w:val="19"/>
        </w:rPr>
        <w:t>at least every two years for Class IIa; at least annually for Class IIb and III.</w:t>
      </w:r>
    </w:p>
    <w:p>
      <w:pPr>
        <w:pStyle w:val="ListBullet"/>
        <w:spacing w:after="50" w:line="254" w:lineRule="auto"/>
        <w:ind w:left="576"/>
      </w:pPr>
      <w:r>
        <w:rPr>
          <w:rFonts w:ascii="Calibri" w:hAnsi="Calibri"/>
          <w:b/>
          <w:color w:val="1B3A4B"/>
          <w:sz w:val="19"/>
        </w:rPr>
        <w:t xml:space="preserve">Vigilance: </w:t>
      </w:r>
      <w:r>
        <w:rPr>
          <w:rFonts w:ascii="Calibri" w:hAnsi="Calibri"/>
          <w:color w:val="22333B"/>
          <w:sz w:val="19"/>
        </w:rPr>
        <w:t>serious incidents and field safety corrective actions within defined timescales, plus trend reporting.</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The connection people miss</w:t>
            </w:r>
          </w:p>
          <w:p>
            <w:pPr>
              <w:spacing w:after="80"/>
            </w:pPr>
            <w:r>
              <w:rPr>
                <w:rFonts w:ascii="Calibri" w:hAnsi="Calibri"/>
                <w:color w:val="22333B"/>
                <w:sz w:val="19"/>
              </w:rPr>
              <w:t>PMCF data feeds the clinical evaluation, which supports conformity, which is what the certificate attests. A thin PMCF programme is not only an audit risk — it erodes the evidence your certificate rests on, and you discover that at renewal when there is no time.</w:t>
            </w:r>
          </w:p>
        </w:tc>
      </w:tr>
    </w:tbl>
    <w:p>
      <w:pPr>
        <w:spacing w:after="100" w:before="0" w:line="240" w:lineRule="auto"/>
      </w:pPr>
      <w:r>
        <w:rPr>
          <w:sz w:val="2"/>
        </w:rPr>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The UK position</w:t>
      </w:r>
    </w:p>
    <w:p>
      <w:pPr>
        <w:spacing w:before="120" w:after="120"/>
        <w:pBdr>
          <w:bottom w:val="single" w:sz="6" w:space="1" w:color="D7E2E5"/>
        </w:pBdr>
      </w:pPr>
    </w:p>
    <w:p>
      <w:pPr>
        <w:keepNext/>
        <w:spacing w:after="80" w:before="0"/>
      </w:pPr>
      <w:r>
        <w:rPr>
          <w:rFonts w:ascii="Cambria" w:hAnsi="Cambria"/>
          <w:b/>
          <w:color w:val="1B3A4B"/>
          <w:sz w:val="26"/>
        </w:rPr>
        <w:t>Decision aid: do you need UKCA?</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880"/>
        <w:gridCol w:w="3456"/>
        <w:gridCol w:w="3456"/>
      </w:tblGrid>
      <w:tr>
        <w:trPr>
          <w:cantSplit/>
        </w:trPr>
        <w:tc>
          <w:tcPr>
            <w:tcW w:type="dxa" w:w="2880"/>
            <w:shd w:val="clear" w:color="auto" w:fill="1B3A4B"/>
          </w:tcPr>
          <w:p>
            <w:pPr>
              <w:spacing w:after="40" w:before="40"/>
            </w:pPr>
            <w:r/>
            <w:r>
              <w:rPr>
                <w:rFonts w:ascii="Calibri" w:hAnsi="Calibri"/>
                <w:b/>
                <w:i w:val="0"/>
                <w:color w:val="FFFFFF"/>
                <w:sz w:val="18"/>
              </w:rPr>
              <w:t>Question</w:t>
            </w:r>
          </w:p>
        </w:tc>
        <w:tc>
          <w:tcPr>
            <w:tcW w:type="dxa" w:w="3456"/>
            <w:shd w:val="clear" w:color="auto" w:fill="1B3A4B"/>
          </w:tcPr>
          <w:p>
            <w:pPr>
              <w:spacing w:after="40" w:before="40"/>
            </w:pPr>
            <w:r/>
            <w:r>
              <w:rPr>
                <w:rFonts w:ascii="Calibri" w:hAnsi="Calibri"/>
                <w:b/>
                <w:i w:val="0"/>
                <w:color w:val="FFFFFF"/>
                <w:sz w:val="18"/>
              </w:rPr>
              <w:t>If yes</w:t>
            </w:r>
          </w:p>
        </w:tc>
        <w:tc>
          <w:tcPr>
            <w:tcW w:type="dxa" w:w="3456"/>
            <w:shd w:val="clear" w:color="auto" w:fill="1B3A4B"/>
          </w:tcPr>
          <w:p>
            <w:pPr>
              <w:spacing w:after="40" w:before="40"/>
            </w:pPr>
            <w:r/>
            <w:r>
              <w:rPr>
                <w:rFonts w:ascii="Calibri" w:hAnsi="Calibri"/>
                <w:b/>
                <w:i w:val="0"/>
                <w:color w:val="FFFFFF"/>
                <w:sz w:val="18"/>
              </w:rPr>
              <w:t>If no</w:t>
            </w:r>
          </w:p>
        </w:tc>
      </w:tr>
      <w:tr>
        <w:trPr>
          <w:cantSplit/>
        </w:trPr>
        <w:tc>
          <w:tcPr>
            <w:tcW w:type="dxa" w:w="2880"/>
          </w:tcPr>
          <w:p>
            <w:pPr>
              <w:spacing w:after="40" w:before="40"/>
            </w:pPr>
            <w:r/>
            <w:r>
              <w:rPr>
                <w:rFonts w:ascii="Calibri" w:hAnsi="Calibri"/>
                <w:b/>
                <w:i w:val="0"/>
                <w:color w:val="22333B"/>
                <w:sz w:val="18"/>
              </w:rPr>
              <w:t>Do you hold, or expect, a CE certificate under EU MDR?</w:t>
            </w:r>
          </w:p>
        </w:tc>
        <w:tc>
          <w:tcPr>
            <w:tcW w:type="dxa" w:w="3456"/>
          </w:tcPr>
          <w:p>
            <w:pPr>
              <w:spacing w:after="40" w:before="40"/>
            </w:pPr>
            <w:r/>
            <w:r>
              <w:rPr>
                <w:rFonts w:ascii="Calibri" w:hAnsi="Calibri"/>
                <w:b w:val="0"/>
                <w:i w:val="0"/>
                <w:color w:val="22333B"/>
                <w:sz w:val="18"/>
              </w:rPr>
              <w:t>It reaches Great Britain until 30 June 2030, and Northern Ireland indefinitely. UKCA adds nothing you do not already have.</w:t>
            </w:r>
          </w:p>
        </w:tc>
        <w:tc>
          <w:tcPr>
            <w:tcW w:type="dxa" w:w="3456"/>
          </w:tcPr>
          <w:p>
            <w:pPr>
              <w:spacing w:after="40" w:before="40"/>
            </w:pPr>
            <w:r/>
            <w:r>
              <w:rPr>
                <w:rFonts w:ascii="Calibri" w:hAnsi="Calibri"/>
                <w:b w:val="0"/>
                <w:i w:val="0"/>
                <w:color w:val="22333B"/>
                <w:sz w:val="18"/>
              </w:rPr>
              <w:t>UKCA may be your route to Great Britain — check Approved Body capacity for your device code first.</w:t>
            </w:r>
          </w:p>
        </w:tc>
      </w:tr>
      <w:tr>
        <w:trPr>
          <w:cantSplit/>
        </w:trPr>
        <w:tc>
          <w:tcPr>
            <w:tcW w:type="dxa" w:w="2880"/>
          </w:tcPr>
          <w:p>
            <w:pPr>
              <w:spacing w:after="40" w:before="40"/>
            </w:pPr>
            <w:r/>
            <w:r>
              <w:rPr>
                <w:rFonts w:ascii="Calibri" w:hAnsi="Calibri"/>
                <w:b/>
                <w:i w:val="0"/>
                <w:color w:val="22333B"/>
                <w:sz w:val="18"/>
              </w:rPr>
              <w:t>Are you on a legacy MDD certificate?</w:t>
            </w:r>
          </w:p>
        </w:tc>
        <w:tc>
          <w:tcPr>
            <w:tcW w:type="dxa" w:w="3456"/>
          </w:tcPr>
          <w:p>
            <w:pPr>
              <w:spacing w:after="40" w:before="40"/>
            </w:pPr>
            <w:r/>
            <w:r>
              <w:rPr>
                <w:rFonts w:ascii="Calibri" w:hAnsi="Calibri"/>
                <w:b/>
                <w:i w:val="0"/>
                <w:color w:val="A83A3C"/>
                <w:sz w:val="18"/>
              </w:rPr>
              <w:t>Your GB access ends at the sooner of certificate expiry or 30 June 2028. Two clocks; the earlier governs.</w:t>
            </w:r>
          </w:p>
        </w:tc>
        <w:tc>
          <w:tcPr>
            <w:tcW w:type="dxa" w:w="3456"/>
          </w:tcPr>
          <w:p>
            <w:pPr>
              <w:spacing w:after="40" w:before="40"/>
            </w:pPr>
            <w:r/>
            <w:r>
              <w:rPr>
                <w:rFonts w:ascii="Calibri" w:hAnsi="Calibri"/>
                <w:b w:val="0"/>
                <w:i w:val="0"/>
                <w:color w:val="22333B"/>
                <w:sz w:val="18"/>
              </w:rPr>
              <w:t>Then the MDR dates above apply.</w:t>
            </w:r>
          </w:p>
        </w:tc>
      </w:tr>
      <w:tr>
        <w:trPr>
          <w:cantSplit/>
        </w:trPr>
        <w:tc>
          <w:tcPr>
            <w:tcW w:type="dxa" w:w="2880"/>
          </w:tcPr>
          <w:p>
            <w:pPr>
              <w:spacing w:after="40" w:before="40"/>
            </w:pPr>
            <w:r/>
            <w:r>
              <w:rPr>
                <w:rFonts w:ascii="Calibri" w:hAnsi="Calibri"/>
                <w:b/>
                <w:i w:val="0"/>
                <w:color w:val="22333B"/>
                <w:sz w:val="18"/>
              </w:rPr>
              <w:t>Do you sell in Northern Ireland?</w:t>
            </w:r>
          </w:p>
        </w:tc>
        <w:tc>
          <w:tcPr>
            <w:tcW w:type="dxa" w:w="3456"/>
          </w:tcPr>
          <w:p>
            <w:pPr>
              <w:spacing w:after="40" w:before="40"/>
            </w:pPr>
            <w:r/>
            <w:r>
              <w:rPr>
                <w:rFonts w:ascii="Calibri" w:hAnsi="Calibri"/>
                <w:b w:val="0"/>
                <w:i w:val="0"/>
                <w:color w:val="22333B"/>
                <w:sz w:val="18"/>
              </w:rPr>
              <w:t>You need CE marking regardless. UKCA alone does not satisfy Northern Ireland.</w:t>
            </w:r>
          </w:p>
        </w:tc>
        <w:tc>
          <w:tcPr>
            <w:tcW w:type="dxa" w:w="3456"/>
          </w:tcPr>
          <w:p>
            <w:pPr>
              <w:spacing w:after="40" w:before="40"/>
            </w:pPr>
            <w:r/>
            <w:r>
              <w:rPr>
                <w:rFonts w:ascii="Calibri" w:hAnsi="Calibri"/>
                <w:b w:val="0"/>
                <w:i w:val="0"/>
                <w:color w:val="22333B"/>
                <w:sz w:val="18"/>
              </w:rPr>
              <w:t>Great Britain alone is a smaller market than the CE route already reaches.</w:t>
            </w:r>
          </w:p>
        </w:tc>
      </w:tr>
      <w:tr>
        <w:trPr>
          <w:cantSplit/>
        </w:trPr>
        <w:tc>
          <w:tcPr>
            <w:tcW w:type="dxa" w:w="2880"/>
          </w:tcPr>
          <w:p>
            <w:pPr>
              <w:spacing w:after="40" w:before="40"/>
            </w:pPr>
            <w:r/>
            <w:r>
              <w:rPr>
                <w:rFonts w:ascii="Calibri" w:hAnsi="Calibri"/>
                <w:b/>
                <w:i w:val="0"/>
                <w:color w:val="22333B"/>
                <w:sz w:val="18"/>
              </w:rPr>
              <w:t>Is your business UK-only?</w:t>
            </w:r>
          </w:p>
        </w:tc>
        <w:tc>
          <w:tcPr>
            <w:tcW w:type="dxa" w:w="3456"/>
          </w:tcPr>
          <w:p>
            <w:pPr>
              <w:spacing w:after="40" w:before="40"/>
            </w:pPr>
            <w:r/>
            <w:r>
              <w:rPr>
                <w:rFonts w:ascii="Calibri" w:hAnsi="Calibri"/>
                <w:b w:val="0"/>
                <w:i w:val="0"/>
                <w:color w:val="22333B"/>
                <w:sz w:val="18"/>
              </w:rPr>
              <w:t>UKCA may well be the right and cheaper answer.</w:t>
            </w:r>
          </w:p>
        </w:tc>
        <w:tc>
          <w:tcPr>
            <w:tcW w:type="dxa" w:w="3456"/>
          </w:tcPr>
          <w:p>
            <w:pPr>
              <w:spacing w:after="40" w:before="40"/>
            </w:pPr>
            <w:r/>
            <w:r>
              <w:rPr>
                <w:rFonts w:ascii="Calibri" w:hAnsi="Calibri"/>
                <w:b w:val="0"/>
                <w:i w:val="0"/>
                <w:color w:val="22333B"/>
                <w:sz w:val="18"/>
              </w:rPr>
              <w:t>Weigh UKCA against simply waiting — the government has said it will consult on indefinite CE recognition.</w:t>
            </w:r>
          </w:p>
        </w:tc>
      </w:tr>
    </w:tbl>
    <w:p>
      <w:pPr>
        <w:keepNext/>
        <w:spacing w:after="80" w:before="180"/>
      </w:pPr>
      <w:r>
        <w:rPr>
          <w:rFonts w:ascii="Cambria" w:hAnsi="Cambria"/>
          <w:b/>
          <w:color w:val="1B3A4B"/>
          <w:sz w:val="26"/>
        </w:rPr>
        <w:t>What applies whatever marking you carry</w:t>
      </w:r>
    </w:p>
    <w:p>
      <w:pPr>
        <w:pStyle w:val="ListBullet"/>
        <w:spacing w:after="50" w:line="254" w:lineRule="auto"/>
        <w:ind w:left="576"/>
      </w:pPr>
      <w:r>
        <w:rPr>
          <w:rFonts w:ascii="Calibri" w:hAnsi="Calibri"/>
          <w:b/>
          <w:color w:val="1B3A4B"/>
          <w:sz w:val="19"/>
        </w:rPr>
        <w:t xml:space="preserve">A UK Responsible Person: </w:t>
      </w:r>
      <w:r>
        <w:rPr>
          <w:rFonts w:ascii="Calibri" w:hAnsi="Calibri"/>
          <w:color w:val="22333B"/>
          <w:sz w:val="19"/>
        </w:rPr>
        <w:t>required if you are established outside the UK. A UK address, a written agreement, and real standing access to your technical documentation.</w:t>
      </w:r>
    </w:p>
    <w:p>
      <w:pPr>
        <w:pStyle w:val="ListBullet"/>
        <w:spacing w:after="50" w:line="254" w:lineRule="auto"/>
        <w:ind w:left="576"/>
      </w:pPr>
      <w:r>
        <w:rPr>
          <w:rFonts w:ascii="Calibri" w:hAnsi="Calibri"/>
          <w:b/>
          <w:color w:val="1B3A4B"/>
          <w:sz w:val="19"/>
        </w:rPr>
        <w:t xml:space="preserve">MHRA registration: </w:t>
      </w:r>
      <w:r>
        <w:rPr>
          <w:rFonts w:ascii="Calibri" w:hAnsi="Calibri"/>
          <w:color w:val="22333B"/>
          <w:sz w:val="19"/>
        </w:rPr>
        <w:t>applies across the United Kingdom regardless of marking, and is made by the UK RP where the manufacturer is outside the UK.</w:t>
      </w:r>
    </w:p>
    <w:p>
      <w:pPr>
        <w:pStyle w:val="ListBullet"/>
        <w:spacing w:after="50" w:line="254" w:lineRule="auto"/>
        <w:ind w:left="576"/>
      </w:pPr>
      <w:r>
        <w:rPr>
          <w:rFonts w:ascii="Calibri" w:hAnsi="Calibri"/>
          <w:b/>
          <w:color w:val="1B3A4B"/>
          <w:sz w:val="19"/>
        </w:rPr>
        <w:t xml:space="preserve">Post-market surveillance: </w:t>
      </w:r>
      <w:r>
        <w:rPr>
          <w:rFonts w:ascii="Calibri" w:hAnsi="Calibri"/>
          <w:color w:val="22333B"/>
          <w:sz w:val="19"/>
        </w:rPr>
        <w:t>the Medical Devices (Post-market Surveillance Requirements) Regulations 2024, in force since 16 June 2025. These attach to placing the device on the market, not to the conformity route.</w:t>
      </w:r>
    </w:p>
    <w:p>
      <w:pPr>
        <w:pStyle w:val="ListBullet"/>
        <w:spacing w:after="50" w:line="254" w:lineRule="auto"/>
        <w:ind w:left="576"/>
      </w:pPr>
      <w:r>
        <w:rPr>
          <w:rFonts w:ascii="Calibri" w:hAnsi="Calibri"/>
          <w:b/>
          <w:color w:val="1B3A4B"/>
          <w:sz w:val="19"/>
        </w:rPr>
        <w:t xml:space="preserve">Vigilance reporting: </w:t>
      </w:r>
      <w:r>
        <w:rPr>
          <w:rFonts w:ascii="Calibri" w:hAnsi="Calibri"/>
          <w:color w:val="22333B"/>
          <w:sz w:val="19"/>
        </w:rPr>
        <w:t>serious incidents and field safety corrective actions to the MHRA.</w:t>
      </w:r>
    </w:p>
    <w:p>
      <w:pPr>
        <w:keepNext/>
        <w:spacing w:after="80" w:before="180"/>
      </w:pPr>
      <w:r>
        <w:rPr>
          <w:rFonts w:ascii="Cambria" w:hAnsi="Cambria"/>
          <w:b/>
          <w:color w:val="1B3A4B"/>
          <w:sz w:val="26"/>
        </w:rPr>
        <w:t>The state of the framework</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320"/>
        <w:gridCol w:w="5472"/>
      </w:tblGrid>
      <w:tr>
        <w:trPr>
          <w:cantSplit/>
        </w:trPr>
        <w:tc>
          <w:tcPr>
            <w:tcW w:type="dxa" w:w="4320"/>
            <w:shd w:val="clear" w:color="auto" w:fill="1B3A4B"/>
          </w:tcPr>
          <w:p>
            <w:pPr>
              <w:spacing w:after="40" w:before="40"/>
            </w:pPr>
            <w:r/>
            <w:r>
              <w:rPr>
                <w:rFonts w:ascii="Calibri" w:hAnsi="Calibri"/>
                <w:b/>
                <w:i w:val="0"/>
                <w:color w:val="FFFFFF"/>
                <w:sz w:val="18"/>
              </w:rPr>
              <w:t>What</w:t>
            </w:r>
          </w:p>
        </w:tc>
        <w:tc>
          <w:tcPr>
            <w:tcW w:type="dxa" w:w="5472"/>
            <w:shd w:val="clear" w:color="auto" w:fill="1B3A4B"/>
          </w:tcPr>
          <w:p>
            <w:pPr>
              <w:spacing w:after="40" w:before="40"/>
            </w:pPr>
            <w:r/>
            <w:r>
              <w:rPr>
                <w:rFonts w:ascii="Calibri" w:hAnsi="Calibri"/>
                <w:b/>
                <w:i w:val="0"/>
                <w:color w:val="FFFFFF"/>
                <w:sz w:val="18"/>
              </w:rPr>
              <w:t>Status</w:t>
            </w:r>
          </w:p>
        </w:tc>
      </w:tr>
      <w:tr>
        <w:trPr>
          <w:cantSplit/>
        </w:trPr>
        <w:tc>
          <w:tcPr>
            <w:tcW w:type="dxa" w:w="4320"/>
          </w:tcPr>
          <w:p>
            <w:pPr>
              <w:spacing w:after="40" w:before="40"/>
            </w:pPr>
            <w:r/>
            <w:r>
              <w:rPr>
                <w:rFonts w:ascii="Calibri" w:hAnsi="Calibri"/>
                <w:b/>
                <w:i w:val="0"/>
                <w:color w:val="22333B"/>
                <w:sz w:val="18"/>
              </w:rPr>
              <w:t>Post-market surveillance regulations</w:t>
            </w:r>
          </w:p>
        </w:tc>
        <w:tc>
          <w:tcPr>
            <w:tcW w:type="dxa" w:w="5472"/>
          </w:tcPr>
          <w:p>
            <w:pPr>
              <w:spacing w:after="40" w:before="40"/>
            </w:pPr>
            <w:r/>
            <w:r>
              <w:rPr>
                <w:rFonts w:ascii="Calibri" w:hAnsi="Calibri"/>
                <w:b/>
                <w:i w:val="0"/>
                <w:color w:val="0E7C7B"/>
                <w:sz w:val="18"/>
              </w:rPr>
              <w:t>IN FORCE since 16 June 2025</w:t>
            </w:r>
          </w:p>
        </w:tc>
      </w:tr>
      <w:tr>
        <w:trPr>
          <w:cantSplit/>
        </w:trPr>
        <w:tc>
          <w:tcPr>
            <w:tcW w:type="dxa" w:w="4320"/>
          </w:tcPr>
          <w:p>
            <w:pPr>
              <w:spacing w:after="40" w:before="40"/>
            </w:pPr>
            <w:r/>
            <w:r>
              <w:rPr>
                <w:rFonts w:ascii="Calibri" w:hAnsi="Calibri"/>
                <w:b/>
                <w:i w:val="0"/>
                <w:color w:val="22333B"/>
                <w:sz w:val="18"/>
              </w:rPr>
              <w:t>A strengthened pre-market regime</w:t>
            </w:r>
          </w:p>
        </w:tc>
        <w:tc>
          <w:tcPr>
            <w:tcW w:type="dxa" w:w="5472"/>
          </w:tcPr>
          <w:p>
            <w:pPr>
              <w:spacing w:after="40" w:before="40"/>
            </w:pPr>
            <w:r/>
            <w:r>
              <w:rPr>
                <w:rFonts w:ascii="Calibri" w:hAnsi="Calibri"/>
                <w:b w:val="0"/>
                <w:i w:val="0"/>
                <w:color w:val="C77C1E"/>
                <w:sz w:val="18"/>
              </w:rPr>
              <w:t>Signalled, not law. Timing has moved before — treat any date you hear as provisional</w:t>
            </w:r>
          </w:p>
        </w:tc>
      </w:tr>
      <w:tr>
        <w:trPr>
          <w:cantSplit/>
        </w:trPr>
        <w:tc>
          <w:tcPr>
            <w:tcW w:type="dxa" w:w="4320"/>
          </w:tcPr>
          <w:p>
            <w:pPr>
              <w:spacing w:after="40" w:before="40"/>
            </w:pPr>
            <w:r/>
            <w:r>
              <w:rPr>
                <w:rFonts w:ascii="Calibri" w:hAnsi="Calibri"/>
                <w:b/>
                <w:i w:val="0"/>
                <w:color w:val="22333B"/>
                <w:sz w:val="18"/>
              </w:rPr>
              <w:t>Indefinite recognition of CE marking</w:t>
            </w:r>
          </w:p>
        </w:tc>
        <w:tc>
          <w:tcPr>
            <w:tcW w:type="dxa" w:w="5472"/>
          </w:tcPr>
          <w:p>
            <w:pPr>
              <w:spacing w:after="40" w:before="40"/>
            </w:pPr>
            <w:r/>
            <w:r>
              <w:rPr>
                <w:rFonts w:ascii="Calibri" w:hAnsi="Calibri"/>
                <w:b w:val="0"/>
                <w:i w:val="0"/>
                <w:color w:val="C77C1E"/>
                <w:sz w:val="18"/>
              </w:rPr>
              <w:t>Government has said it will consult. Not decided</w:t>
            </w:r>
          </w:p>
        </w:tc>
      </w:tr>
      <w:tr>
        <w:trPr>
          <w:cantSplit/>
        </w:trPr>
        <w:tc>
          <w:tcPr>
            <w:tcW w:type="dxa" w:w="4320"/>
          </w:tcPr>
          <w:p>
            <w:pPr>
              <w:spacing w:after="40" w:before="40"/>
            </w:pPr>
            <w:r/>
            <w:r>
              <w:rPr>
                <w:rFonts w:ascii="Calibri" w:hAnsi="Calibri"/>
                <w:b/>
                <w:i w:val="0"/>
                <w:color w:val="22333B"/>
                <w:sz w:val="18"/>
              </w:rPr>
              <w:t>International reliance routes</w:t>
            </w:r>
          </w:p>
        </w:tc>
        <w:tc>
          <w:tcPr>
            <w:tcW w:type="dxa" w:w="5472"/>
          </w:tcPr>
          <w:p>
            <w:pPr>
              <w:spacing w:after="40" w:before="40"/>
            </w:pPr>
            <w:r/>
            <w:r>
              <w:rPr>
                <w:rFonts w:ascii="Calibri" w:hAnsi="Calibri"/>
                <w:b w:val="0"/>
                <w:i w:val="0"/>
                <w:color w:val="22333B"/>
                <w:sz w:val="18"/>
              </w:rPr>
              <w:t>The MHRA has been building these. Watch — it is the likely shape of the future</w:t>
            </w:r>
          </w:p>
        </w:tc>
      </w:tr>
    </w:tbl>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The correct response to a half-built framework</w:t>
            </w:r>
          </w:p>
          <w:p>
            <w:pPr>
              <w:spacing w:after="80"/>
            </w:pPr>
            <w:r>
              <w:rPr>
                <w:rFonts w:ascii="Calibri" w:hAnsi="Calibri"/>
                <w:color w:val="22333B"/>
                <w:sz w:val="19"/>
              </w:rPr>
              <w:t>Comply fully with what is in force, build nothing speculative for what is not, and make sure someone owns watching it — by name, not by committee. The manufacturers who lose money here are the ones who either ignore the UK entirely or try to build for a regime that has not been written.</w:t>
            </w:r>
          </w:p>
        </w:tc>
      </w:tr>
    </w:tbl>
    <w:p>
      <w:pPr>
        <w:spacing w:after="100" w:before="0" w:line="240" w:lineRule="auto"/>
      </w:pPr>
      <w:r>
        <w:rPr>
          <w:sz w:val="2"/>
        </w:rPr>
      </w:r>
    </w:p>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Glossary</w:t>
      </w:r>
    </w:p>
    <w:p>
      <w:pPr>
        <w:spacing w:before="120" w:after="160"/>
        <w:pBdr>
          <w:bottom w:val="single" w:sz="6" w:space="1" w:color="D7E2E5"/>
        </w:pBdr>
      </w:pP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304"/>
        <w:gridCol w:w="7488"/>
      </w:tblGrid>
      <w:tr>
        <w:trPr>
          <w:cantSplit/>
          <w:tblHeader/>
        </w:trPr>
        <w:tc>
          <w:tcPr>
            <w:tcW w:type="dxa" w:w="2304"/>
            <w:shd w:val="clear" w:color="auto" w:fill="1B3A4B"/>
          </w:tcPr>
          <w:p>
            <w:pPr>
              <w:spacing w:after="40" w:before="40"/>
            </w:pPr>
            <w:r/>
            <w:r>
              <w:rPr>
                <w:rFonts w:ascii="Calibri" w:hAnsi="Calibri"/>
                <w:b/>
                <w:i w:val="0"/>
                <w:color w:val="FFFFFF"/>
                <w:sz w:val="18"/>
              </w:rPr>
              <w:t>Term</w:t>
            </w:r>
          </w:p>
        </w:tc>
        <w:tc>
          <w:tcPr>
            <w:tcW w:type="dxa" w:w="7488"/>
            <w:shd w:val="clear" w:color="auto" w:fill="1B3A4B"/>
          </w:tcPr>
          <w:p>
            <w:pPr>
              <w:spacing w:after="40" w:before="40"/>
            </w:pPr>
            <w:r/>
            <w:r>
              <w:rPr>
                <w:rFonts w:ascii="Calibri" w:hAnsi="Calibri"/>
                <w:b/>
                <w:i w:val="0"/>
                <w:color w:val="FFFFFF"/>
                <w:sz w:val="18"/>
              </w:rPr>
              <w:t>Meaning</w:t>
            </w:r>
          </w:p>
        </w:tc>
      </w:tr>
      <w:tr>
        <w:trPr>
          <w:cantSplit/>
        </w:trPr>
        <w:tc>
          <w:tcPr>
            <w:tcW w:type="dxa" w:w="2304"/>
          </w:tcPr>
          <w:p>
            <w:pPr>
              <w:spacing w:after="40" w:before="40"/>
            </w:pPr>
            <w:r/>
            <w:r>
              <w:rPr>
                <w:rFonts w:ascii="Calibri" w:hAnsi="Calibri"/>
                <w:b/>
                <w:i w:val="0"/>
                <w:color w:val="1B3A4B"/>
                <w:sz w:val="18"/>
              </w:rPr>
              <w:t>510(k)</w:t>
            </w:r>
          </w:p>
        </w:tc>
        <w:tc>
          <w:tcPr>
            <w:tcW w:type="dxa" w:w="7488"/>
          </w:tcPr>
          <w:p>
            <w:pPr>
              <w:spacing w:after="40" w:before="40"/>
            </w:pPr>
            <w:r/>
            <w:r>
              <w:rPr>
                <w:rFonts w:ascii="Calibri" w:hAnsi="Calibri"/>
                <w:b w:val="0"/>
                <w:i w:val="0"/>
                <w:color w:val="22333B"/>
                <w:sz w:val="18"/>
              </w:rPr>
              <w:t>US premarket notification demonstrating substantial equivalence to a legally marketed predicate device.</w:t>
            </w:r>
          </w:p>
        </w:tc>
      </w:tr>
      <w:tr>
        <w:trPr>
          <w:cantSplit/>
        </w:trPr>
        <w:tc>
          <w:tcPr>
            <w:tcW w:type="dxa" w:w="2304"/>
          </w:tcPr>
          <w:p>
            <w:pPr>
              <w:spacing w:after="40" w:before="40"/>
            </w:pPr>
            <w:r/>
            <w:r>
              <w:rPr>
                <w:rFonts w:ascii="Calibri" w:hAnsi="Calibri"/>
                <w:b/>
                <w:i w:val="0"/>
                <w:color w:val="1B3A4B"/>
                <w:sz w:val="18"/>
              </w:rPr>
              <w:t>AIMDD</w:t>
            </w:r>
          </w:p>
        </w:tc>
        <w:tc>
          <w:tcPr>
            <w:tcW w:type="dxa" w:w="7488"/>
          </w:tcPr>
          <w:p>
            <w:pPr>
              <w:spacing w:after="40" w:before="40"/>
            </w:pPr>
            <w:r/>
            <w:r>
              <w:rPr>
                <w:rFonts w:ascii="Calibri" w:hAnsi="Calibri"/>
                <w:b w:val="0"/>
                <w:i w:val="0"/>
                <w:color w:val="22333B"/>
                <w:sz w:val="18"/>
              </w:rPr>
              <w:t>The Active Implantable Medical Devices Directive, 90/385/EEC — one of the directives carried into UK law.</w:t>
            </w:r>
          </w:p>
        </w:tc>
      </w:tr>
      <w:tr>
        <w:trPr>
          <w:cantSplit/>
        </w:trPr>
        <w:tc>
          <w:tcPr>
            <w:tcW w:type="dxa" w:w="2304"/>
          </w:tcPr>
          <w:p>
            <w:pPr>
              <w:spacing w:after="40" w:before="40"/>
            </w:pPr>
            <w:r/>
            <w:r>
              <w:rPr>
                <w:rFonts w:ascii="Calibri" w:hAnsi="Calibri"/>
                <w:b/>
                <w:i w:val="0"/>
                <w:color w:val="1B3A4B"/>
                <w:sz w:val="18"/>
              </w:rPr>
              <w:t>Annex I (MDR)</w:t>
            </w:r>
          </w:p>
        </w:tc>
        <w:tc>
          <w:tcPr>
            <w:tcW w:type="dxa" w:w="7488"/>
          </w:tcPr>
          <w:p>
            <w:pPr>
              <w:spacing w:after="40" w:before="40"/>
            </w:pPr>
            <w:r/>
            <w:r>
              <w:rPr>
                <w:rFonts w:ascii="Calibri" w:hAnsi="Calibri"/>
                <w:b w:val="0"/>
                <w:i w:val="0"/>
                <w:color w:val="22333B"/>
                <w:sz w:val="18"/>
              </w:rPr>
              <w:t>The General Safety and Performance Requirements: 23 requirements in three chapters, and the spine of the technical file.</w:t>
            </w:r>
          </w:p>
        </w:tc>
      </w:tr>
      <w:tr>
        <w:trPr>
          <w:cantSplit/>
        </w:trPr>
        <w:tc>
          <w:tcPr>
            <w:tcW w:type="dxa" w:w="2304"/>
          </w:tcPr>
          <w:p>
            <w:pPr>
              <w:spacing w:after="40" w:before="40"/>
            </w:pPr>
            <w:r/>
            <w:r>
              <w:rPr>
                <w:rFonts w:ascii="Calibri" w:hAnsi="Calibri"/>
                <w:b/>
                <w:i w:val="0"/>
                <w:color w:val="1B3A4B"/>
                <w:sz w:val="18"/>
              </w:rPr>
              <w:t>Annex II (MDR)</w:t>
            </w:r>
          </w:p>
        </w:tc>
        <w:tc>
          <w:tcPr>
            <w:tcW w:type="dxa" w:w="7488"/>
          </w:tcPr>
          <w:p>
            <w:pPr>
              <w:spacing w:after="40" w:before="40"/>
            </w:pPr>
            <w:r/>
            <w:r>
              <w:rPr>
                <w:rFonts w:ascii="Calibri" w:hAnsi="Calibri"/>
                <w:b w:val="0"/>
                <w:i w:val="0"/>
                <w:color w:val="22333B"/>
                <w:sz w:val="18"/>
              </w:rPr>
              <w:t>The contents of the technical documentation.</w:t>
            </w:r>
          </w:p>
        </w:tc>
      </w:tr>
      <w:tr>
        <w:trPr>
          <w:cantSplit/>
        </w:trPr>
        <w:tc>
          <w:tcPr>
            <w:tcW w:type="dxa" w:w="2304"/>
          </w:tcPr>
          <w:p>
            <w:pPr>
              <w:spacing w:after="40" w:before="40"/>
            </w:pPr>
            <w:r/>
            <w:r>
              <w:rPr>
                <w:rFonts w:ascii="Calibri" w:hAnsi="Calibri"/>
                <w:b/>
                <w:i w:val="0"/>
                <w:color w:val="1B3A4B"/>
                <w:sz w:val="18"/>
              </w:rPr>
              <w:t>Annex III (MDR)</w:t>
            </w:r>
          </w:p>
        </w:tc>
        <w:tc>
          <w:tcPr>
            <w:tcW w:type="dxa" w:w="7488"/>
          </w:tcPr>
          <w:p>
            <w:pPr>
              <w:spacing w:after="40" w:before="40"/>
            </w:pPr>
            <w:r/>
            <w:r>
              <w:rPr>
                <w:rFonts w:ascii="Calibri" w:hAnsi="Calibri"/>
                <w:b w:val="0"/>
                <w:i w:val="0"/>
                <w:color w:val="22333B"/>
                <w:sz w:val="18"/>
              </w:rPr>
              <w:t>The technical documentation on post-market surveillance — a separate annex and a separate obligation.</w:t>
            </w:r>
          </w:p>
        </w:tc>
      </w:tr>
      <w:tr>
        <w:trPr>
          <w:cantSplit/>
        </w:trPr>
        <w:tc>
          <w:tcPr>
            <w:tcW w:type="dxa" w:w="2304"/>
          </w:tcPr>
          <w:p>
            <w:pPr>
              <w:spacing w:after="40" w:before="40"/>
            </w:pPr>
            <w:r/>
            <w:r>
              <w:rPr>
                <w:rFonts w:ascii="Calibri" w:hAnsi="Calibri"/>
                <w:b/>
                <w:i w:val="0"/>
                <w:color w:val="1B3A4B"/>
                <w:sz w:val="18"/>
              </w:rPr>
              <w:t>Annex VIII (MDR)</w:t>
            </w:r>
          </w:p>
        </w:tc>
        <w:tc>
          <w:tcPr>
            <w:tcW w:type="dxa" w:w="7488"/>
          </w:tcPr>
          <w:p>
            <w:pPr>
              <w:spacing w:after="40" w:before="40"/>
            </w:pPr>
            <w:r/>
            <w:r>
              <w:rPr>
                <w:rFonts w:ascii="Calibri" w:hAnsi="Calibri"/>
                <w:b w:val="0"/>
                <w:i w:val="0"/>
                <w:color w:val="22333B"/>
                <w:sz w:val="18"/>
              </w:rPr>
              <w:t>The classification rules: 22 rules, applied to the intended purpose.</w:t>
            </w:r>
          </w:p>
        </w:tc>
      </w:tr>
      <w:tr>
        <w:trPr>
          <w:cantSplit/>
        </w:trPr>
        <w:tc>
          <w:tcPr>
            <w:tcW w:type="dxa" w:w="2304"/>
          </w:tcPr>
          <w:p>
            <w:pPr>
              <w:spacing w:after="40" w:before="40"/>
            </w:pPr>
            <w:r/>
            <w:r>
              <w:rPr>
                <w:rFonts w:ascii="Calibri" w:hAnsi="Calibri"/>
                <w:b/>
                <w:i w:val="0"/>
                <w:color w:val="1B3A4B"/>
                <w:sz w:val="18"/>
              </w:rPr>
              <w:t>Annex IX / X / XI (MDR)</w:t>
            </w:r>
          </w:p>
        </w:tc>
        <w:tc>
          <w:tcPr>
            <w:tcW w:type="dxa" w:w="7488"/>
          </w:tcPr>
          <w:p>
            <w:pPr>
              <w:spacing w:after="40" w:before="40"/>
            </w:pPr>
            <w:r/>
            <w:r>
              <w:rPr>
                <w:rFonts w:ascii="Calibri" w:hAnsi="Calibri"/>
                <w:b w:val="0"/>
                <w:i w:val="0"/>
                <w:color w:val="22333B"/>
                <w:sz w:val="18"/>
              </w:rPr>
              <w:t>The conformity assessment routes: QMS plus technical documentation assessment; type-examination; production conformity.</w:t>
            </w:r>
          </w:p>
        </w:tc>
      </w:tr>
      <w:tr>
        <w:trPr>
          <w:cantSplit/>
        </w:trPr>
        <w:tc>
          <w:tcPr>
            <w:tcW w:type="dxa" w:w="2304"/>
          </w:tcPr>
          <w:p>
            <w:pPr>
              <w:spacing w:after="40" w:before="40"/>
            </w:pPr>
            <w:r/>
            <w:r>
              <w:rPr>
                <w:rFonts w:ascii="Calibri" w:hAnsi="Calibri"/>
                <w:b/>
                <w:i w:val="0"/>
                <w:color w:val="1B3A4B"/>
                <w:sz w:val="18"/>
              </w:rPr>
              <w:t>Approved Body</w:t>
            </w:r>
          </w:p>
        </w:tc>
        <w:tc>
          <w:tcPr>
            <w:tcW w:type="dxa" w:w="7488"/>
          </w:tcPr>
          <w:p>
            <w:pPr>
              <w:spacing w:after="40" w:before="40"/>
            </w:pPr>
            <w:r/>
            <w:r>
              <w:rPr>
                <w:rFonts w:ascii="Calibri" w:hAnsi="Calibri"/>
                <w:b w:val="0"/>
                <w:i w:val="0"/>
                <w:color w:val="22333B"/>
                <w:sz w:val="18"/>
              </w:rPr>
              <w:t>A conformity assessment body designated by the MHRA to assess against the UK MDR 2002. The UK counterpart to a notified body.</w:t>
            </w:r>
          </w:p>
        </w:tc>
      </w:tr>
      <w:tr>
        <w:trPr>
          <w:cantSplit/>
        </w:trPr>
        <w:tc>
          <w:tcPr>
            <w:tcW w:type="dxa" w:w="2304"/>
          </w:tcPr>
          <w:p>
            <w:pPr>
              <w:spacing w:after="40" w:before="40"/>
            </w:pPr>
            <w:r/>
            <w:r>
              <w:rPr>
                <w:rFonts w:ascii="Calibri" w:hAnsi="Calibri"/>
                <w:b/>
                <w:i w:val="0"/>
                <w:color w:val="1B3A4B"/>
                <w:sz w:val="18"/>
              </w:rPr>
              <w:t>Authorised Representative</w:t>
            </w:r>
          </w:p>
        </w:tc>
        <w:tc>
          <w:tcPr>
            <w:tcW w:type="dxa" w:w="7488"/>
          </w:tcPr>
          <w:p>
            <w:pPr>
              <w:spacing w:after="40" w:before="40"/>
            </w:pPr>
            <w:r/>
            <w:r>
              <w:rPr>
                <w:rFonts w:ascii="Calibri" w:hAnsi="Calibri"/>
                <w:b w:val="0"/>
                <w:i w:val="0"/>
                <w:color w:val="22333B"/>
                <w:sz w:val="18"/>
              </w:rPr>
              <w:t>The EU role under MDR Article 11, required for manufacturers outside the EU. Jointly and severally liable for defective devices under Article 11(5).</w:t>
            </w:r>
          </w:p>
        </w:tc>
      </w:tr>
      <w:tr>
        <w:trPr>
          <w:cantSplit/>
        </w:trPr>
        <w:tc>
          <w:tcPr>
            <w:tcW w:type="dxa" w:w="2304"/>
          </w:tcPr>
          <w:p>
            <w:pPr>
              <w:spacing w:after="40" w:before="40"/>
            </w:pPr>
            <w:r/>
            <w:r>
              <w:rPr>
                <w:rFonts w:ascii="Calibri" w:hAnsi="Calibri"/>
                <w:b/>
                <w:i w:val="0"/>
                <w:color w:val="1B3A4B"/>
                <w:sz w:val="18"/>
              </w:rPr>
              <w:t>Basic UDI-DI</w:t>
            </w:r>
          </w:p>
        </w:tc>
        <w:tc>
          <w:tcPr>
            <w:tcW w:type="dxa" w:w="7488"/>
          </w:tcPr>
          <w:p>
            <w:pPr>
              <w:spacing w:after="40" w:before="40"/>
            </w:pPr>
            <w:r/>
            <w:r>
              <w:rPr>
                <w:rFonts w:ascii="Calibri" w:hAnsi="Calibri"/>
                <w:b w:val="0"/>
                <w:i w:val="0"/>
                <w:color w:val="22333B"/>
                <w:sz w:val="18"/>
              </w:rPr>
              <w:t>The identifier for a group of devices sharing intended purpose, class and design. Appears on the declaration of conformity and in EUDAMED — not on the label.</w:t>
            </w:r>
          </w:p>
        </w:tc>
      </w:tr>
      <w:tr>
        <w:trPr>
          <w:cantSplit/>
        </w:trPr>
        <w:tc>
          <w:tcPr>
            <w:tcW w:type="dxa" w:w="2304"/>
          </w:tcPr>
          <w:p>
            <w:pPr>
              <w:spacing w:after="40" w:before="40"/>
            </w:pPr>
            <w:r/>
            <w:r>
              <w:rPr>
                <w:rFonts w:ascii="Calibri" w:hAnsi="Calibri"/>
                <w:b/>
                <w:i w:val="0"/>
                <w:color w:val="1B3A4B"/>
                <w:sz w:val="18"/>
              </w:rPr>
              <w:t>CE marking</w:t>
            </w:r>
          </w:p>
        </w:tc>
        <w:tc>
          <w:tcPr>
            <w:tcW w:type="dxa" w:w="7488"/>
          </w:tcPr>
          <w:p>
            <w:pPr>
              <w:spacing w:after="40" w:before="40"/>
            </w:pPr>
            <w:r/>
            <w:r>
              <w:rPr>
                <w:rFonts w:ascii="Calibri" w:hAnsi="Calibri"/>
                <w:b w:val="0"/>
                <w:i w:val="0"/>
                <w:color w:val="22333B"/>
                <w:sz w:val="18"/>
              </w:rPr>
              <w:t>The mark indicating conformity with the applicable EU legislation.</w:t>
            </w:r>
          </w:p>
        </w:tc>
      </w:tr>
      <w:tr>
        <w:trPr>
          <w:cantSplit/>
        </w:trPr>
        <w:tc>
          <w:tcPr>
            <w:tcW w:type="dxa" w:w="2304"/>
          </w:tcPr>
          <w:p>
            <w:pPr>
              <w:spacing w:after="40" w:before="40"/>
            </w:pPr>
            <w:r/>
            <w:r>
              <w:rPr>
                <w:rFonts w:ascii="Calibri" w:hAnsi="Calibri"/>
                <w:b/>
                <w:i w:val="0"/>
                <w:color w:val="1B3A4B"/>
                <w:sz w:val="18"/>
              </w:rPr>
              <w:t>Clinical evaluation</w:t>
            </w:r>
          </w:p>
        </w:tc>
        <w:tc>
          <w:tcPr>
            <w:tcW w:type="dxa" w:w="7488"/>
          </w:tcPr>
          <w:p>
            <w:pPr>
              <w:spacing w:after="40" w:before="40"/>
            </w:pPr>
            <w:r/>
            <w:r>
              <w:rPr>
                <w:rFonts w:ascii="Calibri" w:hAnsi="Calibri"/>
                <w:b w:val="0"/>
                <w:i w:val="0"/>
                <w:color w:val="22333B"/>
                <w:sz w:val="18"/>
              </w:rPr>
              <w:t>The systematic assessment of clinical data required under MDR Article 61 and Annex XIV for every device.</w:t>
            </w:r>
          </w:p>
        </w:tc>
      </w:tr>
      <w:tr>
        <w:trPr>
          <w:cantSplit/>
        </w:trPr>
        <w:tc>
          <w:tcPr>
            <w:tcW w:type="dxa" w:w="2304"/>
          </w:tcPr>
          <w:p>
            <w:pPr>
              <w:spacing w:after="40" w:before="40"/>
            </w:pPr>
            <w:r/>
            <w:r>
              <w:rPr>
                <w:rFonts w:ascii="Calibri" w:hAnsi="Calibri"/>
                <w:b/>
                <w:i w:val="0"/>
                <w:color w:val="1B3A4B"/>
                <w:sz w:val="18"/>
              </w:rPr>
              <w:t>De Novo</w:t>
            </w:r>
          </w:p>
        </w:tc>
        <w:tc>
          <w:tcPr>
            <w:tcW w:type="dxa" w:w="7488"/>
          </w:tcPr>
          <w:p>
            <w:pPr>
              <w:spacing w:after="40" w:before="40"/>
            </w:pPr>
            <w:r/>
            <w:r>
              <w:rPr>
                <w:rFonts w:ascii="Calibri" w:hAnsi="Calibri"/>
                <w:b w:val="0"/>
                <w:i w:val="0"/>
                <w:color w:val="22333B"/>
                <w:sz w:val="18"/>
              </w:rPr>
              <w:t>The US route for a novel low-to-moderate risk device with no predicate, which creates a new classification.</w:t>
            </w:r>
          </w:p>
        </w:tc>
      </w:tr>
      <w:tr>
        <w:trPr>
          <w:cantSplit/>
        </w:trPr>
        <w:tc>
          <w:tcPr>
            <w:tcW w:type="dxa" w:w="2304"/>
          </w:tcPr>
          <w:p>
            <w:pPr>
              <w:spacing w:after="40" w:before="40"/>
            </w:pPr>
            <w:r/>
            <w:r>
              <w:rPr>
                <w:rFonts w:ascii="Calibri" w:hAnsi="Calibri"/>
                <w:b/>
                <w:i w:val="0"/>
                <w:color w:val="1B3A4B"/>
                <w:sz w:val="18"/>
              </w:rPr>
              <w:t>DMAH</w:t>
            </w:r>
          </w:p>
        </w:tc>
        <w:tc>
          <w:tcPr>
            <w:tcW w:type="dxa" w:w="7488"/>
          </w:tcPr>
          <w:p>
            <w:pPr>
              <w:spacing w:after="40" w:before="40"/>
            </w:pPr>
            <w:r/>
            <w:r>
              <w:rPr>
                <w:rFonts w:ascii="Calibri" w:hAnsi="Calibri"/>
                <w:b w:val="0"/>
                <w:i w:val="0"/>
                <w:color w:val="22333B"/>
                <w:sz w:val="18"/>
              </w:rPr>
              <w:t>Designated Marketing Authorization Holder — a Japanese entity holding the marketing authorisation on a foreign manufacturer's behalf.</w:t>
            </w:r>
          </w:p>
        </w:tc>
      </w:tr>
      <w:tr>
        <w:trPr>
          <w:cantSplit/>
        </w:trPr>
        <w:tc>
          <w:tcPr>
            <w:tcW w:type="dxa" w:w="2304"/>
          </w:tcPr>
          <w:p>
            <w:pPr>
              <w:spacing w:after="40" w:before="40"/>
            </w:pPr>
            <w:r/>
            <w:r>
              <w:rPr>
                <w:rFonts w:ascii="Calibri" w:hAnsi="Calibri"/>
                <w:b/>
                <w:i w:val="0"/>
                <w:color w:val="1B3A4B"/>
                <w:sz w:val="18"/>
              </w:rPr>
              <w:t>eSTAR</w:t>
            </w:r>
          </w:p>
        </w:tc>
        <w:tc>
          <w:tcPr>
            <w:tcW w:type="dxa" w:w="7488"/>
          </w:tcPr>
          <w:p>
            <w:pPr>
              <w:spacing w:after="40" w:before="40"/>
            </w:pPr>
            <w:r/>
            <w:r>
              <w:rPr>
                <w:rFonts w:ascii="Calibri" w:hAnsi="Calibri"/>
                <w:b w:val="0"/>
                <w:i w:val="0"/>
                <w:color w:val="22333B"/>
                <w:sz w:val="18"/>
              </w:rPr>
              <w:t>FDA's electronic submission template, mandatory for 510(k) submissions.</w:t>
            </w:r>
          </w:p>
        </w:tc>
      </w:tr>
      <w:tr>
        <w:trPr>
          <w:cantSplit/>
        </w:trPr>
        <w:tc>
          <w:tcPr>
            <w:tcW w:type="dxa" w:w="2304"/>
          </w:tcPr>
          <w:p>
            <w:pPr>
              <w:spacing w:after="40" w:before="40"/>
            </w:pPr>
            <w:r/>
            <w:r>
              <w:rPr>
                <w:rFonts w:ascii="Calibri" w:hAnsi="Calibri"/>
                <w:b/>
                <w:i w:val="0"/>
                <w:color w:val="1B3A4B"/>
                <w:sz w:val="18"/>
              </w:rPr>
              <w:t>EUDAMED</w:t>
            </w:r>
          </w:p>
        </w:tc>
        <w:tc>
          <w:tcPr>
            <w:tcW w:type="dxa" w:w="7488"/>
          </w:tcPr>
          <w:p>
            <w:pPr>
              <w:spacing w:after="40" w:before="40"/>
            </w:pPr>
            <w:r/>
            <w:r>
              <w:rPr>
                <w:rFonts w:ascii="Calibri" w:hAnsi="Calibri"/>
                <w:b w:val="0"/>
                <w:i w:val="0"/>
                <w:color w:val="22333B"/>
                <w:sz w:val="18"/>
              </w:rPr>
              <w:t>The European database for medical devices: actors, devices, certificates, clinical investigations, vigilance and market surveillance.</w:t>
            </w:r>
          </w:p>
        </w:tc>
      </w:tr>
      <w:tr>
        <w:trPr>
          <w:cantSplit/>
        </w:trPr>
        <w:tc>
          <w:tcPr>
            <w:tcW w:type="dxa" w:w="2304"/>
          </w:tcPr>
          <w:p>
            <w:pPr>
              <w:spacing w:after="40" w:before="40"/>
            </w:pPr>
            <w:r/>
            <w:r>
              <w:rPr>
                <w:rFonts w:ascii="Calibri" w:hAnsi="Calibri"/>
                <w:b/>
                <w:i w:val="0"/>
                <w:color w:val="1B3A4B"/>
                <w:sz w:val="18"/>
              </w:rPr>
              <w:t>GSPR</w:t>
            </w:r>
          </w:p>
        </w:tc>
        <w:tc>
          <w:tcPr>
            <w:tcW w:type="dxa" w:w="7488"/>
          </w:tcPr>
          <w:p>
            <w:pPr>
              <w:spacing w:after="40" w:before="40"/>
            </w:pPr>
            <w:r/>
            <w:r>
              <w:rPr>
                <w:rFonts w:ascii="Calibri" w:hAnsi="Calibri"/>
                <w:b w:val="0"/>
                <w:i w:val="0"/>
                <w:color w:val="22333B"/>
                <w:sz w:val="18"/>
              </w:rPr>
              <w:t>General Safety and Performance Requirements — MDR Annex I.</w:t>
            </w:r>
          </w:p>
        </w:tc>
      </w:tr>
      <w:tr>
        <w:trPr>
          <w:cantSplit/>
        </w:trPr>
        <w:tc>
          <w:tcPr>
            <w:tcW w:type="dxa" w:w="2304"/>
          </w:tcPr>
          <w:p>
            <w:pPr>
              <w:spacing w:after="40" w:before="40"/>
            </w:pPr>
            <w:r/>
            <w:r>
              <w:rPr>
                <w:rFonts w:ascii="Calibri" w:hAnsi="Calibri"/>
                <w:b/>
                <w:i w:val="0"/>
                <w:color w:val="1B3A4B"/>
                <w:sz w:val="18"/>
              </w:rPr>
              <w:t>JMDN</w:t>
            </w:r>
          </w:p>
        </w:tc>
        <w:tc>
          <w:tcPr>
            <w:tcW w:type="dxa" w:w="7488"/>
          </w:tcPr>
          <w:p>
            <w:pPr>
              <w:spacing w:after="40" w:before="40"/>
            </w:pPr>
            <w:r/>
            <w:r>
              <w:rPr>
                <w:rFonts w:ascii="Calibri" w:hAnsi="Calibri"/>
                <w:b w:val="0"/>
                <w:i w:val="0"/>
                <w:color w:val="22333B"/>
                <w:sz w:val="18"/>
              </w:rPr>
              <w:t>Japanese Medical Device Nomenclature. Your code determines your class and therefore your route.</w:t>
            </w:r>
          </w:p>
        </w:tc>
      </w:tr>
      <w:tr>
        <w:trPr>
          <w:cantSplit/>
        </w:trPr>
        <w:tc>
          <w:tcPr>
            <w:tcW w:type="dxa" w:w="2304"/>
          </w:tcPr>
          <w:p>
            <w:pPr>
              <w:spacing w:after="40" w:before="40"/>
            </w:pPr>
            <w:r/>
            <w:r>
              <w:rPr>
                <w:rFonts w:ascii="Calibri" w:hAnsi="Calibri"/>
                <w:b/>
                <w:i w:val="0"/>
                <w:color w:val="1B3A4B"/>
                <w:sz w:val="18"/>
              </w:rPr>
              <w:t>MAH</w:t>
            </w:r>
          </w:p>
        </w:tc>
        <w:tc>
          <w:tcPr>
            <w:tcW w:type="dxa" w:w="7488"/>
          </w:tcPr>
          <w:p>
            <w:pPr>
              <w:spacing w:after="40" w:before="40"/>
            </w:pPr>
            <w:r/>
            <w:r>
              <w:rPr>
                <w:rFonts w:ascii="Calibri" w:hAnsi="Calibri"/>
                <w:b w:val="0"/>
                <w:i w:val="0"/>
                <w:color w:val="22333B"/>
                <w:sz w:val="18"/>
              </w:rPr>
              <w:t>Marketing Authorization Holder — the Japanese entity that holds the authorisation and carries quality and safety responsibility.</w:t>
            </w:r>
          </w:p>
        </w:tc>
      </w:tr>
      <w:tr>
        <w:trPr>
          <w:cantSplit/>
        </w:trPr>
        <w:tc>
          <w:tcPr>
            <w:tcW w:type="dxa" w:w="2304"/>
          </w:tcPr>
          <w:p>
            <w:pPr>
              <w:spacing w:after="40" w:before="40"/>
            </w:pPr>
            <w:r/>
            <w:r>
              <w:rPr>
                <w:rFonts w:ascii="Calibri" w:hAnsi="Calibri"/>
                <w:b/>
                <w:i w:val="0"/>
                <w:color w:val="1B3A4B"/>
                <w:sz w:val="18"/>
              </w:rPr>
              <w:t>MDCG</w:t>
            </w:r>
          </w:p>
        </w:tc>
        <w:tc>
          <w:tcPr>
            <w:tcW w:type="dxa" w:w="7488"/>
          </w:tcPr>
          <w:p>
            <w:pPr>
              <w:spacing w:after="40" w:before="40"/>
            </w:pPr>
            <w:r/>
            <w:r>
              <w:rPr>
                <w:rFonts w:ascii="Calibri" w:hAnsi="Calibri"/>
                <w:b w:val="0"/>
                <w:i w:val="0"/>
                <w:color w:val="22333B"/>
                <w:sz w:val="18"/>
              </w:rPr>
              <w:t>Medical Device Coordination Group — publishes the guidance that interprets MDR in practice.</w:t>
            </w:r>
          </w:p>
        </w:tc>
      </w:tr>
      <w:tr>
        <w:trPr>
          <w:cantSplit/>
        </w:trPr>
        <w:tc>
          <w:tcPr>
            <w:tcW w:type="dxa" w:w="2304"/>
          </w:tcPr>
          <w:p>
            <w:pPr>
              <w:spacing w:after="40" w:before="40"/>
            </w:pPr>
            <w:r/>
            <w:r>
              <w:rPr>
                <w:rFonts w:ascii="Calibri" w:hAnsi="Calibri"/>
                <w:b/>
                <w:i w:val="0"/>
                <w:color w:val="1B3A4B"/>
                <w:sz w:val="18"/>
              </w:rPr>
              <w:t>MDD</w:t>
            </w:r>
          </w:p>
        </w:tc>
        <w:tc>
          <w:tcPr>
            <w:tcW w:type="dxa" w:w="7488"/>
          </w:tcPr>
          <w:p>
            <w:pPr>
              <w:spacing w:after="40" w:before="40"/>
            </w:pPr>
            <w:r/>
            <w:r>
              <w:rPr>
                <w:rFonts w:ascii="Calibri" w:hAnsi="Calibri"/>
                <w:b w:val="0"/>
                <w:i w:val="0"/>
                <w:color w:val="22333B"/>
                <w:sz w:val="18"/>
              </w:rPr>
              <w:t>The Medical Devices Directive, 93/42/EEC. Superseded in the EU by MDR; still the substantive basis of UK requirements.</w:t>
            </w:r>
          </w:p>
        </w:tc>
      </w:tr>
      <w:tr>
        <w:trPr>
          <w:cantSplit/>
        </w:trPr>
        <w:tc>
          <w:tcPr>
            <w:tcW w:type="dxa" w:w="2304"/>
          </w:tcPr>
          <w:p>
            <w:pPr>
              <w:spacing w:after="40" w:before="40"/>
            </w:pPr>
            <w:r/>
            <w:r>
              <w:rPr>
                <w:rFonts w:ascii="Calibri" w:hAnsi="Calibri"/>
                <w:b/>
                <w:i w:val="0"/>
                <w:color w:val="1B3A4B"/>
                <w:sz w:val="18"/>
              </w:rPr>
              <w:t>MDR</w:t>
            </w:r>
          </w:p>
        </w:tc>
        <w:tc>
          <w:tcPr>
            <w:tcW w:type="dxa" w:w="7488"/>
          </w:tcPr>
          <w:p>
            <w:pPr>
              <w:spacing w:after="40" w:before="40"/>
            </w:pPr>
            <w:r/>
            <w:r>
              <w:rPr>
                <w:rFonts w:ascii="Calibri" w:hAnsi="Calibri"/>
                <w:b w:val="0"/>
                <w:i w:val="0"/>
                <w:color w:val="22333B"/>
                <w:sz w:val="18"/>
              </w:rPr>
              <w:t>Regulation (EU) 2017/745 on medical devices.</w:t>
            </w:r>
          </w:p>
        </w:tc>
      </w:tr>
      <w:tr>
        <w:trPr>
          <w:cantSplit/>
        </w:trPr>
        <w:tc>
          <w:tcPr>
            <w:tcW w:type="dxa" w:w="2304"/>
          </w:tcPr>
          <w:p>
            <w:pPr>
              <w:spacing w:after="40" w:before="40"/>
            </w:pPr>
            <w:r/>
            <w:r>
              <w:rPr>
                <w:rFonts w:ascii="Calibri" w:hAnsi="Calibri"/>
                <w:b/>
                <w:i w:val="0"/>
                <w:color w:val="1B3A4B"/>
                <w:sz w:val="18"/>
              </w:rPr>
              <w:t>MDSAP</w:t>
            </w:r>
          </w:p>
        </w:tc>
        <w:tc>
          <w:tcPr>
            <w:tcW w:type="dxa" w:w="7488"/>
          </w:tcPr>
          <w:p>
            <w:pPr>
              <w:spacing w:after="40" w:before="40"/>
            </w:pPr>
            <w:r/>
            <w:r>
              <w:rPr>
                <w:rFonts w:ascii="Calibri" w:hAnsi="Calibri"/>
                <w:b w:val="0"/>
                <w:i w:val="0"/>
                <w:color w:val="22333B"/>
                <w:sz w:val="18"/>
              </w:rPr>
              <w:t>Medical Device Single Audit Program. One audit accepted by several regulators — but not by the EU.</w:t>
            </w:r>
          </w:p>
        </w:tc>
      </w:tr>
      <w:tr>
        <w:trPr>
          <w:cantSplit/>
        </w:trPr>
        <w:tc>
          <w:tcPr>
            <w:tcW w:type="dxa" w:w="2304"/>
          </w:tcPr>
          <w:p>
            <w:pPr>
              <w:spacing w:after="40" w:before="40"/>
            </w:pPr>
            <w:r/>
            <w:r>
              <w:rPr>
                <w:rFonts w:ascii="Calibri" w:hAnsi="Calibri"/>
                <w:b/>
                <w:i w:val="0"/>
                <w:color w:val="1B3A4B"/>
                <w:sz w:val="18"/>
              </w:rPr>
              <w:t>MHRA</w:t>
            </w:r>
          </w:p>
        </w:tc>
        <w:tc>
          <w:tcPr>
            <w:tcW w:type="dxa" w:w="7488"/>
          </w:tcPr>
          <w:p>
            <w:pPr>
              <w:spacing w:after="40" w:before="40"/>
            </w:pPr>
            <w:r/>
            <w:r>
              <w:rPr>
                <w:rFonts w:ascii="Calibri" w:hAnsi="Calibri"/>
                <w:b w:val="0"/>
                <w:i w:val="0"/>
                <w:color w:val="22333B"/>
                <w:sz w:val="18"/>
              </w:rPr>
              <w:t>The UK Medicines and Healthcare products Regulatory Agency.</w:t>
            </w:r>
          </w:p>
        </w:tc>
      </w:tr>
      <w:tr>
        <w:trPr>
          <w:cantSplit/>
        </w:trPr>
        <w:tc>
          <w:tcPr>
            <w:tcW w:type="dxa" w:w="2304"/>
          </w:tcPr>
          <w:p>
            <w:pPr>
              <w:spacing w:after="40" w:before="40"/>
            </w:pPr>
            <w:r/>
            <w:r>
              <w:rPr>
                <w:rFonts w:ascii="Calibri" w:hAnsi="Calibri"/>
                <w:b/>
                <w:i w:val="0"/>
                <w:color w:val="1B3A4B"/>
                <w:sz w:val="18"/>
              </w:rPr>
              <w:t>NANDO</w:t>
            </w:r>
          </w:p>
        </w:tc>
        <w:tc>
          <w:tcPr>
            <w:tcW w:type="dxa" w:w="7488"/>
          </w:tcPr>
          <w:p>
            <w:pPr>
              <w:spacing w:after="40" w:before="40"/>
            </w:pPr>
            <w:r/>
            <w:r>
              <w:rPr>
                <w:rFonts w:ascii="Calibri" w:hAnsi="Calibri"/>
                <w:b w:val="0"/>
                <w:i w:val="0"/>
                <w:color w:val="22333B"/>
                <w:sz w:val="18"/>
              </w:rPr>
              <w:t>The EU database of designated notified bodies and their scopes. Check it before contracting.</w:t>
            </w:r>
          </w:p>
        </w:tc>
      </w:tr>
      <w:tr>
        <w:trPr>
          <w:cantSplit/>
        </w:trPr>
        <w:tc>
          <w:tcPr>
            <w:tcW w:type="dxa" w:w="2304"/>
          </w:tcPr>
          <w:p>
            <w:pPr>
              <w:spacing w:after="40" w:before="40"/>
            </w:pPr>
            <w:r/>
            <w:r>
              <w:rPr>
                <w:rFonts w:ascii="Calibri" w:hAnsi="Calibri"/>
                <w:b/>
                <w:i w:val="0"/>
                <w:color w:val="1B3A4B"/>
                <w:sz w:val="18"/>
              </w:rPr>
              <w:t>Ninsho</w:t>
            </w:r>
          </w:p>
        </w:tc>
        <w:tc>
          <w:tcPr>
            <w:tcW w:type="dxa" w:w="7488"/>
          </w:tcPr>
          <w:p>
            <w:pPr>
              <w:spacing w:after="40" w:before="40"/>
            </w:pPr>
            <w:r/>
            <w:r>
              <w:rPr>
                <w:rFonts w:ascii="Calibri" w:hAnsi="Calibri"/>
                <w:b w:val="0"/>
                <w:i w:val="0"/>
                <w:color w:val="22333B"/>
                <w:sz w:val="18"/>
              </w:rPr>
              <w:t>Certification by a Japanese Registered Certification Body, for Class II and III devices where a certification standard exists.</w:t>
            </w:r>
          </w:p>
        </w:tc>
      </w:tr>
      <w:tr>
        <w:trPr>
          <w:cantSplit/>
        </w:trPr>
        <w:tc>
          <w:tcPr>
            <w:tcW w:type="dxa" w:w="2304"/>
          </w:tcPr>
          <w:p>
            <w:pPr>
              <w:spacing w:after="40" w:before="40"/>
            </w:pPr>
            <w:r/>
            <w:r>
              <w:rPr>
                <w:rFonts w:ascii="Calibri" w:hAnsi="Calibri"/>
                <w:b/>
                <w:i w:val="0"/>
                <w:color w:val="1B3A4B"/>
                <w:sz w:val="18"/>
              </w:rPr>
              <w:t>Notified Body</w:t>
            </w:r>
          </w:p>
        </w:tc>
        <w:tc>
          <w:tcPr>
            <w:tcW w:type="dxa" w:w="7488"/>
          </w:tcPr>
          <w:p>
            <w:pPr>
              <w:spacing w:after="40" w:before="40"/>
            </w:pPr>
            <w:r/>
            <w:r>
              <w:rPr>
                <w:rFonts w:ascii="Calibri" w:hAnsi="Calibri"/>
                <w:b w:val="0"/>
                <w:i w:val="0"/>
                <w:color w:val="22333B"/>
                <w:sz w:val="18"/>
              </w:rPr>
              <w:t>A private organisation designated by an EU member state to carry out conformity assessment under MDR.</w:t>
            </w:r>
          </w:p>
        </w:tc>
      </w:tr>
      <w:tr>
        <w:trPr>
          <w:cantSplit/>
        </w:trPr>
        <w:tc>
          <w:tcPr>
            <w:tcW w:type="dxa" w:w="2304"/>
          </w:tcPr>
          <w:p>
            <w:pPr>
              <w:spacing w:after="40" w:before="40"/>
            </w:pPr>
            <w:r/>
            <w:r>
              <w:rPr>
                <w:rFonts w:ascii="Calibri" w:hAnsi="Calibri"/>
                <w:b/>
                <w:i w:val="0"/>
                <w:color w:val="1B3A4B"/>
                <w:sz w:val="18"/>
              </w:rPr>
              <w:t>PMCF</w:t>
            </w:r>
          </w:p>
        </w:tc>
        <w:tc>
          <w:tcPr>
            <w:tcW w:type="dxa" w:w="7488"/>
          </w:tcPr>
          <w:p>
            <w:pPr>
              <w:spacing w:after="40" w:before="40"/>
            </w:pPr>
            <w:r/>
            <w:r>
              <w:rPr>
                <w:rFonts w:ascii="Calibri" w:hAnsi="Calibri"/>
                <w:b w:val="0"/>
                <w:i w:val="0"/>
                <w:color w:val="22333B"/>
                <w:sz w:val="18"/>
              </w:rPr>
              <w:t>Post-market clinical follow-up — the mechanism that keeps the clinical evaluation current.</w:t>
            </w:r>
          </w:p>
        </w:tc>
      </w:tr>
      <w:tr>
        <w:trPr>
          <w:cantSplit/>
        </w:trPr>
        <w:tc>
          <w:tcPr>
            <w:tcW w:type="dxa" w:w="2304"/>
          </w:tcPr>
          <w:p>
            <w:pPr>
              <w:spacing w:after="40" w:before="40"/>
            </w:pPr>
            <w:r/>
            <w:r>
              <w:rPr>
                <w:rFonts w:ascii="Calibri" w:hAnsi="Calibri"/>
                <w:b/>
                <w:i w:val="0"/>
                <w:color w:val="1B3A4B"/>
                <w:sz w:val="18"/>
              </w:rPr>
              <w:t>PMD Act</w:t>
            </w:r>
          </w:p>
        </w:tc>
        <w:tc>
          <w:tcPr>
            <w:tcW w:type="dxa" w:w="7488"/>
          </w:tcPr>
          <w:p>
            <w:pPr>
              <w:spacing w:after="40" w:before="40"/>
            </w:pPr>
            <w:r/>
            <w:r>
              <w:rPr>
                <w:rFonts w:ascii="Calibri" w:hAnsi="Calibri"/>
                <w:b w:val="0"/>
                <w:i w:val="0"/>
                <w:color w:val="22333B"/>
                <w:sz w:val="18"/>
              </w:rPr>
              <w:t>Japan's Pharmaceutical and Medical Device Act.</w:t>
            </w:r>
          </w:p>
        </w:tc>
      </w:tr>
      <w:tr>
        <w:trPr>
          <w:cantSplit/>
        </w:trPr>
        <w:tc>
          <w:tcPr>
            <w:tcW w:type="dxa" w:w="2304"/>
          </w:tcPr>
          <w:p>
            <w:pPr>
              <w:spacing w:after="40" w:before="40"/>
            </w:pPr>
            <w:r/>
            <w:r>
              <w:rPr>
                <w:rFonts w:ascii="Calibri" w:hAnsi="Calibri"/>
                <w:b/>
                <w:i w:val="0"/>
                <w:color w:val="1B3A4B"/>
                <w:sz w:val="18"/>
              </w:rPr>
              <w:t>PRRC</w:t>
            </w:r>
          </w:p>
        </w:tc>
        <w:tc>
          <w:tcPr>
            <w:tcW w:type="dxa" w:w="7488"/>
          </w:tcPr>
          <w:p>
            <w:pPr>
              <w:spacing w:after="40" w:before="40"/>
            </w:pPr>
            <w:r/>
            <w:r>
              <w:rPr>
                <w:rFonts w:ascii="Calibri" w:hAnsi="Calibri"/>
                <w:b w:val="0"/>
                <w:i w:val="0"/>
                <w:color w:val="22333B"/>
                <w:sz w:val="18"/>
              </w:rPr>
              <w:t>Person Responsible for Regulatory Compliance, under MDR Article 15.</w:t>
            </w:r>
          </w:p>
        </w:tc>
      </w:tr>
      <w:tr>
        <w:trPr>
          <w:cantSplit/>
        </w:trPr>
        <w:tc>
          <w:tcPr>
            <w:tcW w:type="dxa" w:w="2304"/>
          </w:tcPr>
          <w:p>
            <w:pPr>
              <w:spacing w:after="40" w:before="40"/>
            </w:pPr>
            <w:r/>
            <w:r>
              <w:rPr>
                <w:rFonts w:ascii="Calibri" w:hAnsi="Calibri"/>
                <w:b/>
                <w:i w:val="0"/>
                <w:color w:val="1B3A4B"/>
                <w:sz w:val="18"/>
              </w:rPr>
              <w:t>PSUR</w:t>
            </w:r>
          </w:p>
        </w:tc>
        <w:tc>
          <w:tcPr>
            <w:tcW w:type="dxa" w:w="7488"/>
          </w:tcPr>
          <w:p>
            <w:pPr>
              <w:spacing w:after="40" w:before="40"/>
            </w:pPr>
            <w:r/>
            <w:r>
              <w:rPr>
                <w:rFonts w:ascii="Calibri" w:hAnsi="Calibri"/>
                <w:b w:val="0"/>
                <w:i w:val="0"/>
                <w:color w:val="22333B"/>
                <w:sz w:val="18"/>
              </w:rPr>
              <w:t>Periodic Safety Update Report. Every two years for Class IIa; annually for IIb and III.</w:t>
            </w:r>
          </w:p>
        </w:tc>
      </w:tr>
      <w:tr>
        <w:trPr>
          <w:cantSplit/>
        </w:trPr>
        <w:tc>
          <w:tcPr>
            <w:tcW w:type="dxa" w:w="2304"/>
          </w:tcPr>
          <w:p>
            <w:pPr>
              <w:spacing w:after="40" w:before="40"/>
            </w:pPr>
            <w:r/>
            <w:r>
              <w:rPr>
                <w:rFonts w:ascii="Calibri" w:hAnsi="Calibri"/>
                <w:b/>
                <w:i w:val="0"/>
                <w:color w:val="1B3A4B"/>
                <w:sz w:val="18"/>
              </w:rPr>
              <w:t>QMSR</w:t>
            </w:r>
          </w:p>
        </w:tc>
        <w:tc>
          <w:tcPr>
            <w:tcW w:type="dxa" w:w="7488"/>
          </w:tcPr>
          <w:p>
            <w:pPr>
              <w:spacing w:after="40" w:before="40"/>
            </w:pPr>
            <w:r/>
            <w:r>
              <w:rPr>
                <w:rFonts w:ascii="Calibri" w:hAnsi="Calibri"/>
                <w:b w:val="0"/>
                <w:i w:val="0"/>
                <w:color w:val="22333B"/>
                <w:sz w:val="18"/>
              </w:rPr>
              <w:t>FDA's Quality Management System Regulation — 21 CFR 820 incorporating ISO 13485:2016, in force since 2 February 2026.</w:t>
            </w:r>
          </w:p>
        </w:tc>
      </w:tr>
      <w:tr>
        <w:trPr>
          <w:cantSplit/>
        </w:trPr>
        <w:tc>
          <w:tcPr>
            <w:tcW w:type="dxa" w:w="2304"/>
          </w:tcPr>
          <w:p>
            <w:pPr>
              <w:spacing w:after="40" w:before="40"/>
            </w:pPr>
            <w:r/>
            <w:r>
              <w:rPr>
                <w:rFonts w:ascii="Calibri" w:hAnsi="Calibri"/>
                <w:b/>
                <w:i w:val="0"/>
                <w:color w:val="1B3A4B"/>
                <w:sz w:val="18"/>
              </w:rPr>
              <w:t>RCB</w:t>
            </w:r>
          </w:p>
        </w:tc>
        <w:tc>
          <w:tcPr>
            <w:tcW w:type="dxa" w:w="7488"/>
          </w:tcPr>
          <w:p>
            <w:pPr>
              <w:spacing w:after="40" w:before="40"/>
            </w:pPr>
            <w:r/>
            <w:r>
              <w:rPr>
                <w:rFonts w:ascii="Calibri" w:hAnsi="Calibri"/>
                <w:b w:val="0"/>
                <w:i w:val="0"/>
                <w:color w:val="22333B"/>
                <w:sz w:val="18"/>
              </w:rPr>
              <w:t>Registered Certification Body — the Japanese third-party certifier for the Ninsho route.</w:t>
            </w:r>
          </w:p>
        </w:tc>
      </w:tr>
      <w:tr>
        <w:trPr>
          <w:cantSplit/>
        </w:trPr>
        <w:tc>
          <w:tcPr>
            <w:tcW w:type="dxa" w:w="2304"/>
          </w:tcPr>
          <w:p>
            <w:pPr>
              <w:spacing w:after="40" w:before="40"/>
            </w:pPr>
            <w:r/>
            <w:r>
              <w:rPr>
                <w:rFonts w:ascii="Calibri" w:hAnsi="Calibri"/>
                <w:b/>
                <w:i w:val="0"/>
                <w:color w:val="1B3A4B"/>
                <w:sz w:val="18"/>
              </w:rPr>
              <w:t>Rule 11</w:t>
            </w:r>
          </w:p>
        </w:tc>
        <w:tc>
          <w:tcPr>
            <w:tcW w:type="dxa" w:w="7488"/>
          </w:tcPr>
          <w:p>
            <w:pPr>
              <w:spacing w:after="40" w:before="40"/>
            </w:pPr>
            <w:r/>
            <w:r>
              <w:rPr>
                <w:rFonts w:ascii="Calibri" w:hAnsi="Calibri"/>
                <w:b w:val="0"/>
                <w:i w:val="0"/>
                <w:color w:val="22333B"/>
                <w:sz w:val="18"/>
              </w:rPr>
              <w:t>The MDR software classification rule. It turns on the consequence of the decision the software informs. Great Britain has no equivalent.</w:t>
            </w:r>
          </w:p>
        </w:tc>
      </w:tr>
      <w:tr>
        <w:trPr>
          <w:cantSplit/>
        </w:trPr>
        <w:tc>
          <w:tcPr>
            <w:tcW w:type="dxa" w:w="2304"/>
          </w:tcPr>
          <w:p>
            <w:pPr>
              <w:spacing w:after="40" w:before="40"/>
            </w:pPr>
            <w:r/>
            <w:r>
              <w:rPr>
                <w:rFonts w:ascii="Calibri" w:hAnsi="Calibri"/>
                <w:b/>
                <w:i w:val="0"/>
                <w:color w:val="1B3A4B"/>
                <w:sz w:val="18"/>
              </w:rPr>
              <w:t>Schedule 2A</w:t>
            </w:r>
          </w:p>
        </w:tc>
        <w:tc>
          <w:tcPr>
            <w:tcW w:type="dxa" w:w="7488"/>
          </w:tcPr>
          <w:p>
            <w:pPr>
              <w:spacing w:after="40" w:before="40"/>
            </w:pPr>
            <w:r/>
            <w:r>
              <w:rPr>
                <w:rFonts w:ascii="Calibri" w:hAnsi="Calibri"/>
                <w:b w:val="0"/>
                <w:i w:val="0"/>
                <w:color w:val="22333B"/>
                <w:sz w:val="18"/>
              </w:rPr>
              <w:t>The schedule inserted into the UK MDR 2002 setting out how the directive annexes are read in a UK context.</w:t>
            </w:r>
          </w:p>
        </w:tc>
      </w:tr>
      <w:tr>
        <w:trPr>
          <w:cantSplit/>
        </w:trPr>
        <w:tc>
          <w:tcPr>
            <w:tcW w:type="dxa" w:w="2304"/>
          </w:tcPr>
          <w:p>
            <w:pPr>
              <w:spacing w:after="40" w:before="40"/>
            </w:pPr>
            <w:r/>
            <w:r>
              <w:rPr>
                <w:rFonts w:ascii="Calibri" w:hAnsi="Calibri"/>
                <w:b/>
                <w:i w:val="0"/>
                <w:color w:val="1B3A4B"/>
                <w:sz w:val="18"/>
              </w:rPr>
              <w:t>Shonin</w:t>
            </w:r>
          </w:p>
        </w:tc>
        <w:tc>
          <w:tcPr>
            <w:tcW w:type="dxa" w:w="7488"/>
          </w:tcPr>
          <w:p>
            <w:pPr>
              <w:spacing w:after="40" w:before="40"/>
            </w:pPr>
            <w:r/>
            <w:r>
              <w:rPr>
                <w:rFonts w:ascii="Calibri" w:hAnsi="Calibri"/>
                <w:b w:val="0"/>
                <w:i w:val="0"/>
                <w:color w:val="22333B"/>
                <w:sz w:val="18"/>
              </w:rPr>
              <w:t>Approval by the MHLW on PMDA review — the Japanese route for Class IV, and for Class II and III where no certification standard exists.</w:t>
            </w:r>
          </w:p>
        </w:tc>
      </w:tr>
      <w:tr>
        <w:trPr>
          <w:cantSplit/>
        </w:trPr>
        <w:tc>
          <w:tcPr>
            <w:tcW w:type="dxa" w:w="2304"/>
          </w:tcPr>
          <w:p>
            <w:pPr>
              <w:spacing w:after="40" w:before="40"/>
            </w:pPr>
            <w:r/>
            <w:r>
              <w:rPr>
                <w:rFonts w:ascii="Calibri" w:hAnsi="Calibri"/>
                <w:b/>
                <w:i w:val="0"/>
                <w:color w:val="1B3A4B"/>
                <w:sz w:val="18"/>
              </w:rPr>
              <w:t>Substantial equivalence</w:t>
            </w:r>
          </w:p>
        </w:tc>
        <w:tc>
          <w:tcPr>
            <w:tcW w:type="dxa" w:w="7488"/>
          </w:tcPr>
          <w:p>
            <w:pPr>
              <w:spacing w:after="40" w:before="40"/>
            </w:pPr>
            <w:r/>
            <w:r>
              <w:rPr>
                <w:rFonts w:ascii="Calibri" w:hAnsi="Calibri"/>
                <w:b w:val="0"/>
                <w:i w:val="0"/>
                <w:color w:val="22333B"/>
                <w:sz w:val="18"/>
              </w:rPr>
              <w:t>The comparative standard a 510(k) must meet against its predicate.</w:t>
            </w:r>
          </w:p>
        </w:tc>
      </w:tr>
      <w:tr>
        <w:trPr>
          <w:cantSplit/>
        </w:trPr>
        <w:tc>
          <w:tcPr>
            <w:tcW w:type="dxa" w:w="2304"/>
          </w:tcPr>
          <w:p>
            <w:pPr>
              <w:spacing w:after="40" w:before="40"/>
            </w:pPr>
            <w:r/>
            <w:r>
              <w:rPr>
                <w:rFonts w:ascii="Calibri" w:hAnsi="Calibri"/>
                <w:b/>
                <w:i w:val="0"/>
                <w:color w:val="1B3A4B"/>
                <w:sz w:val="18"/>
              </w:rPr>
              <w:t>Todokede</w:t>
            </w:r>
          </w:p>
        </w:tc>
        <w:tc>
          <w:tcPr>
            <w:tcW w:type="dxa" w:w="7488"/>
          </w:tcPr>
          <w:p>
            <w:pPr>
              <w:spacing w:after="40" w:before="40"/>
            </w:pPr>
            <w:r/>
            <w:r>
              <w:rPr>
                <w:rFonts w:ascii="Calibri" w:hAnsi="Calibri"/>
                <w:b w:val="0"/>
                <w:i w:val="0"/>
                <w:color w:val="22333B"/>
                <w:sz w:val="18"/>
              </w:rPr>
              <w:t>Notification to the PMDA — the Japanese route for Class I devices.</w:t>
            </w:r>
          </w:p>
        </w:tc>
      </w:tr>
      <w:tr>
        <w:trPr>
          <w:cantSplit/>
        </w:trPr>
        <w:tc>
          <w:tcPr>
            <w:tcW w:type="dxa" w:w="2304"/>
          </w:tcPr>
          <w:p>
            <w:pPr>
              <w:spacing w:after="40" w:before="40"/>
            </w:pPr>
            <w:r/>
            <w:r>
              <w:rPr>
                <w:rFonts w:ascii="Calibri" w:hAnsi="Calibri"/>
                <w:b/>
                <w:i w:val="0"/>
                <w:color w:val="1B3A4B"/>
                <w:sz w:val="18"/>
              </w:rPr>
              <w:t>UDI</w:t>
            </w:r>
          </w:p>
        </w:tc>
        <w:tc>
          <w:tcPr>
            <w:tcW w:type="dxa" w:w="7488"/>
          </w:tcPr>
          <w:p>
            <w:pPr>
              <w:spacing w:after="40" w:before="40"/>
            </w:pPr>
            <w:r/>
            <w:r>
              <w:rPr>
                <w:rFonts w:ascii="Calibri" w:hAnsi="Calibri"/>
                <w:b w:val="0"/>
                <w:i w:val="0"/>
                <w:color w:val="22333B"/>
                <w:sz w:val="18"/>
              </w:rPr>
              <w:t>Unique Device Identification. UDI-DI plus UDI-PI form the carrier on the device and its packaging.</w:t>
            </w:r>
          </w:p>
        </w:tc>
      </w:tr>
      <w:tr>
        <w:trPr>
          <w:cantSplit/>
        </w:trPr>
        <w:tc>
          <w:tcPr>
            <w:tcW w:type="dxa" w:w="2304"/>
          </w:tcPr>
          <w:p>
            <w:pPr>
              <w:spacing w:after="40" w:before="40"/>
            </w:pPr>
            <w:r/>
            <w:r>
              <w:rPr>
                <w:rFonts w:ascii="Calibri" w:hAnsi="Calibri"/>
                <w:b/>
                <w:i w:val="0"/>
                <w:color w:val="1B3A4B"/>
                <w:sz w:val="18"/>
              </w:rPr>
              <w:t>UK MDR 2002</w:t>
            </w:r>
          </w:p>
        </w:tc>
        <w:tc>
          <w:tcPr>
            <w:tcW w:type="dxa" w:w="7488"/>
          </w:tcPr>
          <w:p>
            <w:pPr>
              <w:spacing w:after="40" w:before="40"/>
            </w:pPr>
            <w:r/>
            <w:r>
              <w:rPr>
                <w:rFonts w:ascii="Calibri" w:hAnsi="Calibri"/>
                <w:b w:val="0"/>
                <w:i w:val="0"/>
                <w:color w:val="22333B"/>
                <w:sz w:val="18"/>
              </w:rPr>
              <w:t>The Medical Devices Regulations 2002, as amended — the law governing Great Britain.</w:t>
            </w:r>
          </w:p>
        </w:tc>
      </w:tr>
      <w:tr>
        <w:trPr>
          <w:cantSplit/>
        </w:trPr>
        <w:tc>
          <w:tcPr>
            <w:tcW w:type="dxa" w:w="2304"/>
          </w:tcPr>
          <w:p>
            <w:pPr>
              <w:spacing w:after="40" w:before="40"/>
            </w:pPr>
            <w:r/>
            <w:r>
              <w:rPr>
                <w:rFonts w:ascii="Calibri" w:hAnsi="Calibri"/>
                <w:b/>
                <w:i w:val="0"/>
                <w:color w:val="1B3A4B"/>
                <w:sz w:val="18"/>
              </w:rPr>
              <w:t>UK Responsible Person</w:t>
            </w:r>
          </w:p>
        </w:tc>
        <w:tc>
          <w:tcPr>
            <w:tcW w:type="dxa" w:w="7488"/>
          </w:tcPr>
          <w:p>
            <w:pPr>
              <w:spacing w:after="40" w:before="40"/>
            </w:pPr>
            <w:r/>
            <w:r>
              <w:rPr>
                <w:rFonts w:ascii="Calibri" w:hAnsi="Calibri"/>
                <w:b w:val="0"/>
                <w:i w:val="0"/>
                <w:color w:val="22333B"/>
                <w:sz w:val="18"/>
              </w:rPr>
              <w:t>The UK role required for manufacturers established outside the United Kingdom. Separate from an EU Authorised Representative.</w:t>
            </w:r>
          </w:p>
        </w:tc>
      </w:tr>
      <w:tr>
        <w:trPr>
          <w:cantSplit/>
        </w:trPr>
        <w:tc>
          <w:tcPr>
            <w:tcW w:type="dxa" w:w="2304"/>
          </w:tcPr>
          <w:p>
            <w:pPr>
              <w:spacing w:after="40" w:before="40"/>
            </w:pPr>
            <w:r/>
            <w:r>
              <w:rPr>
                <w:rFonts w:ascii="Calibri" w:hAnsi="Calibri"/>
                <w:b/>
                <w:i w:val="0"/>
                <w:color w:val="1B3A4B"/>
                <w:sz w:val="18"/>
              </w:rPr>
              <w:t>UKCA</w:t>
            </w:r>
          </w:p>
        </w:tc>
        <w:tc>
          <w:tcPr>
            <w:tcW w:type="dxa" w:w="7488"/>
          </w:tcPr>
          <w:p>
            <w:pPr>
              <w:spacing w:after="40" w:before="40"/>
            </w:pPr>
            <w:r/>
            <w:r>
              <w:rPr>
                <w:rFonts w:ascii="Calibri" w:hAnsi="Calibri"/>
                <w:b w:val="0"/>
                <w:i w:val="0"/>
                <w:color w:val="22333B"/>
                <w:sz w:val="18"/>
              </w:rPr>
              <w:t>UK Conformity Assessed marking. Available, and currently not mandatory.</w:t>
            </w:r>
          </w:p>
        </w:tc>
      </w:tr>
      <w:tr>
        <w:trPr>
          <w:cantSplit/>
        </w:trPr>
        <w:tc>
          <w:tcPr>
            <w:tcW w:type="dxa" w:w="2304"/>
          </w:tcPr>
          <w:p>
            <w:pPr>
              <w:spacing w:after="40" w:before="40"/>
            </w:pPr>
            <w:r/>
            <w:r>
              <w:rPr>
                <w:rFonts w:ascii="Calibri" w:hAnsi="Calibri"/>
                <w:b/>
                <w:i w:val="0"/>
                <w:color w:val="1B3A4B"/>
                <w:sz w:val="18"/>
              </w:rPr>
              <w:t>Windsor Framework</w:t>
            </w:r>
          </w:p>
        </w:tc>
        <w:tc>
          <w:tcPr>
            <w:tcW w:type="dxa" w:w="7488"/>
          </w:tcPr>
          <w:p>
            <w:pPr>
              <w:spacing w:after="40" w:before="40"/>
            </w:pPr>
            <w:r/>
            <w:r>
              <w:rPr>
                <w:rFonts w:ascii="Calibri" w:hAnsi="Calibri"/>
                <w:b w:val="0"/>
                <w:i w:val="0"/>
                <w:color w:val="22333B"/>
                <w:sz w:val="18"/>
              </w:rPr>
              <w:t>The arrangement under which EU rules continue to apply to goods in Northern Ireland.</w:t>
            </w:r>
          </w:p>
        </w:tc>
      </w:tr>
    </w:tbl>
    <w:p>
      <w:pPr>
        <w:pageBreakBefore/>
        <w:spacing w:after="40" w:before="0"/>
      </w:pPr>
      <w:r>
        <w:rPr>
          <w:rFonts w:ascii="Calibri" w:hAnsi="Calibri"/>
          <w:b/>
          <w:color w:val="0E7C7B"/>
          <w:sz w:val="17"/>
          <w:spacing w:val="30"/>
        </w:rPr>
        <w:t>REFERENCE</w:t>
      </w:r>
    </w:p>
    <w:p>
      <w:pPr>
        <w:spacing w:after="80" w:before="0"/>
      </w:pPr>
      <w:r>
        <w:rPr>
          <w:rFonts w:ascii="Cambria" w:hAnsi="Cambria"/>
          <w:b/>
          <w:color w:val="1B3A4B"/>
          <w:sz w:val="36"/>
        </w:rPr>
        <w:t>Primary sources — and what each is for</w:t>
      </w:r>
    </w:p>
    <w:p>
      <w:pPr>
        <w:spacing w:before="120" w:after="120"/>
        <w:pBdr>
          <w:bottom w:val="single" w:sz="6" w:space="1" w:color="D7E2E5"/>
        </w:pBdr>
      </w:pPr>
    </w:p>
    <w:p>
      <w:pPr>
        <w:spacing w:after="100"/>
      </w:pPr>
      <w:r>
        <w:rPr>
          <w:rFonts w:ascii="Calibri" w:hAnsi="Calibri"/>
          <w:b w:val="0"/>
          <w:i/>
          <w:color w:val="C77C1E"/>
          <w:sz w:val="20"/>
        </w:rPr>
        <w:t>Primary sources only. Dates and statuses were checked against these when this workbook was prepared. Several are moving — confirm before relying on any of them.</w:t>
      </w:r>
    </w:p>
    <w:p>
      <w:pPr>
        <w:keepNext/>
        <w:spacing w:after="80" w:before="120"/>
      </w:pPr>
      <w:r>
        <w:rPr>
          <w:rFonts w:ascii="Cambria" w:hAnsi="Cambria"/>
          <w:b/>
          <w:color w:val="1B3A4B"/>
          <w:sz w:val="26"/>
        </w:rPr>
        <w:t>European Union</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320"/>
        <w:gridCol w:w="5472"/>
      </w:tblGrid>
      <w:tr>
        <w:trPr>
          <w:cantSplit/>
          <w:tblHeader/>
        </w:trPr>
        <w:tc>
          <w:tcPr>
            <w:tcW w:type="dxa" w:w="4320"/>
            <w:shd w:val="clear" w:color="auto" w:fill="1B3A4B"/>
          </w:tcPr>
          <w:p>
            <w:pPr>
              <w:spacing w:after="40" w:before="40"/>
            </w:pPr>
            <w:r/>
            <w:r>
              <w:rPr>
                <w:rFonts w:ascii="Calibri" w:hAnsi="Calibri"/>
                <w:b/>
                <w:i w:val="0"/>
                <w:color w:val="FFFFFF"/>
                <w:sz w:val="18"/>
              </w:rPr>
              <w:t>Source</w:t>
            </w:r>
          </w:p>
        </w:tc>
        <w:tc>
          <w:tcPr>
            <w:tcW w:type="dxa" w:w="5472"/>
            <w:shd w:val="clear" w:color="auto" w:fill="1B3A4B"/>
          </w:tcPr>
          <w:p>
            <w:pPr>
              <w:spacing w:after="40" w:before="40"/>
            </w:pPr>
            <w:r/>
            <w:r>
              <w:rPr>
                <w:rFonts w:ascii="Calibri" w:hAnsi="Calibri"/>
                <w:b/>
                <w:i w:val="0"/>
                <w:color w:val="FFFFFF"/>
                <w:sz w:val="18"/>
              </w:rPr>
              <w:t>Read it for</w:t>
            </w:r>
          </w:p>
        </w:tc>
      </w:tr>
      <w:tr>
        <w:trPr>
          <w:cantSplit/>
        </w:trPr>
        <w:tc>
          <w:tcPr>
            <w:tcW w:type="dxa" w:w="4320"/>
          </w:tcPr>
          <w:p>
            <w:pPr>
              <w:spacing w:after="40" w:before="40"/>
            </w:pPr>
            <w:r/>
            <w:r>
              <w:rPr>
                <w:rFonts w:ascii="Calibri" w:hAnsi="Calibri"/>
                <w:b/>
                <w:i w:val="0"/>
                <w:color w:val="22333B"/>
                <w:sz w:val="18"/>
              </w:rPr>
              <w:t>Regulation (EU) 2017/745 (MDR), consolidated text on EUR-Lex</w:t>
            </w:r>
          </w:p>
        </w:tc>
        <w:tc>
          <w:tcPr>
            <w:tcW w:type="dxa" w:w="5472"/>
          </w:tcPr>
          <w:p>
            <w:pPr>
              <w:spacing w:after="40" w:before="40"/>
            </w:pPr>
            <w:r/>
            <w:r>
              <w:rPr>
                <w:rFonts w:ascii="Calibri" w:hAnsi="Calibri"/>
                <w:b w:val="0"/>
                <w:i w:val="0"/>
                <w:color w:val="22333B"/>
                <w:sz w:val="18"/>
              </w:rPr>
              <w:t>The actual articles and annexes. More readable than people expect, and summaries lose the conditions.</w:t>
            </w:r>
          </w:p>
        </w:tc>
      </w:tr>
      <w:tr>
        <w:trPr>
          <w:cantSplit/>
        </w:trPr>
        <w:tc>
          <w:tcPr>
            <w:tcW w:type="dxa" w:w="4320"/>
          </w:tcPr>
          <w:p>
            <w:pPr>
              <w:spacing w:after="40" w:before="40"/>
            </w:pPr>
            <w:r/>
            <w:r>
              <w:rPr>
                <w:rFonts w:ascii="Calibri" w:hAnsi="Calibri"/>
                <w:b/>
                <w:i w:val="0"/>
                <w:color w:val="22333B"/>
                <w:sz w:val="18"/>
              </w:rPr>
              <w:t>Regulation (EU) 2023/607</w:t>
            </w:r>
          </w:p>
        </w:tc>
        <w:tc>
          <w:tcPr>
            <w:tcW w:type="dxa" w:w="5472"/>
          </w:tcPr>
          <w:p>
            <w:pPr>
              <w:spacing w:after="40" w:before="40"/>
            </w:pPr>
            <w:r/>
            <w:r>
              <w:rPr>
                <w:rFonts w:ascii="Calibri" w:hAnsi="Calibri"/>
                <w:b w:val="0"/>
                <w:i w:val="0"/>
                <w:color w:val="22333B"/>
                <w:sz w:val="18"/>
              </w:rPr>
              <w:t>The extended transition deadlines and — more importantly — the conditions attached to them.</w:t>
            </w:r>
          </w:p>
        </w:tc>
      </w:tr>
      <w:tr>
        <w:trPr>
          <w:cantSplit/>
        </w:trPr>
        <w:tc>
          <w:tcPr>
            <w:tcW w:type="dxa" w:w="4320"/>
          </w:tcPr>
          <w:p>
            <w:pPr>
              <w:spacing w:after="40" w:before="40"/>
            </w:pPr>
            <w:r/>
            <w:r>
              <w:rPr>
                <w:rFonts w:ascii="Calibri" w:hAnsi="Calibri"/>
                <w:b/>
                <w:i w:val="0"/>
                <w:color w:val="22333B"/>
                <w:sz w:val="18"/>
              </w:rPr>
              <w:t>COM(2025) 1023 final, procedure 2025/0404(COD)</w:t>
            </w:r>
          </w:p>
        </w:tc>
        <w:tc>
          <w:tcPr>
            <w:tcW w:type="dxa" w:w="5472"/>
          </w:tcPr>
          <w:p>
            <w:pPr>
              <w:spacing w:after="40" w:before="40"/>
            </w:pPr>
            <w:r/>
            <w:r>
              <w:rPr>
                <w:rFonts w:ascii="Calibri" w:hAnsi="Calibri"/>
                <w:b w:val="0"/>
                <w:i w:val="0"/>
                <w:color w:val="22333B"/>
                <w:sz w:val="18"/>
              </w:rPr>
              <w:t>The simplification proposal. Check its current stage before citing it — it is not law.</w:t>
            </w:r>
          </w:p>
        </w:tc>
      </w:tr>
      <w:tr>
        <w:trPr>
          <w:cantSplit/>
        </w:trPr>
        <w:tc>
          <w:tcPr>
            <w:tcW w:type="dxa" w:w="4320"/>
          </w:tcPr>
          <w:p>
            <w:pPr>
              <w:spacing w:after="40" w:before="40"/>
            </w:pPr>
            <w:r/>
            <w:r>
              <w:rPr>
                <w:rFonts w:ascii="Calibri" w:hAnsi="Calibri"/>
                <w:b/>
                <w:i w:val="0"/>
                <w:color w:val="22333B"/>
                <w:sz w:val="18"/>
              </w:rPr>
              <w:t>MDCG guidance, especially 2020-5 and 2020-6</w:t>
            </w:r>
          </w:p>
        </w:tc>
        <w:tc>
          <w:tcPr>
            <w:tcW w:type="dxa" w:w="5472"/>
          </w:tcPr>
          <w:p>
            <w:pPr>
              <w:spacing w:after="40" w:before="40"/>
            </w:pPr>
            <w:r/>
            <w:r>
              <w:rPr>
                <w:rFonts w:ascii="Calibri" w:hAnsi="Calibri"/>
                <w:b w:val="0"/>
                <w:i w:val="0"/>
                <w:color w:val="22333B"/>
                <w:sz w:val="18"/>
              </w:rPr>
              <w:t>How equivalence is assessed, and what legacy clinical data can support.</w:t>
            </w:r>
          </w:p>
        </w:tc>
      </w:tr>
      <w:tr>
        <w:trPr>
          <w:cantSplit/>
        </w:trPr>
        <w:tc>
          <w:tcPr>
            <w:tcW w:type="dxa" w:w="4320"/>
          </w:tcPr>
          <w:p>
            <w:pPr>
              <w:spacing w:after="40" w:before="40"/>
            </w:pPr>
            <w:r/>
            <w:r>
              <w:rPr>
                <w:rFonts w:ascii="Calibri" w:hAnsi="Calibri"/>
                <w:b/>
                <w:i w:val="0"/>
                <w:color w:val="22333B"/>
                <w:sz w:val="18"/>
              </w:rPr>
              <w:t>The Commission's EUDAMED pages</w:t>
            </w:r>
          </w:p>
        </w:tc>
        <w:tc>
          <w:tcPr>
            <w:tcW w:type="dxa" w:w="5472"/>
          </w:tcPr>
          <w:p>
            <w:pPr>
              <w:spacing w:after="40" w:before="40"/>
            </w:pPr>
            <w:r/>
            <w:r>
              <w:rPr>
                <w:rFonts w:ascii="Calibri" w:hAnsi="Calibri"/>
                <w:b w:val="0"/>
                <w:i w:val="0"/>
                <w:color w:val="22333B"/>
                <w:sz w:val="18"/>
              </w:rPr>
              <w:t>Which modules are mandatory today. This has changed more than once.</w:t>
            </w:r>
          </w:p>
        </w:tc>
      </w:tr>
      <w:tr>
        <w:trPr>
          <w:cantSplit/>
        </w:trPr>
        <w:tc>
          <w:tcPr>
            <w:tcW w:type="dxa" w:w="4320"/>
          </w:tcPr>
          <w:p>
            <w:pPr>
              <w:spacing w:after="40" w:before="40"/>
            </w:pPr>
            <w:r/>
            <w:r>
              <w:rPr>
                <w:rFonts w:ascii="Calibri" w:hAnsi="Calibri"/>
                <w:b/>
                <w:i w:val="0"/>
                <w:color w:val="22333B"/>
                <w:sz w:val="18"/>
              </w:rPr>
              <w:t>NANDO</w:t>
            </w:r>
          </w:p>
        </w:tc>
        <w:tc>
          <w:tcPr>
            <w:tcW w:type="dxa" w:w="5472"/>
          </w:tcPr>
          <w:p>
            <w:pPr>
              <w:spacing w:after="40" w:before="40"/>
            </w:pPr>
            <w:r/>
            <w:r>
              <w:rPr>
                <w:rFonts w:ascii="Calibri" w:hAnsi="Calibri"/>
                <w:b w:val="0"/>
                <w:i w:val="0"/>
                <w:color w:val="22333B"/>
                <w:sz w:val="18"/>
              </w:rPr>
              <w:t>Notified body designations and scopes. Check a body covers your device code before contracting.</w:t>
            </w:r>
          </w:p>
        </w:tc>
      </w:tr>
    </w:tbl>
    <w:p>
      <w:pPr>
        <w:keepNext/>
        <w:spacing w:after="80" w:before="180"/>
      </w:pPr>
      <w:r>
        <w:rPr>
          <w:rFonts w:ascii="Cambria" w:hAnsi="Cambria"/>
          <w:b/>
          <w:color w:val="1B3A4B"/>
          <w:sz w:val="26"/>
        </w:rPr>
        <w:t>United Kingdom</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320"/>
        <w:gridCol w:w="5472"/>
      </w:tblGrid>
      <w:tr>
        <w:trPr>
          <w:cantSplit/>
        </w:trPr>
        <w:tc>
          <w:tcPr>
            <w:tcW w:type="dxa" w:w="4320"/>
            <w:shd w:val="clear" w:color="auto" w:fill="1B3A4B"/>
          </w:tcPr>
          <w:p>
            <w:pPr>
              <w:spacing w:after="40" w:before="40"/>
            </w:pPr>
            <w:r/>
            <w:r>
              <w:rPr>
                <w:rFonts w:ascii="Calibri" w:hAnsi="Calibri"/>
                <w:b/>
                <w:i w:val="0"/>
                <w:color w:val="FFFFFF"/>
                <w:sz w:val="18"/>
              </w:rPr>
              <w:t>Source</w:t>
            </w:r>
          </w:p>
        </w:tc>
        <w:tc>
          <w:tcPr>
            <w:tcW w:type="dxa" w:w="5472"/>
            <w:shd w:val="clear" w:color="auto" w:fill="1B3A4B"/>
          </w:tcPr>
          <w:p>
            <w:pPr>
              <w:spacing w:after="40" w:before="40"/>
            </w:pPr>
            <w:r/>
            <w:r>
              <w:rPr>
                <w:rFonts w:ascii="Calibri" w:hAnsi="Calibri"/>
                <w:b/>
                <w:i w:val="0"/>
                <w:color w:val="FFFFFF"/>
                <w:sz w:val="18"/>
              </w:rPr>
              <w:t>Read it for</w:t>
            </w:r>
          </w:p>
        </w:tc>
      </w:tr>
      <w:tr>
        <w:trPr>
          <w:cantSplit/>
        </w:trPr>
        <w:tc>
          <w:tcPr>
            <w:tcW w:type="dxa" w:w="4320"/>
          </w:tcPr>
          <w:p>
            <w:pPr>
              <w:spacing w:after="40" w:before="40"/>
            </w:pPr>
            <w:r/>
            <w:r>
              <w:rPr>
                <w:rFonts w:ascii="Calibri" w:hAnsi="Calibri"/>
                <w:b/>
                <w:i w:val="0"/>
                <w:color w:val="22333B"/>
                <w:sz w:val="18"/>
              </w:rPr>
              <w:t>gov.uk — Regulating medical devices in the UK</w:t>
            </w:r>
          </w:p>
        </w:tc>
        <w:tc>
          <w:tcPr>
            <w:tcW w:type="dxa" w:w="5472"/>
          </w:tcPr>
          <w:p>
            <w:pPr>
              <w:spacing w:after="40" w:before="40"/>
            </w:pPr>
            <w:r/>
            <w:r>
              <w:rPr>
                <w:rFonts w:ascii="Calibri" w:hAnsi="Calibri"/>
                <w:b w:val="0"/>
                <w:i w:val="0"/>
                <w:color w:val="22333B"/>
                <w:sz w:val="18"/>
              </w:rPr>
              <w:t>The authoritative statement of CE acceptance dates, registration and the UK Responsible Person.</w:t>
            </w:r>
          </w:p>
        </w:tc>
      </w:tr>
      <w:tr>
        <w:trPr>
          <w:cantSplit/>
        </w:trPr>
        <w:tc>
          <w:tcPr>
            <w:tcW w:type="dxa" w:w="4320"/>
          </w:tcPr>
          <w:p>
            <w:pPr>
              <w:spacing w:after="40" w:before="40"/>
            </w:pPr>
            <w:r/>
            <w:r>
              <w:rPr>
                <w:rFonts w:ascii="Calibri" w:hAnsi="Calibri"/>
                <w:b/>
                <w:i w:val="0"/>
                <w:color w:val="22333B"/>
                <w:sz w:val="18"/>
              </w:rPr>
              <w:t>The Medical Devices Regulations 2002 on legislation.gov.uk</w:t>
            </w:r>
          </w:p>
        </w:tc>
        <w:tc>
          <w:tcPr>
            <w:tcW w:type="dxa" w:w="5472"/>
          </w:tcPr>
          <w:p>
            <w:pPr>
              <w:spacing w:after="40" w:before="40"/>
            </w:pPr>
            <w:r/>
            <w:r>
              <w:rPr>
                <w:rFonts w:ascii="Calibri" w:hAnsi="Calibri"/>
                <w:b w:val="0"/>
                <w:i w:val="0"/>
                <w:color w:val="22333B"/>
                <w:sz w:val="18"/>
              </w:rPr>
              <w:t>The law itself, including Schedule 2A and how the directive annexes are read.</w:t>
            </w:r>
          </w:p>
        </w:tc>
      </w:tr>
      <w:tr>
        <w:trPr>
          <w:cantSplit/>
        </w:trPr>
        <w:tc>
          <w:tcPr>
            <w:tcW w:type="dxa" w:w="4320"/>
          </w:tcPr>
          <w:p>
            <w:pPr>
              <w:spacing w:after="40" w:before="40"/>
            </w:pPr>
            <w:r/>
            <w:r>
              <w:rPr>
                <w:rFonts w:ascii="Calibri" w:hAnsi="Calibri"/>
                <w:b/>
                <w:i w:val="0"/>
                <w:color w:val="22333B"/>
                <w:sz w:val="18"/>
              </w:rPr>
              <w:t>The Medical Devices (Post-market Surveillance Requirements) Regulations 2024</w:t>
            </w:r>
          </w:p>
        </w:tc>
        <w:tc>
          <w:tcPr>
            <w:tcW w:type="dxa" w:w="5472"/>
          </w:tcPr>
          <w:p>
            <w:pPr>
              <w:spacing w:after="40" w:before="40"/>
            </w:pPr>
            <w:r/>
            <w:r>
              <w:rPr>
                <w:rFonts w:ascii="Calibri" w:hAnsi="Calibri"/>
                <w:b w:val="0"/>
                <w:i w:val="0"/>
                <w:color w:val="22333B"/>
                <w:sz w:val="18"/>
              </w:rPr>
              <w:t>What the PMS obligations in force since 16 June 2025 actually require.</w:t>
            </w:r>
          </w:p>
        </w:tc>
      </w:tr>
      <w:tr>
        <w:trPr>
          <w:cantSplit/>
        </w:trPr>
        <w:tc>
          <w:tcPr>
            <w:tcW w:type="dxa" w:w="4320"/>
          </w:tcPr>
          <w:p>
            <w:pPr>
              <w:spacing w:after="40" w:before="40"/>
            </w:pPr>
            <w:r/>
            <w:r>
              <w:rPr>
                <w:rFonts w:ascii="Calibri" w:hAnsi="Calibri"/>
                <w:b/>
                <w:i w:val="0"/>
                <w:color w:val="22333B"/>
                <w:sz w:val="18"/>
              </w:rPr>
              <w:t>The MHRA's list of UK Approved Bodies</w:t>
            </w:r>
          </w:p>
        </w:tc>
        <w:tc>
          <w:tcPr>
            <w:tcW w:type="dxa" w:w="5472"/>
          </w:tcPr>
          <w:p>
            <w:pPr>
              <w:spacing w:after="40" w:before="40"/>
            </w:pPr>
            <w:r/>
            <w:r>
              <w:rPr>
                <w:rFonts w:ascii="Calibri" w:hAnsi="Calibri"/>
                <w:b w:val="0"/>
                <w:i w:val="0"/>
                <w:color w:val="22333B"/>
                <w:sz w:val="18"/>
              </w:rPr>
              <w:t>Who is designated, and for what scope.</w:t>
            </w:r>
          </w:p>
        </w:tc>
      </w:tr>
    </w:tbl>
    <w:p>
      <w:pPr>
        <w:keepNext/>
        <w:spacing w:after="80" w:before="180"/>
      </w:pPr>
      <w:r>
        <w:rPr>
          <w:rFonts w:ascii="Cambria" w:hAnsi="Cambria"/>
          <w:b/>
          <w:color w:val="1B3A4B"/>
          <w:sz w:val="26"/>
        </w:rPr>
        <w:t>United States and Japan</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4320"/>
        <w:gridCol w:w="5472"/>
      </w:tblGrid>
      <w:tr>
        <w:trPr>
          <w:cantSplit/>
        </w:trPr>
        <w:tc>
          <w:tcPr>
            <w:tcW w:type="dxa" w:w="4320"/>
            <w:shd w:val="clear" w:color="auto" w:fill="1B3A4B"/>
          </w:tcPr>
          <w:p>
            <w:pPr>
              <w:spacing w:after="40" w:before="40"/>
            </w:pPr>
            <w:r/>
            <w:r>
              <w:rPr>
                <w:rFonts w:ascii="Calibri" w:hAnsi="Calibri"/>
                <w:b/>
                <w:i w:val="0"/>
                <w:color w:val="FFFFFF"/>
                <w:sz w:val="18"/>
              </w:rPr>
              <w:t>Source</w:t>
            </w:r>
          </w:p>
        </w:tc>
        <w:tc>
          <w:tcPr>
            <w:tcW w:type="dxa" w:w="5472"/>
            <w:shd w:val="clear" w:color="auto" w:fill="1B3A4B"/>
          </w:tcPr>
          <w:p>
            <w:pPr>
              <w:spacing w:after="40" w:before="40"/>
            </w:pPr>
            <w:r/>
            <w:r>
              <w:rPr>
                <w:rFonts w:ascii="Calibri" w:hAnsi="Calibri"/>
                <w:b/>
                <w:i w:val="0"/>
                <w:color w:val="FFFFFF"/>
                <w:sz w:val="18"/>
              </w:rPr>
              <w:t>Read it for</w:t>
            </w:r>
          </w:p>
        </w:tc>
      </w:tr>
      <w:tr>
        <w:trPr>
          <w:cantSplit/>
        </w:trPr>
        <w:tc>
          <w:tcPr>
            <w:tcW w:type="dxa" w:w="4320"/>
          </w:tcPr>
          <w:p>
            <w:pPr>
              <w:spacing w:after="40" w:before="40"/>
            </w:pPr>
            <w:r/>
            <w:r>
              <w:rPr>
                <w:rFonts w:ascii="Calibri" w:hAnsi="Calibri"/>
                <w:b/>
                <w:i w:val="0"/>
                <w:color w:val="22333B"/>
                <w:sz w:val="18"/>
              </w:rPr>
              <w:t>FDA classification database and the product code</w:t>
            </w:r>
          </w:p>
        </w:tc>
        <w:tc>
          <w:tcPr>
            <w:tcW w:type="dxa" w:w="5472"/>
          </w:tcPr>
          <w:p>
            <w:pPr>
              <w:spacing w:after="40" w:before="40"/>
            </w:pPr>
            <w:r/>
            <w:r>
              <w:rPr>
                <w:rFonts w:ascii="Calibri" w:hAnsi="Calibri"/>
                <w:b w:val="0"/>
                <w:i w:val="0"/>
                <w:color w:val="22333B"/>
                <w:sz w:val="18"/>
              </w:rPr>
              <w:t>Your class, the applicable regulation, and the special controls — which are binding, not advisory.</w:t>
            </w:r>
          </w:p>
        </w:tc>
      </w:tr>
      <w:tr>
        <w:trPr>
          <w:cantSplit/>
        </w:trPr>
        <w:tc>
          <w:tcPr>
            <w:tcW w:type="dxa" w:w="4320"/>
          </w:tcPr>
          <w:p>
            <w:pPr>
              <w:spacing w:after="40" w:before="40"/>
            </w:pPr>
            <w:r/>
            <w:r>
              <w:rPr>
                <w:rFonts w:ascii="Calibri" w:hAnsi="Calibri"/>
                <w:b/>
                <w:i w:val="0"/>
                <w:color w:val="22333B"/>
                <w:sz w:val="18"/>
              </w:rPr>
              <w:t>FDA guidance on the 510(k) programme, De Novo and the QMSR</w:t>
            </w:r>
          </w:p>
        </w:tc>
        <w:tc>
          <w:tcPr>
            <w:tcW w:type="dxa" w:w="5472"/>
          </w:tcPr>
          <w:p>
            <w:pPr>
              <w:spacing w:after="40" w:before="40"/>
            </w:pPr>
            <w:r/>
            <w:r>
              <w:rPr>
                <w:rFonts w:ascii="Calibri" w:hAnsi="Calibri"/>
                <w:b w:val="0"/>
                <w:i w:val="0"/>
                <w:color w:val="22333B"/>
                <w:sz w:val="18"/>
              </w:rPr>
              <w:t>The route, the evidence expectations, and the quality system requirement in force since February 2026.</w:t>
            </w:r>
          </w:p>
        </w:tc>
      </w:tr>
      <w:tr>
        <w:trPr>
          <w:cantSplit/>
        </w:trPr>
        <w:tc>
          <w:tcPr>
            <w:tcW w:type="dxa" w:w="4320"/>
          </w:tcPr>
          <w:p>
            <w:pPr>
              <w:spacing w:after="40" w:before="40"/>
            </w:pPr>
            <w:r/>
            <w:r>
              <w:rPr>
                <w:rFonts w:ascii="Calibri" w:hAnsi="Calibri"/>
                <w:b/>
                <w:i w:val="0"/>
                <w:color w:val="22333B"/>
                <w:sz w:val="18"/>
              </w:rPr>
              <w:t>PMDA — Regulations and Approval/Certification of Medical Devices</w:t>
            </w:r>
          </w:p>
        </w:tc>
        <w:tc>
          <w:tcPr>
            <w:tcW w:type="dxa" w:w="5472"/>
          </w:tcPr>
          <w:p>
            <w:pPr>
              <w:spacing w:after="40" w:before="40"/>
            </w:pPr>
            <w:r/>
            <w:r>
              <w:rPr>
                <w:rFonts w:ascii="Calibri" w:hAnsi="Calibri"/>
                <w:b w:val="0"/>
                <w:i w:val="0"/>
                <w:color w:val="22333B"/>
                <w:sz w:val="18"/>
              </w:rPr>
              <w:t>The class-to-route map, in the regulator's own words. Japan explains its system better than any third party.</w:t>
            </w:r>
          </w:p>
        </w:tc>
      </w:tr>
      <w:tr>
        <w:trPr>
          <w:cantSplit/>
        </w:trPr>
        <w:tc>
          <w:tcPr>
            <w:tcW w:type="dxa" w:w="4320"/>
          </w:tcPr>
          <w:p>
            <w:pPr>
              <w:spacing w:after="40" w:before="40"/>
            </w:pPr>
            <w:r/>
            <w:r>
              <w:rPr>
                <w:rFonts w:ascii="Calibri" w:hAnsi="Calibri"/>
                <w:b/>
                <w:i w:val="0"/>
                <w:color w:val="22333B"/>
                <w:sz w:val="18"/>
              </w:rPr>
              <w:t>MDSAP programme documents</w:t>
            </w:r>
          </w:p>
        </w:tc>
        <w:tc>
          <w:tcPr>
            <w:tcW w:type="dxa" w:w="5472"/>
          </w:tcPr>
          <w:p>
            <w:pPr>
              <w:spacing w:after="40" w:before="40"/>
            </w:pPr>
            <w:r/>
            <w:r>
              <w:rPr>
                <w:rFonts w:ascii="Calibri" w:hAnsi="Calibri"/>
                <w:b w:val="0"/>
                <w:i w:val="0"/>
                <w:color w:val="22333B"/>
                <w:sz w:val="18"/>
              </w:rPr>
              <w:t>Which regulators accept what, and precisely what it does and does not replace.</w:t>
            </w:r>
          </w:p>
        </w:tc>
      </w:tr>
    </w:tbl>
    <w:p>
      <w:pPr>
        <w:pageBreakBefore/>
        <w:spacing w:after="40" w:before="0"/>
      </w:pPr>
      <w:r>
        <w:rPr>
          <w:rFonts w:ascii="Calibri" w:hAnsi="Calibri"/>
          <w:b/>
          <w:color w:val="A83A3C"/>
          <w:sz w:val="17"/>
          <w:spacing w:val="30"/>
        </w:rPr>
        <w:t>THE PAGE THAT MATTERS</w:t>
      </w:r>
    </w:p>
    <w:p>
      <w:pPr>
        <w:spacing w:after="80" w:before="0"/>
      </w:pPr>
      <w:r>
        <w:rPr>
          <w:rFonts w:ascii="Cambria" w:hAnsi="Cambria"/>
          <w:b/>
          <w:color w:val="1B3A4B"/>
          <w:sz w:val="36"/>
        </w:rPr>
        <w:t>Your action plan</w:t>
      </w:r>
    </w:p>
    <w:p>
      <w:pPr>
        <w:spacing w:before="120" w:after="120"/>
        <w:pBdr>
          <w:bottom w:val="single" w:sz="6" w:space="1" w:color="D7E2E5"/>
        </w:pBdr>
      </w:pPr>
    </w:p>
    <w:p>
      <w:pPr>
        <w:spacing w:after="100"/>
      </w:pPr>
      <w:r>
        <w:rPr>
          <w:rFonts w:ascii="Calibri" w:hAnsi="Calibri"/>
          <w:b w:val="0"/>
          <w:i/>
          <w:color w:val="1B3A4B"/>
          <w:sz w:val="20"/>
        </w:rPr>
        <w:t>Fill in at least three rows before you leave the room. A commitment made here is the only part of a seminar that reliably survives the journey back to the office.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5616"/>
        <w:gridCol w:w="2304"/>
        <w:gridCol w:w="1872"/>
      </w:tblGrid>
      <w:tr>
        <w:trPr>
          <w:cantSplit/>
          <w:tblHeader/>
        </w:trPr>
        <w:tc>
          <w:tcPr>
            <w:tcW w:type="dxa" w:w="5616"/>
            <w:shd w:val="clear" w:color="auto" w:fill="1B3A4B"/>
          </w:tcPr>
          <w:p>
            <w:pPr>
              <w:spacing w:after="40" w:before="40"/>
            </w:pPr>
            <w:r/>
            <w:r>
              <w:rPr>
                <w:rFonts w:ascii="Calibri" w:hAnsi="Calibri"/>
                <w:b/>
                <w:i w:val="0"/>
                <w:color w:val="FFFFFF"/>
                <w:sz w:val="20"/>
              </w:rPr>
              <w:t>What I will do</w:t>
            </w:r>
          </w:p>
        </w:tc>
        <w:tc>
          <w:tcPr>
            <w:tcW w:type="dxa" w:w="2304"/>
            <w:shd w:val="clear" w:color="auto" w:fill="1B3A4B"/>
          </w:tcPr>
          <w:p>
            <w:pPr>
              <w:spacing w:after="40" w:before="40"/>
            </w:pPr>
            <w:r/>
            <w:r>
              <w:rPr>
                <w:rFonts w:ascii="Calibri" w:hAnsi="Calibri"/>
                <w:b/>
                <w:i w:val="0"/>
                <w:color w:val="FFFFFF"/>
                <w:sz w:val="20"/>
              </w:rPr>
              <w:t>Who owns it</w:t>
            </w:r>
          </w:p>
        </w:tc>
        <w:tc>
          <w:tcPr>
            <w:tcW w:type="dxa" w:w="1872"/>
            <w:shd w:val="clear" w:color="auto" w:fill="1B3A4B"/>
          </w:tcPr>
          <w:p>
            <w:pPr>
              <w:spacing w:after="40" w:before="40"/>
            </w:pPr>
            <w:r/>
            <w:r>
              <w:rPr>
                <w:rFonts w:ascii="Calibri" w:hAnsi="Calibri"/>
                <w:b/>
                <w:i w:val="0"/>
                <w:color w:val="FFFFFF"/>
                <w:sz w:val="20"/>
              </w:rPr>
              <w:t>By when</w:t>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r>
        <w:trPr>
          <w:cantSplit/>
        </w:trPr>
        <w:tc>
          <w:tcPr>
            <w:tcW w:type="dxa" w:w="5616"/>
          </w:tcPr>
          <w:p>
            <w:pPr>
              <w:spacing w:after="40" w:before="40"/>
            </w:pPr>
            <w:r/>
            <w:r>
              <w:rPr>
                <w:rFonts w:ascii="Calibri" w:hAnsi="Calibri"/>
                <w:b w:val="0"/>
                <w:i w:val="0"/>
                <w:color w:val="22333B"/>
                <w:sz w:val="20"/>
              </w:rPr>
            </w:r>
          </w:p>
        </w:tc>
        <w:tc>
          <w:tcPr>
            <w:tcW w:type="dxa" w:w="2304"/>
          </w:tcPr>
          <w:p>
            <w:pPr>
              <w:spacing w:after="40" w:before="40"/>
            </w:pPr>
            <w:r/>
            <w:r>
              <w:rPr>
                <w:rFonts w:ascii="Calibri" w:hAnsi="Calibri"/>
                <w:b w:val="0"/>
                <w:i w:val="0"/>
                <w:color w:val="22333B"/>
                <w:sz w:val="20"/>
              </w:rPr>
            </w:r>
          </w:p>
        </w:tc>
        <w:tc>
          <w:tcPr>
            <w:tcW w:type="dxa" w:w="1872"/>
          </w:tcPr>
          <w:p>
            <w:pPr>
              <w:spacing w:after="40" w:before="40"/>
            </w:pPr>
            <w:r/>
            <w:r>
              <w:rPr>
                <w:rFonts w:ascii="Calibri" w:hAnsi="Calibri"/>
                <w:b w:val="0"/>
                <w:i w:val="0"/>
                <w:color w:val="22333B"/>
                <w:sz w:val="20"/>
              </w:rPr>
            </w:r>
          </w:p>
        </w:tc>
      </w:tr>
    </w:tbl>
    <w:p>
      <w:pPr>
        <w:keepNext/>
        <w:spacing w:after="80" w:before="180"/>
      </w:pPr>
      <w:r>
        <w:rPr>
          <w:rFonts w:ascii="Cambria" w:hAnsi="Cambria"/>
          <w:b/>
          <w:color w:val="1B3A4B"/>
          <w:sz w:val="26"/>
        </w:rPr>
        <w:t>Ten questions to ask your team on Monday</w:t>
      </w:r>
    </w:p>
    <w:p>
      <w:pPr>
        <w:spacing w:after="50" w:line="254" w:lineRule="auto"/>
        <w:ind w:left="792" w:hanging="432"/>
      </w:pPr>
      <w:r>
        <w:rPr>
          <w:rFonts w:ascii="Calibri" w:hAnsi="Calibri"/>
          <w:b/>
          <w:color w:val="0E7C7B"/>
          <w:sz w:val="20"/>
        </w:rPr>
        <w:t xml:space="preserve">1.  </w:t>
      </w:r>
      <w:r>
        <w:rPr>
          <w:rFonts w:ascii="Calibri" w:hAnsi="Calibri"/>
          <w:color w:val="22333B"/>
          <w:sz w:val="20"/>
        </w:rPr>
        <w:t>What is our device's class in each of the four markets, and where is the reasoning written down?</w:t>
      </w:r>
    </w:p>
    <w:p>
      <w:pPr>
        <w:spacing w:after="50" w:line="254" w:lineRule="auto"/>
        <w:ind w:left="792" w:hanging="432"/>
      </w:pPr>
      <w:r>
        <w:rPr>
          <w:rFonts w:ascii="Calibri" w:hAnsi="Calibri"/>
          <w:b/>
          <w:color w:val="0E7C7B"/>
          <w:sz w:val="20"/>
        </w:rPr>
        <w:t xml:space="preserve">2.  </w:t>
      </w:r>
      <w:r>
        <w:rPr>
          <w:rFonts w:ascii="Calibri" w:hAnsi="Calibri"/>
          <w:color w:val="22333B"/>
          <w:sz w:val="20"/>
        </w:rPr>
        <w:t>Does our intended purpose statement say what we actually claim — and does it match our website?</w:t>
      </w:r>
    </w:p>
    <w:p>
      <w:pPr>
        <w:spacing w:after="50" w:line="254" w:lineRule="auto"/>
        <w:ind w:left="792" w:hanging="432"/>
      </w:pPr>
      <w:r>
        <w:rPr>
          <w:rFonts w:ascii="Calibri" w:hAnsi="Calibri"/>
          <w:b/>
          <w:color w:val="0E7C7B"/>
          <w:sz w:val="20"/>
        </w:rPr>
        <w:t xml:space="preserve">3.  </w:t>
      </w:r>
      <w:r>
        <w:rPr>
          <w:rFonts w:ascii="Calibri" w:hAnsi="Calibri"/>
          <w:color w:val="22333B"/>
          <w:sz w:val="20"/>
        </w:rPr>
        <w:t>If we are on a legacy MDD certificate: when does it expire, and what does that do to Great Britain?</w:t>
      </w:r>
    </w:p>
    <w:p>
      <w:pPr>
        <w:spacing w:after="50" w:line="254" w:lineRule="auto"/>
        <w:ind w:left="792" w:hanging="432"/>
      </w:pPr>
      <w:r>
        <w:rPr>
          <w:rFonts w:ascii="Calibri" w:hAnsi="Calibri"/>
          <w:b/>
          <w:color w:val="0E7C7B"/>
          <w:sz w:val="20"/>
        </w:rPr>
        <w:t xml:space="preserve">4.  </w:t>
      </w:r>
      <w:r>
        <w:rPr>
          <w:rFonts w:ascii="Calibri" w:hAnsi="Calibri"/>
          <w:color w:val="22333B"/>
          <w:sz w:val="20"/>
        </w:rPr>
        <w:t>Did we pass the 2024 gates for the extended transition, and can we evidence it?</w:t>
      </w:r>
    </w:p>
    <w:p>
      <w:pPr>
        <w:spacing w:after="50" w:line="254" w:lineRule="auto"/>
        <w:ind w:left="792" w:hanging="432"/>
      </w:pPr>
      <w:r>
        <w:rPr>
          <w:rFonts w:ascii="Calibri" w:hAnsi="Calibri"/>
          <w:b/>
          <w:color w:val="0E7C7B"/>
          <w:sz w:val="20"/>
        </w:rPr>
        <w:t xml:space="preserve">5.  </w:t>
      </w:r>
      <w:r>
        <w:rPr>
          <w:rFonts w:ascii="Calibri" w:hAnsi="Calibri"/>
          <w:color w:val="22333B"/>
          <w:sz w:val="20"/>
        </w:rPr>
        <w:t>What is our clinical evidence strategy for MDR, and when did it start?</w:t>
      </w:r>
    </w:p>
    <w:p>
      <w:pPr>
        <w:spacing w:after="50" w:line="254" w:lineRule="auto"/>
        <w:ind w:left="792" w:hanging="432"/>
      </w:pPr>
      <w:r>
        <w:rPr>
          <w:rFonts w:ascii="Calibri" w:hAnsi="Calibri"/>
          <w:b/>
          <w:color w:val="0E7C7B"/>
          <w:sz w:val="20"/>
        </w:rPr>
        <w:t xml:space="preserve">6.  </w:t>
      </w:r>
      <w:r>
        <w:rPr>
          <w:rFonts w:ascii="Calibri" w:hAnsi="Calibri"/>
          <w:color w:val="22333B"/>
          <w:sz w:val="20"/>
        </w:rPr>
        <w:t>Have we read our EU Authorised Representative mandate, including the liability clause?</w:t>
      </w:r>
    </w:p>
    <w:p>
      <w:pPr>
        <w:spacing w:after="50" w:line="254" w:lineRule="auto"/>
        <w:ind w:left="792" w:hanging="432"/>
      </w:pPr>
      <w:r>
        <w:rPr>
          <w:rFonts w:ascii="Calibri" w:hAnsi="Calibri"/>
          <w:b/>
          <w:color w:val="0E7C7B"/>
          <w:sz w:val="20"/>
        </w:rPr>
        <w:t xml:space="preserve">7.  </w:t>
      </w:r>
      <w:r>
        <w:rPr>
          <w:rFonts w:ascii="Calibri" w:hAnsi="Calibri"/>
          <w:color w:val="22333B"/>
          <w:sz w:val="20"/>
        </w:rPr>
        <w:t>Do we have a UK Responsible Person, and do they hold our current technical documentation?</w:t>
      </w:r>
    </w:p>
    <w:p>
      <w:pPr>
        <w:spacing w:after="50" w:line="254" w:lineRule="auto"/>
        <w:ind w:left="792" w:hanging="432"/>
      </w:pPr>
      <w:r>
        <w:rPr>
          <w:rFonts w:ascii="Calibri" w:hAnsi="Calibri"/>
          <w:b/>
          <w:color w:val="0E7C7B"/>
          <w:sz w:val="20"/>
        </w:rPr>
        <w:t xml:space="preserve">8.  </w:t>
      </w:r>
      <w:r>
        <w:rPr>
          <w:rFonts w:ascii="Calibri" w:hAnsi="Calibri"/>
          <w:color w:val="22333B"/>
          <w:sz w:val="20"/>
        </w:rPr>
        <w:t>Are we running one quality system or several — and if several, why?</w:t>
      </w:r>
    </w:p>
    <w:p>
      <w:pPr>
        <w:spacing w:after="50" w:line="254" w:lineRule="auto"/>
        <w:ind w:left="792" w:hanging="432"/>
      </w:pPr>
      <w:r>
        <w:rPr>
          <w:rFonts w:ascii="Calibri" w:hAnsi="Calibri"/>
          <w:b/>
          <w:color w:val="0E7C7B"/>
          <w:sz w:val="20"/>
        </w:rPr>
        <w:t xml:space="preserve">9.  </w:t>
      </w:r>
      <w:r>
        <w:rPr>
          <w:rFonts w:ascii="Calibri" w:hAnsi="Calibri"/>
          <w:color w:val="22333B"/>
          <w:sz w:val="20"/>
        </w:rPr>
        <w:t>Who holds our marketing authorisation in Japan, and what does the agreement say about transferring it?</w:t>
      </w:r>
    </w:p>
    <w:p>
      <w:pPr>
        <w:spacing w:after="50" w:line="254" w:lineRule="auto"/>
        <w:ind w:left="792" w:hanging="432"/>
      </w:pPr>
      <w:r>
        <w:rPr>
          <w:rFonts w:ascii="Calibri" w:hAnsi="Calibri"/>
          <w:b/>
          <w:color w:val="0E7C7B"/>
          <w:sz w:val="20"/>
        </w:rPr>
        <w:t xml:space="preserve">10.  </w:t>
      </w:r>
      <w:r>
        <w:rPr>
          <w:rFonts w:ascii="Calibri" w:hAnsi="Calibri"/>
          <w:color w:val="22333B"/>
          <w:sz w:val="20"/>
        </w:rPr>
        <w:t>Which regulator's recognised-standard list did we check before booking our last test?</w:t>
      </w:r>
    </w:p>
    <w:p>
      <w:pPr>
        <w:spacing w:after="120"/>
      </w:pPr>
      <w:r>
        <w:rPr>
          <w:rFonts w:ascii="Calibri" w:hAnsi="Calibri"/>
          <w:b w:val="0"/>
          <w:i w:val="0"/>
          <w:color w:val="22333B"/>
          <w:sz w:val="20"/>
        </w:rPr>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If you do only one thing</w:t>
            </w:r>
          </w:p>
          <w:p>
            <w:pPr>
              <w:spacing w:after="80"/>
            </w:pPr>
            <w:r>
              <w:rPr>
                <w:rFonts w:ascii="Calibri" w:hAnsi="Calibri"/>
                <w:color w:val="22333B"/>
                <w:sz w:val="19"/>
              </w:rPr>
              <w:t>Write down your classification reasoning for each of the four markets, with the rules cited and the date. It takes a couple of hours, it answers the first question every assessor asks, and it forces the conversation about intended purpose that everything else depends on.</w:t>
            </w:r>
          </w:p>
        </w:tc>
      </w:tr>
    </w:tbl>
    <w:p>
      <w:pPr>
        <w:spacing w:after="100" w:before="0" w:line="240" w:lineRule="auto"/>
      </w:pPr>
      <w:r>
        <w:rPr>
          <w:sz w:val="2"/>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4E626D"/>
        <w:sz w:val="16"/>
      </w:rPr>
      <w:t xml:space="preserve">Global Market Entry  ·  Participant Workbook  ·  Page </w:t>
    </w:r>
    <w:r>
      <w:rPr>
        <w:rFonts w:ascii="Calibri" w:hAnsi="Calibri"/>
        <w:color w:val="4E626D"/>
        <w:sz w:val="16"/>
      </w:rPr>
      <w:fldChar w:fldCharType="begin"/>
    </w:r>
    <w:r>
      <w:rPr>
        <w:rFonts w:ascii="Calibri" w:hAnsi="Calibri"/>
        <w:color w:val="4E626D"/>
        <w:sz w:val="16"/>
      </w:rPr>
      <w:instrText xml:space="preserve"> PAGE </w:instrText>
    </w:r>
    <w:r>
      <w:rPr>
        <w:rFonts w:ascii="Calibri" w:hAnsi="Calibri"/>
        <w:color w:val="4E626D"/>
        <w:sz w:val="16"/>
      </w:rPr>
      <w:fldChar w:fldCharType="separate"/>
    </w:r>
    <w:r>
      <w:rPr>
        <w:rFonts w:ascii="Calibri" w:hAnsi="Calibri"/>
        <w:color w:val="4E626D"/>
        <w:sz w:val="16"/>
      </w:rPr>
      <w:t>1</w:t>
    </w:r>
    <w:r>
      <w:rPr>
        <w:rFonts w:ascii="Calibri" w:hAnsi="Calibri"/>
        <w:color w:val="4E626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color w:val="223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