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0E7C7B"/>
          <w:sz w:val="17"/>
          <w:spacing w:val="30"/>
        </w:rPr>
        <w:t>QUICK REFERENCE  ·  SIDE 1  ·  THE FOUR MARKETS</w:t>
      </w:r>
    </w:p>
    <w:p>
      <w:pPr>
        <w:spacing w:after="40" w:before="0"/>
      </w:pPr>
      <w:r>
        <w:rPr>
          <w:rFonts w:ascii="Cambria" w:hAnsi="Cambria"/>
          <w:b/>
          <w:color w:val="1B3A4B"/>
          <w:sz w:val="30"/>
        </w:rPr>
        <w:t>Classify, then route</w:t>
      </w:r>
    </w:p>
    <w:p>
      <w:pPr>
        <w:spacing w:after="80"/>
      </w:pPr>
      <w:r>
        <w:rPr>
          <w:rFonts w:ascii="Calibri" w:hAnsi="Calibri"/>
          <w:b w:val="0"/>
          <w:i/>
          <w:color w:val="4E626D"/>
          <w:sz w:val="17"/>
        </w:rPr>
        <w:t>“Class II” is a US term. It does not travel. Four jurisdictions, four determinations from the same intended purpose — write the reasoning down for each.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The four systems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1368"/>
        <w:gridCol w:w="2347"/>
        <w:gridCol w:w="2347"/>
        <w:gridCol w:w="2347"/>
        <w:gridCol w:w="2390"/>
      </w:tblGrid>
      <w:tr>
        <w:trPr>
          <w:cantSplit/>
          <w:tblHeader/>
        </w:trPr>
        <w:tc>
          <w:tcPr>
            <w:tcW w:type="dxa" w:w="1368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2347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United States</w:t>
            </w:r>
          </w:p>
        </w:tc>
        <w:tc>
          <w:tcPr>
            <w:tcW w:type="dxa" w:w="2347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European Union</w:t>
            </w:r>
          </w:p>
        </w:tc>
        <w:tc>
          <w:tcPr>
            <w:tcW w:type="dxa" w:w="2347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Great Britain</w:t>
            </w:r>
          </w:p>
        </w:tc>
        <w:tc>
          <w:tcPr>
            <w:tcW w:type="dxa" w:w="2390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Japan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Class basis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Assigned by regulation, per device type (21 CFR 862–892)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Derived from the 22 rules of MDR Annex VIII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Derived from MDD Annex IX via Schedule 2A, UK MDR 2002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Follows the JMDN code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Who assesses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FDA directly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 notified body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 UK Approved Body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 Registered Certification Body, or PMDA/MHLW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Route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510(k), De Novo or PMA — or exempt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Annex IX, X or XI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UKCA — or rely on CE marking for now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Todokede, Ninsho or Shonin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Core question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Substantially equivalent to a predicate?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Does it meet the GSPRs?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Does it meet the directive requirements?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Does it meet the standard for its code?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Clinical evidence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Often none for a 510(k)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Clinical evaluation for EVERY device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Directive-era — lighter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Foreign data accepted; bridging may be needed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Local role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US Agent — largely a mailbox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Authorised Rep — jointly and severally liable, Art 11(5)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UK Responsible Person — separate appointment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MAH or DMAH — holds the authorisation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Registration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Establishment registration and listing, annual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EUDAMED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MHRA — whatever the marking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Via the MAH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QMS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QMSR — 21 CFR 820 on ISO 13485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Art 10(9); ISO 13485 in practice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Per the route; ISO 13485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QMS Ordinance — 13485 plus additions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MDSAP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E7C7B"/>
                <w:sz w:val="16"/>
              </w:rPr>
              <w:t>Accepted for routine inspections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NOT accepted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Not as a substitute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Participates — confirm scope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The trap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22333B"/>
                <w:sz w:val="16"/>
              </w:rPr>
              <w:t>Assuming clearance means the file travels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22333B"/>
                <w:sz w:val="16"/>
              </w:rPr>
              <w:t>Finding the clinical gap after contracting an NB</w:t>
            </w:r>
          </w:p>
        </w:tc>
        <w:tc>
          <w:tcPr>
            <w:tcW w:type="dxa" w:w="234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22333B"/>
                <w:sz w:val="16"/>
              </w:rPr>
              <w:t>Building UKCA you may never need</w:t>
            </w:r>
          </w:p>
        </w:tc>
        <w:tc>
          <w:tcPr>
            <w:tcW w:type="dxa" w:w="239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22333B"/>
                <w:sz w:val="16"/>
              </w:rPr>
              <w:t>Letting your distributor hold the authorisation</w:t>
            </w:r>
          </w:p>
        </w:tc>
      </w:tr>
    </w:tbl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Japan: the route depends on your code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576"/>
        <w:gridCol w:w="1944"/>
        <w:gridCol w:w="8280"/>
      </w:tblGrid>
      <w:tr>
        <w:trPr>
          <w:cantSplit/>
        </w:trP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E7C7B"/>
                <w:sz w:val="16"/>
              </w:rPr>
              <w:t>I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General</w:t>
            </w:r>
          </w:p>
        </w:tc>
        <w:tc>
          <w:tcPr>
            <w:tcW w:type="dxa" w:w="82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Todokede — notification to the PMDA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77C1E"/>
                <w:sz w:val="16"/>
              </w:rPr>
              <w:t>II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Controlled</w:t>
            </w:r>
          </w:p>
        </w:tc>
        <w:tc>
          <w:tcPr>
            <w:tcW w:type="dxa" w:w="82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WITH a certification standard: Ninsho, by a Registered Certification Body.  WITHOUT one: Shonin, approval of the MHLW on PMDA review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B5762E"/>
                <w:sz w:val="16"/>
              </w:rPr>
              <w:t>III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Specially controlled</w:t>
            </w:r>
          </w:p>
        </w:tc>
        <w:tc>
          <w:tcPr>
            <w:tcW w:type="dxa" w:w="82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The same split — Ninsho where a certification standard exists, otherwise Shonin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IV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Specially controlled</w:t>
            </w:r>
          </w:p>
        </w:tc>
        <w:tc>
          <w:tcPr>
            <w:tcW w:type="dxa" w:w="82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Shonin — approval of the MHLW</w:t>
            </w:r>
          </w:p>
        </w:tc>
      </w:tr>
    </w:tbl>
    <w:p>
      <w:pPr>
        <w:spacing w:after="60"/>
      </w:pPr>
      <w:r>
        <w:rPr>
          <w:rFonts w:ascii="Calibri" w:hAnsi="Calibri"/>
          <w:b w:val="0"/>
          <w:i/>
          <w:color w:val="1B3A4B"/>
          <w:sz w:val="16"/>
        </w:rPr>
        <w:t>Both determinants are lookups, not arguments. Research the JMDN code first — until you have, you cannot forecast Japan at all.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The 510(k) in four steps</w:t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16"/>
        </w:rPr>
        <w:t>1  Find a predicate</w:t>
      </w:r>
      <w:r>
        <w:rPr>
          <w:rFonts w:ascii="Calibri" w:hAnsi="Calibri"/>
          <w:b w:val="0"/>
          <w:i w:val="0"/>
          <w:color w:val="22333B"/>
          <w:sz w:val="16"/>
        </w:rPr>
        <w:t xml:space="preserve"> — check its recall history.   </w:t>
      </w:r>
      <w:r>
        <w:rPr>
          <w:rFonts w:ascii="Calibri" w:hAnsi="Calibri"/>
          <w:b/>
          <w:i w:val="0"/>
          <w:color w:val="1B3A4B"/>
          <w:sz w:val="16"/>
        </w:rPr>
        <w:t>2  Establish substantial equivalence</w:t>
      </w:r>
      <w:r>
        <w:rPr>
          <w:rFonts w:ascii="Calibri" w:hAnsi="Calibri"/>
          <w:b w:val="0"/>
          <w:i w:val="0"/>
          <w:color w:val="22333B"/>
          <w:sz w:val="16"/>
        </w:rPr>
        <w:t xml:space="preserve"> — same intended use, and either the same technological characteristics or different ones not raising different questions of safety and effectiveness.   </w:t>
      </w:r>
      <w:r>
        <w:rPr>
          <w:rFonts w:ascii="Calibri" w:hAnsi="Calibri"/>
          <w:b/>
          <w:i w:val="0"/>
          <w:color w:val="1B3A4B"/>
          <w:sz w:val="16"/>
        </w:rPr>
        <w:t xml:space="preserve">3  Assemble and submit via eSTAR.   </w:t>
      </w:r>
      <w:r>
        <w:rPr>
          <w:rFonts w:ascii="Calibri" w:hAnsi="Calibri"/>
          <w:b/>
          <w:i w:val="0"/>
          <w:color w:val="1B3A4B"/>
          <w:sz w:val="16"/>
        </w:rPr>
        <w:t>4  Acceptance review, then substantive review</w:t>
      </w:r>
      <w:r>
        <w:rPr>
          <w:rFonts w:ascii="Calibri" w:hAnsi="Calibri"/>
          <w:b w:val="0"/>
          <w:i w:val="0"/>
          <w:color w:val="22333B"/>
          <w:sz w:val="16"/>
        </w:rPr>
        <w:t xml:space="preserve"> — the clock pauses whenever FDA asks a question.</w:t>
      </w:r>
    </w:p>
    <w:p>
      <w:pPr>
        <w:spacing w:after="40"/>
      </w:pPr>
      <w:r>
        <w:rPr>
          <w:rFonts w:ascii="Calibri" w:hAnsi="Calibri"/>
          <w:b w:val="0"/>
          <w:i/>
          <w:color w:val="A83A3C"/>
          <w:sz w:val="16"/>
        </w:rPr>
        <w:t>And check whether you need one at all: many Class II device types are exempt, subject to the limitations in the classification regulation. The special controls in that regulation are binding.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What transfers between jurisdictions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1296"/>
        <w:gridCol w:w="9504"/>
      </w:tblGrid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E7C7B"/>
                <w:sz w:val="16"/>
              </w:rPr>
              <w:t>Travels well</w:t>
            </w:r>
          </w:p>
        </w:tc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Bench and performance testing · biocompatibility (ISO 10993) · the ISO 14971 risk file · software lifecycle evidence (IEC 62304) · one ISO 13485 quality system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Does not</w:t>
            </w:r>
          </w:p>
        </w:tc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The classification determination · the submission dossier itself · clinical evidence sufficiency · labelling and language · the local representative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/>
          <w:color w:val="A83A3C"/>
          <w:sz w:val="16"/>
        </w:rPr>
        <w:t>Caveat: each regulator keeps its own list of recognised standards, and the editions are not synchronised. Check the list before you book the test.</w:t>
      </w:r>
    </w:p>
    <w:p>
      <w:pPr>
        <w:pageBreakBefore/>
        <w:spacing w:after="40" w:before="0"/>
      </w:pPr>
      <w:r>
        <w:rPr>
          <w:rFonts w:ascii="Calibri" w:hAnsi="Calibri"/>
          <w:b/>
          <w:color w:val="A83A3C"/>
          <w:sz w:val="17"/>
          <w:spacing w:val="30"/>
        </w:rPr>
        <w:t>QUICK REFERENCE  ·  SIDE 2  ·  EU MDR AND THE UK</w:t>
      </w:r>
    </w:p>
    <w:p>
      <w:pPr>
        <w:spacing w:after="40" w:before="0"/>
      </w:pPr>
      <w:r>
        <w:rPr>
          <w:rFonts w:ascii="Cambria" w:hAnsi="Cambria"/>
          <w:b/>
          <w:color w:val="1B3A4B"/>
          <w:sz w:val="30"/>
        </w:rPr>
        <w:t>Routes, dates and divergence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MDR Rule 11 — software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9504"/>
        <w:gridCol w:w="1296"/>
      </w:tblGrid>
      <w:tr>
        <w:trPr>
          <w:cantSplit/>
        </w:trPr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Provides information used to take decisions for diagnostic or therapeutic purposes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77C1E"/>
                <w:sz w:val="18"/>
              </w:rPr>
              <w:t>IIa</w:t>
            </w:r>
          </w:p>
        </w:tc>
      </w:tr>
      <w:tr>
        <w:trPr>
          <w:cantSplit/>
        </w:trPr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… and those decisions may cause death or irreversible deterioration of health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8"/>
              </w:rPr>
              <w:t>III</w:t>
            </w:r>
          </w:p>
        </w:tc>
      </w:tr>
      <w:tr>
        <w:trPr>
          <w:cantSplit/>
        </w:trPr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… or may cause serious deterioration of health, or a surgical intervention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8A6D1F"/>
                <w:sz w:val="18"/>
              </w:rPr>
              <w:t>IIb</w:t>
            </w:r>
          </w:p>
        </w:tc>
      </w:tr>
      <w:tr>
        <w:trPr>
          <w:cantSplit/>
        </w:trPr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Intended to monitor physiological processes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77C1E"/>
                <w:sz w:val="18"/>
              </w:rPr>
              <w:t>IIa</w:t>
            </w:r>
          </w:p>
        </w:tc>
      </w:tr>
      <w:tr>
        <w:trPr>
          <w:cantSplit/>
        </w:trPr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… where the parameters are vital and variation could cause immediate danger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8A6D1F"/>
                <w:sz w:val="18"/>
              </w:rPr>
              <w:t>IIb</w:t>
            </w:r>
          </w:p>
        </w:tc>
      </w:tr>
      <w:tr>
        <w:trPr>
          <w:cantSplit/>
        </w:trPr>
        <w:tc>
          <w:tcPr>
            <w:tcW w:type="dxa" w:w="9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All other software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E7C7B"/>
                <w:sz w:val="18"/>
              </w:rPr>
              <w:t>I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B3A4B"/>
          <w:sz w:val="16"/>
        </w:rPr>
        <w:t>Rule 11 turns on the CONSEQUENCE of the decision the software informs, not on how the software works. Great Britain has no equivalent rule — the same software can classify lower there.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Annex VIII — what moves the class</w:t>
      </w:r>
    </w:p>
    <w:p>
      <w:pPr>
        <w:spacing w:after="40"/>
      </w:pPr>
      <w:r>
        <w:rPr>
          <w:rFonts w:ascii="Calibri" w:hAnsi="Calibri"/>
          <w:b w:val="0"/>
          <w:i w:val="0"/>
          <w:color w:val="22333B"/>
          <w:sz w:val="16"/>
        </w:rPr>
        <w:t>Duration: transient under 60 min · short term 60 min to 30 days · long term over 30 days.   Invasiveness: orifice versus surgically invasive, and whether it reaches the central circulatory or central nervous system.   Active: whether it depends on energy, and whether it administers energy or sustains life.   Clinical claim: diagnosis, monitoring, driving management.</w:t>
      </w:r>
    </w:p>
    <w:p>
      <w:pPr>
        <w:spacing w:after="40"/>
      </w:pPr>
      <w:r>
        <w:rPr>
          <w:rFonts w:ascii="Calibri" w:hAnsi="Calibri"/>
          <w:b w:val="0"/>
          <w:i/>
          <w:color w:val="1B3A4B"/>
          <w:sz w:val="16"/>
        </w:rPr>
        <w:t>Apply the Chapter II implementing rules first: accessories and software classify in their own right, and where several rules apply the strictest wins.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The MDR transition — Regulation (EU) 2023/607  [IN FORCE]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1440"/>
        <w:gridCol w:w="9360"/>
      </w:tblGrid>
      <w:tr>
        <w:trPr>
          <w:cantSplit/>
        </w:trP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31 Dec 2027</w:t>
            </w:r>
          </w:p>
        </w:tc>
        <w:tc>
          <w:tcPr>
            <w:tcW w:type="dxa" w:w="93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Class III, and Class IIb IMPLANTABLES — except sutures, staples, dental fillings, dental braces, tooth crowns, screws, wedges, plates, wires, pins, clips and connectors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77C1E"/>
                <w:sz w:val="16"/>
              </w:rPr>
              <w:t>31 Dec 2028</w:t>
            </w:r>
          </w:p>
        </w:tc>
        <w:tc>
          <w:tcPr>
            <w:tcW w:type="dxa" w:w="93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Other Class IIb, all Class IIa, and Class I placed on the market sterile, with a measuring function, or reusable surgical instruments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A83A3C"/>
          <w:sz w:val="16"/>
        </w:rPr>
        <w:t>Conditions: a legacy device certified under the directives before 26 May 2021 · still compliant with that directive · no significant change in design or intended purpose · no unacceptable risk · an MDR Art 10(9) QMS and a formal notified body application by 26 May 2024, with a signed agreement by 26 Sept 2024. The extension is conditional relief you either qualified for, or did not.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Great Britain — the dates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3024"/>
        <w:gridCol w:w="7776"/>
      </w:tblGrid>
      <w:tr>
        <w:trPr>
          <w:cantSplit/>
        </w:trP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CE marking under EU MDR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E7C7B"/>
                <w:sz w:val="16"/>
              </w:rPr>
              <w:t>Accepted until 30 June 2030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CE marking under MDD or AIMDD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77C1E"/>
                <w:sz w:val="16"/>
              </w:rPr>
              <w:t>Accepted until the SOONER of certificate expiry or 30 June 2028 — two clocks, the earlier governs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CE marking under the IVDD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Accepted until the sooner of certificate expiry or 30 June 2030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UKCA marking</w:t>
            </w:r>
          </w:p>
        </w:tc>
        <w:tc>
          <w:tcPr>
            <w:tcW w:type="dxa" w:w="77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No end date — and not mandatory. The MHRA has consulted on indefinite recognition of CE marking; the response is pending</w:t>
            </w:r>
          </w:p>
        </w:tc>
      </w:tr>
    </w:tbl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Do you need UKCA?</w:t>
      </w:r>
    </w:p>
    <w:p>
      <w:pPr>
        <w:spacing w:after="40"/>
      </w:pPr>
      <w:r>
        <w:rPr>
          <w:rFonts w:ascii="Calibri" w:hAnsi="Calibri"/>
          <w:b w:val="0"/>
          <w:i w:val="0"/>
          <w:color w:val="22333B"/>
          <w:sz w:val="16"/>
        </w:rPr>
        <w:t>A CE marked device reaches the WHOLE United Kingdom today, because EU rules still apply in Northern Ireland under the Windsor Framework. A UKCA marked device reaches Great Britain only. So for a manufacturer with an EU route, UKCA is currently additional work to reach a smaller market.</w:t>
      </w:r>
    </w:p>
    <w:p>
      <w:pPr>
        <w:spacing w:after="60"/>
      </w:pPr>
      <w:r>
        <w:rPr>
          <w:rFonts w:ascii="Calibri" w:hAnsi="Calibri"/>
          <w:b w:val="0"/>
          <w:i/>
          <w:color w:val="1B3A4B"/>
          <w:sz w:val="16"/>
        </w:rPr>
        <w:t>Consider UKCA anyway if: you are a UK-only business; you cannot get a notified body slot but can get an Approved Body one; or you want insurance against the recognition policy changing. Whatever you carry, MHRA registration and a UK Responsible Person apply — and so do the Post-market Surveillance Regulations 2024, in force since 16 June 2025.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EU and UK divergence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799" w:type="dxa"/>
      </w:tblPr>
      <w:tblGrid>
        <w:gridCol w:w="2015"/>
        <w:gridCol w:w="4392"/>
        <w:gridCol w:w="4392"/>
      </w:tblGrid>
      <w:tr>
        <w:trPr>
          <w:cantSplit/>
          <w:tblHeader/>
        </w:trPr>
        <w:tc>
          <w:tcPr>
            <w:tcW w:type="dxa" w:w="2016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Topic</w:t>
            </w:r>
          </w:p>
        </w:tc>
        <w:tc>
          <w:tcPr>
            <w:tcW w:type="dxa" w:w="4392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EU MDR</w:t>
            </w:r>
          </w:p>
        </w:tc>
        <w:tc>
          <w:tcPr>
            <w:tcW w:type="dxa" w:w="4392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Great Britain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Classification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MDR Annex VIII — 22 revised rules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MDD Annex IX via Schedule 2A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Software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Rule 11, in its own right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No equivalent rule — can land lower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Clinical evidence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Art 61, Annex XIV; tightened equivalence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Directive-era — materially lighter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Named role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Art 15 PRRC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No direct equivalent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Database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EUDAMED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MHRA registration — separate system</w:t>
            </w:r>
          </w:p>
        </w:tc>
      </w:tr>
    </w:tbl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Proposed, and NOT law</w:t>
      </w:r>
    </w:p>
    <w:p>
      <w:pPr>
        <w:spacing w:after="40"/>
      </w:pPr>
      <w:r>
        <w:rPr>
          <w:rFonts w:ascii="Calibri" w:hAnsi="Calibri"/>
          <w:b w:val="0"/>
          <w:i w:val="0"/>
          <w:color w:val="22333B"/>
          <w:sz w:val="16"/>
        </w:rPr>
        <w:t>COM(2025) 1023 final, 16 December 2025, procedure 2025/0404(COD) — a Commission proposal to simplify MDR and IVDR. It would reduce notified body involvement for Class IIa and IIb, remove the five-year certificate validity limit, loosen clinical evidence and equivalence rules, adapt some classification rules downward including for software, relax the PRRC requirements, and extend non-critical vigilance reporting from 15 to 30 days. Track it; plan on current law until it is published in the Official Journal.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 w:cs="Calibri"/>
      <w:color w:val="2233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