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E7C7B"/>
          <w:sz w:val="17"/>
          <w:spacing w:val="30"/>
        </w:rPr>
        <w:t>MEDICAL DEVICE SEMINAR  ·  PARTICIPANT WORKBOOK</w:t>
      </w:r>
    </w:p>
    <w:p>
      <w:pPr>
        <w:spacing w:after="40" w:before="0"/>
      </w:pPr>
      <w:r>
        <w:rPr>
          <w:rFonts w:ascii="Cambria" w:hAnsi="Cambria"/>
          <w:b/>
          <w:color w:val="1B3A4B"/>
          <w:sz w:val="52"/>
        </w:rPr>
        <w:t>Software Validation &amp; Cybersecurity</w:t>
      </w:r>
    </w:p>
    <w:p>
      <w:pPr>
        <w:spacing w:after="200"/>
      </w:pPr>
      <w:r>
        <w:rPr>
          <w:rFonts w:ascii="Calibri" w:hAnsi="Calibri"/>
          <w:b w:val="0"/>
          <w:i/>
          <w:color w:val="4E626D"/>
          <w:sz w:val="26"/>
        </w:rPr>
        <w:t>Addressing the challenges of connected devices and Software as a Medical Device</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How to use this workbook</w:t>
            </w:r>
          </w:p>
          <w:p>
            <w:pPr>
              <w:spacing w:after="80"/>
            </w:pPr>
            <w:r>
              <w:rPr>
                <w:rFonts w:ascii="Calibri" w:hAnsi="Calibri"/>
                <w:color w:val="22333B"/>
                <w:sz w:val="19"/>
              </w:rPr>
              <w:t>This is yours to write in. The note pages are keyed to the sections of the presentation so you can capture what matters to your product rather than transcribing slides.</w:t>
            </w:r>
          </w:p>
          <w:p>
            <w:pPr>
              <w:spacing w:after="80"/>
            </w:pPr>
            <w:r>
              <w:rPr>
                <w:rFonts w:ascii="Calibri" w:hAnsi="Calibri"/>
                <w:color w:val="22333B"/>
                <w:sz w:val="19"/>
              </w:rPr>
              <w:t>The two working sessions are done at your table during the seminar. The reference material at the back — the checklists, glossary and standards list — is there for after you get home.</w:t>
            </w:r>
          </w:p>
          <w:p>
            <w:pPr>
              <w:spacing w:after="80"/>
            </w:pPr>
            <w:r>
              <w:rPr>
                <w:rFonts w:ascii="Calibri" w:hAnsi="Calibri"/>
                <w:color w:val="22333B"/>
                <w:sz w:val="19"/>
              </w:rPr>
              <w:t>The single most useful page is the last one. Fill in three actions before you leave the room.</w:t>
            </w:r>
          </w:p>
        </w:tc>
      </w:tr>
    </w:tbl>
    <w:p>
      <w:pPr>
        <w:spacing w:after="100" w:before="0" w:line="240" w:lineRule="auto"/>
      </w:pPr>
      <w:r>
        <w:rPr>
          <w:sz w:val="2"/>
        </w:rPr>
      </w:r>
    </w:p>
    <w:p>
      <w:pPr>
        <w:keepNext/>
        <w:spacing w:after="80" w:before="160"/>
      </w:pPr>
      <w:r>
        <w:rPr>
          <w:rFonts w:ascii="Cambria" w:hAnsi="Cambria"/>
          <w:b/>
          <w:color w:val="1B3A4B"/>
          <w:sz w:val="26"/>
        </w:rPr>
        <w:t>Contents</w:t>
      </w:r>
    </w:p>
    <w:p>
      <w:pPr>
        <w:tabs>
          <w:tab w:pos="9720" w:val="right" w:leader="dot"/>
        </w:tabs>
        <w:spacing w:after="80"/>
        <w:ind w:left="0"/>
      </w:pPr>
      <w:r>
        <w:rPr>
          <w:rFonts w:ascii="Calibri" w:hAnsi="Calibri"/>
          <w:b w:val="0"/>
          <w:color w:val="22333B"/>
          <w:sz w:val="21"/>
        </w:rPr>
        <w:t>Agenda and learning objectives</w:t>
      </w:r>
      <w:r>
        <w:rPr>
          <w:rFonts w:ascii="Calibri" w:hAnsi="Calibri"/>
          <w:b w:val="0"/>
          <w:color w:val="22333B"/>
          <w:sz w:val="21"/>
        </w:rPr>
        <w:tab/>
        <w:t>2</w:t>
      </w:r>
    </w:p>
    <w:p>
      <w:pPr>
        <w:tabs>
          <w:tab w:pos="9720" w:val="right" w:leader="dot"/>
        </w:tabs>
        <w:spacing w:after="80"/>
        <w:ind w:left="0"/>
      </w:pPr>
      <w:r>
        <w:rPr>
          <w:rFonts w:ascii="Calibri" w:hAnsi="Calibri"/>
          <w:b w:val="0"/>
          <w:color w:val="22333B"/>
          <w:sz w:val="21"/>
        </w:rPr>
        <w:t>Part 1 — The new operating environment</w:t>
      </w:r>
      <w:r>
        <w:rPr>
          <w:rFonts w:ascii="Calibri" w:hAnsi="Calibri"/>
          <w:b w:val="0"/>
          <w:color w:val="22333B"/>
          <w:sz w:val="21"/>
        </w:rPr>
        <w:tab/>
        <w:t>3</w:t>
      </w:r>
    </w:p>
    <w:p>
      <w:pPr>
        <w:tabs>
          <w:tab w:pos="9720" w:val="right" w:leader="dot"/>
        </w:tabs>
        <w:spacing w:after="80"/>
        <w:ind w:left="0"/>
      </w:pPr>
      <w:r>
        <w:rPr>
          <w:rFonts w:ascii="Calibri" w:hAnsi="Calibri"/>
          <w:b w:val="0"/>
          <w:color w:val="22333B"/>
          <w:sz w:val="21"/>
        </w:rPr>
        <w:t>Part 2 — Software validation</w:t>
      </w:r>
      <w:r>
        <w:rPr>
          <w:rFonts w:ascii="Calibri" w:hAnsi="Calibri"/>
          <w:b w:val="0"/>
          <w:color w:val="22333B"/>
          <w:sz w:val="21"/>
        </w:rPr>
        <w:tab/>
        <w:t>4</w:t>
      </w:r>
    </w:p>
    <w:p>
      <w:pPr>
        <w:tabs>
          <w:tab w:pos="9720" w:val="right" w:leader="dot"/>
        </w:tabs>
        <w:spacing w:after="80"/>
        <w:ind w:left="0"/>
      </w:pPr>
      <w:r>
        <w:rPr>
          <w:rFonts w:ascii="Calibri" w:hAnsi="Calibri"/>
          <w:b/>
          <w:color w:val="1B3A4B"/>
          <w:sz w:val="21"/>
        </w:rPr>
        <w:t>Working session 1 — Classify and scope</w:t>
      </w:r>
      <w:r>
        <w:rPr>
          <w:rFonts w:ascii="Calibri" w:hAnsi="Calibri"/>
          <w:b/>
          <w:color w:val="1B3A4B"/>
          <w:sz w:val="21"/>
        </w:rPr>
        <w:tab/>
        <w:t>5</w:t>
      </w:r>
    </w:p>
    <w:p>
      <w:pPr>
        <w:tabs>
          <w:tab w:pos="9720" w:val="right" w:leader="dot"/>
        </w:tabs>
        <w:spacing w:after="80"/>
        <w:ind w:left="0"/>
      </w:pPr>
      <w:r>
        <w:rPr>
          <w:rFonts w:ascii="Calibri" w:hAnsi="Calibri"/>
          <w:b w:val="0"/>
          <w:color w:val="22333B"/>
          <w:sz w:val="21"/>
        </w:rPr>
        <w:t>Part 3 — Cybersecurity</w:t>
      </w:r>
      <w:r>
        <w:rPr>
          <w:rFonts w:ascii="Calibri" w:hAnsi="Calibri"/>
          <w:b w:val="0"/>
          <w:color w:val="22333B"/>
          <w:sz w:val="21"/>
        </w:rPr>
        <w:tab/>
        <w:t>6</w:t>
      </w:r>
    </w:p>
    <w:p>
      <w:pPr>
        <w:tabs>
          <w:tab w:pos="9720" w:val="right" w:leader="dot"/>
        </w:tabs>
        <w:spacing w:after="80"/>
        <w:ind w:left="0"/>
      </w:pPr>
      <w:r>
        <w:rPr>
          <w:rFonts w:ascii="Calibri" w:hAnsi="Calibri"/>
          <w:b/>
          <w:color w:val="1B3A4B"/>
          <w:sz w:val="21"/>
        </w:rPr>
        <w:t>Working session 2 — Monday morning, 07:40</w:t>
      </w:r>
      <w:r>
        <w:rPr>
          <w:rFonts w:ascii="Calibri" w:hAnsi="Calibri"/>
          <w:b/>
          <w:color w:val="1B3A4B"/>
          <w:sz w:val="21"/>
        </w:rPr>
        <w:tab/>
        <w:t>7</w:t>
      </w:r>
    </w:p>
    <w:p>
      <w:pPr>
        <w:tabs>
          <w:tab w:pos="9720" w:val="right" w:leader="dot"/>
        </w:tabs>
        <w:spacing w:after="80"/>
        <w:ind w:left="0"/>
      </w:pPr>
      <w:r>
        <w:rPr>
          <w:rFonts w:ascii="Calibri" w:hAnsi="Calibri"/>
          <w:b w:val="0"/>
          <w:color w:val="22333B"/>
          <w:sz w:val="21"/>
        </w:rPr>
        <w:t>Part 4 — Making it work</w:t>
      </w:r>
      <w:r>
        <w:rPr>
          <w:rFonts w:ascii="Calibri" w:hAnsi="Calibri"/>
          <w:b w:val="0"/>
          <w:color w:val="22333B"/>
          <w:sz w:val="21"/>
        </w:rPr>
        <w:tab/>
        <w:t>9</w:t>
      </w:r>
    </w:p>
    <w:p>
      <w:pPr>
        <w:tabs>
          <w:tab w:pos="9720" w:val="right" w:leader="dot"/>
        </w:tabs>
        <w:spacing w:after="80"/>
        <w:ind w:left="0"/>
      </w:pPr>
      <w:r>
        <w:rPr>
          <w:rFonts w:ascii="Calibri" w:hAnsi="Calibri"/>
          <w:b w:val="0"/>
          <w:color w:val="22333B"/>
          <w:sz w:val="21"/>
        </w:rPr>
        <w:t>Readiness self-assessment</w:t>
      </w:r>
      <w:r>
        <w:rPr>
          <w:rFonts w:ascii="Calibri" w:hAnsi="Calibri"/>
          <w:b w:val="0"/>
          <w:color w:val="22333B"/>
          <w:sz w:val="21"/>
        </w:rPr>
        <w:tab/>
        <w:t>10</w:t>
      </w:r>
    </w:p>
    <w:p>
      <w:pPr>
        <w:tabs>
          <w:tab w:pos="9720" w:val="right" w:leader="dot"/>
        </w:tabs>
        <w:spacing w:after="80"/>
        <w:ind w:left="0"/>
      </w:pPr>
      <w:r>
        <w:rPr>
          <w:rFonts w:ascii="Calibri" w:hAnsi="Calibri"/>
          <w:b w:val="0"/>
          <w:color w:val="22333B"/>
          <w:sz w:val="21"/>
        </w:rPr>
        <w:t>Reference: documentation level and safety class</w:t>
      </w:r>
      <w:r>
        <w:rPr>
          <w:rFonts w:ascii="Calibri" w:hAnsi="Calibri"/>
          <w:b w:val="0"/>
          <w:color w:val="22333B"/>
          <w:sz w:val="21"/>
        </w:rPr>
        <w:tab/>
        <w:t>11</w:t>
      </w:r>
    </w:p>
    <w:p>
      <w:pPr>
        <w:tabs>
          <w:tab w:pos="9720" w:val="right" w:leader="dot"/>
        </w:tabs>
        <w:spacing w:after="80"/>
        <w:ind w:left="0"/>
      </w:pPr>
      <w:r>
        <w:rPr>
          <w:rFonts w:ascii="Calibri" w:hAnsi="Calibri"/>
          <w:b w:val="0"/>
          <w:color w:val="22333B"/>
          <w:sz w:val="21"/>
        </w:rPr>
        <w:t>Reference: common findings that recur</w:t>
      </w:r>
      <w:r>
        <w:rPr>
          <w:rFonts w:ascii="Calibri" w:hAnsi="Calibri"/>
          <w:b w:val="0"/>
          <w:color w:val="22333B"/>
          <w:sz w:val="21"/>
        </w:rPr>
        <w:tab/>
        <w:t>12</w:t>
      </w:r>
    </w:p>
    <w:p>
      <w:pPr>
        <w:tabs>
          <w:tab w:pos="9720" w:val="right" w:leader="dot"/>
        </w:tabs>
        <w:spacing w:after="80"/>
        <w:ind w:left="0"/>
      </w:pPr>
      <w:r>
        <w:rPr>
          <w:rFonts w:ascii="Calibri" w:hAnsi="Calibri"/>
          <w:b w:val="0"/>
          <w:color w:val="22333B"/>
          <w:sz w:val="21"/>
        </w:rPr>
        <w:t>Reference: security baseline checklist</w:t>
      </w:r>
      <w:r>
        <w:rPr>
          <w:rFonts w:ascii="Calibri" w:hAnsi="Calibri"/>
          <w:b w:val="0"/>
          <w:color w:val="22333B"/>
          <w:sz w:val="21"/>
        </w:rPr>
        <w:tab/>
        <w:t>13</w:t>
      </w:r>
    </w:p>
    <w:p>
      <w:pPr>
        <w:tabs>
          <w:tab w:pos="9720" w:val="right" w:leader="dot"/>
        </w:tabs>
        <w:spacing w:after="80"/>
        <w:ind w:left="0"/>
      </w:pPr>
      <w:r>
        <w:rPr>
          <w:rFonts w:ascii="Calibri" w:hAnsi="Calibri"/>
          <w:b w:val="0"/>
          <w:color w:val="22333B"/>
          <w:sz w:val="21"/>
        </w:rPr>
        <w:t>Glossary</w:t>
      </w:r>
      <w:r>
        <w:rPr>
          <w:rFonts w:ascii="Calibri" w:hAnsi="Calibri"/>
          <w:b w:val="0"/>
          <w:color w:val="22333B"/>
          <w:sz w:val="21"/>
        </w:rPr>
        <w:tab/>
        <w:t>15</w:t>
      </w:r>
    </w:p>
    <w:p>
      <w:pPr>
        <w:tabs>
          <w:tab w:pos="9720" w:val="right" w:leader="dot"/>
        </w:tabs>
        <w:spacing w:after="80"/>
        <w:ind w:left="0"/>
      </w:pPr>
      <w:r>
        <w:rPr>
          <w:rFonts w:ascii="Calibri" w:hAnsi="Calibri"/>
          <w:b w:val="0"/>
          <w:color w:val="22333B"/>
          <w:sz w:val="21"/>
        </w:rPr>
        <w:t>Standards and guidance — and what each is for</w:t>
      </w:r>
      <w:r>
        <w:rPr>
          <w:rFonts w:ascii="Calibri" w:hAnsi="Calibri"/>
          <w:b w:val="0"/>
          <w:color w:val="22333B"/>
          <w:sz w:val="21"/>
        </w:rPr>
        <w:tab/>
        <w:t>17</w:t>
      </w:r>
    </w:p>
    <w:p>
      <w:pPr>
        <w:tabs>
          <w:tab w:pos="9720" w:val="right" w:leader="dot"/>
        </w:tabs>
        <w:spacing w:after="80"/>
        <w:ind w:left="0"/>
      </w:pPr>
      <w:r>
        <w:rPr>
          <w:rFonts w:ascii="Calibri" w:hAnsi="Calibri"/>
          <w:b/>
          <w:color w:val="1B3A4B"/>
          <w:sz w:val="21"/>
        </w:rPr>
        <w:t>Your action plan</w:t>
      </w:r>
      <w:r>
        <w:rPr>
          <w:rFonts w:ascii="Calibri" w:hAnsi="Calibri"/>
          <w:b/>
          <w:color w:val="1B3A4B"/>
          <w:sz w:val="21"/>
        </w:rPr>
        <w:tab/>
        <w:t>18</w:t>
      </w:r>
    </w:p>
    <w:p>
      <w:pPr>
        <w:spacing w:after="160"/>
      </w:pPr>
      <w:r>
        <w:rPr>
          <w:rFonts w:ascii="Calibri" w:hAnsi="Calibri"/>
          <w:b w:val="0"/>
          <w:i w:val="0"/>
          <w:color w:val="22333B"/>
          <w:sz w:val="20"/>
        </w:rPr>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0"/>
              </w:rPr>
              <w:t>A note on currency</w:t>
            </w:r>
          </w:p>
          <w:p>
            <w:pPr>
              <w:spacing w:after="80"/>
            </w:pPr>
            <w:r>
              <w:rPr>
                <w:rFonts w:ascii="Calibri" w:hAnsi="Calibri"/>
                <w:color w:val="22333B"/>
                <w:sz w:val="19"/>
              </w:rPr>
              <w:t>Regulatory guidance in this field is revised frequently. Dates given in this workbook are stated as at the time of preparation. Before relying on any document cited here — particularly for a submission — confirm the current version on the issuing body's website.</w:t>
            </w:r>
          </w:p>
        </w:tc>
      </w:tr>
    </w:tbl>
    <w:p>
      <w:pPr>
        <w:spacing w:after="100" w:before="0" w:line="240" w:lineRule="auto"/>
      </w:pPr>
      <w:r>
        <w:rPr>
          <w:sz w:val="2"/>
        </w:rPr>
      </w:r>
    </w:p>
    <w:p>
      <w:pPr>
        <w:pageBreakBefore/>
        <w:spacing w:after="40" w:before="0"/>
      </w:pPr>
      <w:r>
        <w:rPr>
          <w:rFonts w:ascii="Calibri" w:hAnsi="Calibri"/>
          <w:b/>
          <w:color w:val="0E7C7B"/>
          <w:sz w:val="17"/>
          <w:spacing w:val="30"/>
        </w:rPr>
        <w:t>AGENDA AND OBJECTIVES</w:t>
      </w:r>
    </w:p>
    <w:p>
      <w:pPr>
        <w:spacing w:after="80" w:before="0"/>
      </w:pPr>
      <w:r>
        <w:rPr>
          <w:rFonts w:ascii="Cambria" w:hAnsi="Cambria"/>
          <w:b/>
          <w:color w:val="1B3A4B"/>
          <w:sz w:val="36"/>
        </w:rPr>
        <w:t>Agenda and learning objectives</w:t>
      </w:r>
    </w:p>
    <w:p>
      <w:pPr>
        <w:spacing w:before="120" w:after="160"/>
        <w:pBdr>
          <w:bottom w:val="single" w:sz="6" w:space="1" w:color="D7E2E5"/>
        </w:pBdr>
      </w:pPr>
    </w:p>
    <w:p>
      <w:pPr>
        <w:keepNext/>
        <w:spacing w:after="80" w:before="0"/>
      </w:pPr>
      <w:r>
        <w:rPr>
          <w:rFonts w:ascii="Cambria" w:hAnsi="Cambria"/>
          <w:b/>
          <w:color w:val="1B3A4B"/>
          <w:sz w:val="26"/>
        </w:rPr>
        <w:t>Run of show</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296"/>
        <w:gridCol w:w="8496"/>
      </w:tblGrid>
      <w:tr>
        <w:trPr>
          <w:cantSplit/>
        </w:trPr>
        <w:tc>
          <w:tcPr>
            <w:tcW w:type="dxa" w:w="1296"/>
            <w:shd w:val="clear" w:color="auto" w:fill="1B3A4B"/>
          </w:tcPr>
          <w:p>
            <w:pPr>
              <w:spacing w:after="40" w:before="40"/>
            </w:pPr>
            <w:r/>
            <w:r>
              <w:rPr>
                <w:rFonts w:ascii="Calibri" w:hAnsi="Calibri"/>
                <w:b/>
                <w:i w:val="0"/>
                <w:color w:val="FFFFFF"/>
                <w:sz w:val="20"/>
              </w:rPr>
              <w:t>Time</w:t>
            </w:r>
          </w:p>
        </w:tc>
        <w:tc>
          <w:tcPr>
            <w:tcW w:type="dxa" w:w="8496"/>
            <w:shd w:val="clear" w:color="auto" w:fill="1B3A4B"/>
          </w:tcPr>
          <w:p>
            <w:pPr>
              <w:spacing w:after="40" w:before="40"/>
            </w:pPr>
            <w:r/>
            <w:r>
              <w:rPr>
                <w:rFonts w:ascii="Calibri" w:hAnsi="Calibri"/>
                <w:b/>
                <w:i w:val="0"/>
                <w:color w:val="FFFFFF"/>
                <w:sz w:val="20"/>
              </w:rPr>
              <w:t>Session</w:t>
            </w:r>
          </w:p>
        </w:tc>
      </w:tr>
      <w:tr>
        <w:trPr>
          <w:cantSplit/>
        </w:trPr>
        <w:tc>
          <w:tcPr>
            <w:tcW w:type="dxa" w:w="1296"/>
          </w:tcPr>
          <w:p>
            <w:pPr>
              <w:spacing w:after="40" w:before="40"/>
            </w:pPr>
            <w:r/>
            <w:r>
              <w:rPr>
                <w:rFonts w:ascii="Calibri" w:hAnsi="Calibri"/>
                <w:b/>
                <w:i w:val="0"/>
                <w:color w:val="22333B"/>
                <w:sz w:val="20"/>
              </w:rPr>
              <w:t>0:00</w:t>
            </w:r>
          </w:p>
        </w:tc>
        <w:tc>
          <w:tcPr>
            <w:tcW w:type="dxa" w:w="8496"/>
          </w:tcPr>
          <w:p>
            <w:pPr>
              <w:spacing w:after="40" w:before="40"/>
            </w:pPr>
            <w:r/>
            <w:r>
              <w:rPr>
                <w:rFonts w:ascii="Calibri" w:hAnsi="Calibri"/>
                <w:b w:val="0"/>
                <w:i w:val="0"/>
                <w:color w:val="22333B"/>
                <w:sz w:val="20"/>
              </w:rPr>
              <w:t>Welcome, objectives, room calibration</w:t>
            </w:r>
          </w:p>
        </w:tc>
      </w:tr>
      <w:tr>
        <w:trPr>
          <w:cantSplit/>
        </w:trPr>
        <w:tc>
          <w:tcPr>
            <w:tcW w:type="dxa" w:w="1296"/>
          </w:tcPr>
          <w:p>
            <w:pPr>
              <w:spacing w:after="40" w:before="40"/>
            </w:pPr>
            <w:r/>
            <w:r>
              <w:rPr>
                <w:rFonts w:ascii="Calibri" w:hAnsi="Calibri"/>
                <w:b/>
                <w:i w:val="0"/>
                <w:color w:val="22333B"/>
                <w:sz w:val="20"/>
              </w:rPr>
              <w:t>0:09</w:t>
            </w:r>
          </w:p>
        </w:tc>
        <w:tc>
          <w:tcPr>
            <w:tcW w:type="dxa" w:w="8496"/>
          </w:tcPr>
          <w:p>
            <w:pPr>
              <w:spacing w:after="40" w:before="40"/>
            </w:pPr>
            <w:r/>
            <w:r>
              <w:rPr>
                <w:rFonts w:ascii="Calibri" w:hAnsi="Calibri"/>
                <w:b w:val="0"/>
                <w:i w:val="0"/>
                <w:color w:val="22333B"/>
                <w:sz w:val="20"/>
              </w:rPr>
              <w:t>Part 1 — The new operating environment</w:t>
            </w:r>
          </w:p>
        </w:tc>
      </w:tr>
      <w:tr>
        <w:trPr>
          <w:cantSplit/>
        </w:trPr>
        <w:tc>
          <w:tcPr>
            <w:tcW w:type="dxa" w:w="1296"/>
          </w:tcPr>
          <w:p>
            <w:pPr>
              <w:spacing w:after="40" w:before="40"/>
            </w:pPr>
            <w:r/>
            <w:r>
              <w:rPr>
                <w:rFonts w:ascii="Calibri" w:hAnsi="Calibri"/>
                <w:b/>
                <w:i w:val="0"/>
                <w:color w:val="22333B"/>
                <w:sz w:val="20"/>
              </w:rPr>
              <w:t>0:31</w:t>
            </w:r>
          </w:p>
        </w:tc>
        <w:tc>
          <w:tcPr>
            <w:tcW w:type="dxa" w:w="8496"/>
          </w:tcPr>
          <w:p>
            <w:pPr>
              <w:spacing w:after="40" w:before="40"/>
            </w:pPr>
            <w:r/>
            <w:r>
              <w:rPr>
                <w:rFonts w:ascii="Calibri" w:hAnsi="Calibri"/>
                <w:b w:val="0"/>
                <w:i w:val="0"/>
                <w:color w:val="22333B"/>
                <w:sz w:val="20"/>
              </w:rPr>
              <w:t>Part 2 — Software validation</w:t>
            </w:r>
          </w:p>
        </w:tc>
      </w:tr>
      <w:tr>
        <w:trPr>
          <w:cantSplit/>
        </w:trPr>
        <w:tc>
          <w:tcPr>
            <w:tcW w:type="dxa" w:w="1296"/>
          </w:tcPr>
          <w:p>
            <w:pPr>
              <w:spacing w:after="40" w:before="40"/>
            </w:pPr>
            <w:r/>
            <w:r>
              <w:rPr>
                <w:rFonts w:ascii="Calibri" w:hAnsi="Calibri"/>
                <w:b/>
                <w:i w:val="0"/>
                <w:color w:val="22333B"/>
                <w:sz w:val="20"/>
              </w:rPr>
              <w:t>1:21</w:t>
            </w:r>
          </w:p>
        </w:tc>
        <w:tc>
          <w:tcPr>
            <w:tcW w:type="dxa" w:w="8496"/>
          </w:tcPr>
          <w:p>
            <w:pPr>
              <w:spacing w:after="40" w:before="40"/>
            </w:pPr>
            <w:r/>
            <w:r>
              <w:rPr>
                <w:rFonts w:ascii="Calibri" w:hAnsi="Calibri"/>
                <w:b/>
                <w:i w:val="0"/>
                <w:color w:val="0E7C7B"/>
                <w:sz w:val="20"/>
              </w:rPr>
              <w:t>Working session 1 — Classify and scope  (12 min)</w:t>
            </w:r>
          </w:p>
        </w:tc>
      </w:tr>
      <w:tr>
        <w:trPr>
          <w:cantSplit/>
        </w:trPr>
        <w:tc>
          <w:tcPr>
            <w:tcW w:type="dxa" w:w="1296"/>
          </w:tcPr>
          <w:p>
            <w:pPr>
              <w:spacing w:after="40" w:before="40"/>
            </w:pPr>
            <w:r/>
            <w:r>
              <w:rPr>
                <w:rFonts w:ascii="Calibri" w:hAnsi="Calibri"/>
                <w:b/>
                <w:i w:val="0"/>
                <w:color w:val="22333B"/>
                <w:sz w:val="20"/>
              </w:rPr>
              <w:t>1:33</w:t>
            </w:r>
          </w:p>
        </w:tc>
        <w:tc>
          <w:tcPr>
            <w:tcW w:type="dxa" w:w="8496"/>
          </w:tcPr>
          <w:p>
            <w:pPr>
              <w:spacing w:after="40" w:before="40"/>
            </w:pPr>
            <w:r/>
            <w:r>
              <w:rPr>
                <w:rFonts w:ascii="Calibri" w:hAnsi="Calibri"/>
                <w:b w:val="0"/>
                <w:i w:val="0"/>
                <w:color w:val="22333B"/>
                <w:sz w:val="20"/>
              </w:rPr>
              <w:t>Part 3 — Cybersecurity</w:t>
            </w:r>
          </w:p>
        </w:tc>
      </w:tr>
      <w:tr>
        <w:trPr>
          <w:cantSplit/>
        </w:trPr>
        <w:tc>
          <w:tcPr>
            <w:tcW w:type="dxa" w:w="1296"/>
          </w:tcPr>
          <w:p>
            <w:pPr>
              <w:spacing w:after="40" w:before="40"/>
            </w:pPr>
            <w:r/>
            <w:r>
              <w:rPr>
                <w:rFonts w:ascii="Calibri" w:hAnsi="Calibri"/>
                <w:b/>
                <w:i w:val="0"/>
                <w:color w:val="22333B"/>
                <w:sz w:val="20"/>
              </w:rPr>
              <w:t>2:17</w:t>
            </w:r>
          </w:p>
        </w:tc>
        <w:tc>
          <w:tcPr>
            <w:tcW w:type="dxa" w:w="8496"/>
          </w:tcPr>
          <w:p>
            <w:pPr>
              <w:spacing w:after="40" w:before="40"/>
            </w:pPr>
            <w:r/>
            <w:r>
              <w:rPr>
                <w:rFonts w:ascii="Calibri" w:hAnsi="Calibri"/>
                <w:b/>
                <w:i w:val="0"/>
                <w:color w:val="0E7C7B"/>
                <w:sz w:val="20"/>
              </w:rPr>
              <w:t>Working session 2 — Tabletop  (15 min)</w:t>
            </w:r>
          </w:p>
        </w:tc>
      </w:tr>
      <w:tr>
        <w:trPr>
          <w:cantSplit/>
        </w:trPr>
        <w:tc>
          <w:tcPr>
            <w:tcW w:type="dxa" w:w="1296"/>
          </w:tcPr>
          <w:p>
            <w:pPr>
              <w:spacing w:after="40" w:before="40"/>
            </w:pPr>
            <w:r/>
            <w:r>
              <w:rPr>
                <w:rFonts w:ascii="Calibri" w:hAnsi="Calibri"/>
                <w:b/>
                <w:i w:val="0"/>
                <w:color w:val="22333B"/>
                <w:sz w:val="20"/>
              </w:rPr>
              <w:t>2:32</w:t>
            </w:r>
          </w:p>
        </w:tc>
        <w:tc>
          <w:tcPr>
            <w:tcW w:type="dxa" w:w="8496"/>
          </w:tcPr>
          <w:p>
            <w:pPr>
              <w:spacing w:after="40" w:before="40"/>
            </w:pPr>
            <w:r/>
            <w:r>
              <w:rPr>
                <w:rFonts w:ascii="Calibri" w:hAnsi="Calibri"/>
                <w:b w:val="0"/>
                <w:i w:val="0"/>
                <w:color w:val="22333B"/>
                <w:sz w:val="20"/>
              </w:rPr>
              <w:t>Part 4 — Making it work</w:t>
            </w:r>
          </w:p>
        </w:tc>
      </w:tr>
      <w:tr>
        <w:trPr>
          <w:cantSplit/>
        </w:trPr>
        <w:tc>
          <w:tcPr>
            <w:tcW w:type="dxa" w:w="1296"/>
          </w:tcPr>
          <w:p>
            <w:pPr>
              <w:spacing w:after="40" w:before="40"/>
            </w:pPr>
            <w:r/>
            <w:r>
              <w:rPr>
                <w:rFonts w:ascii="Calibri" w:hAnsi="Calibri"/>
                <w:b/>
                <w:i w:val="0"/>
                <w:color w:val="22333B"/>
                <w:sz w:val="20"/>
              </w:rPr>
              <w:t>2:45</w:t>
            </w:r>
          </w:p>
        </w:tc>
        <w:tc>
          <w:tcPr>
            <w:tcW w:type="dxa" w:w="8496"/>
          </w:tcPr>
          <w:p>
            <w:pPr>
              <w:spacing w:after="40" w:before="40"/>
            </w:pPr>
            <w:r/>
            <w:r>
              <w:rPr>
                <w:rFonts w:ascii="Calibri" w:hAnsi="Calibri"/>
                <w:b w:val="0"/>
                <w:i w:val="0"/>
                <w:color w:val="22333B"/>
                <w:sz w:val="20"/>
              </w:rPr>
              <w:t>Discussion and questions</w:t>
            </w:r>
          </w:p>
        </w:tc>
      </w:tr>
    </w:tbl>
    <w:p>
      <w:pPr>
        <w:keepNext/>
        <w:spacing w:after="80" w:before="180"/>
      </w:pPr>
      <w:r>
        <w:rPr>
          <w:rFonts w:ascii="Cambria" w:hAnsi="Cambria"/>
          <w:b/>
          <w:color w:val="1B3A4B"/>
          <w:sz w:val="26"/>
        </w:rPr>
        <w:t>What you should be able to do afterwards</w:t>
      </w:r>
    </w:p>
    <w:p>
      <w:pPr>
        <w:spacing w:after="50" w:line="254" w:lineRule="auto"/>
        <w:ind w:left="792" w:hanging="432"/>
      </w:pPr>
      <w:r>
        <w:rPr>
          <w:rFonts w:ascii="Calibri" w:hAnsi="Calibri"/>
          <w:b/>
          <w:color w:val="0E7C7B"/>
          <w:sz w:val="20"/>
        </w:rPr>
        <w:t xml:space="preserve">1.  </w:t>
      </w:r>
      <w:r>
        <w:rPr>
          <w:rFonts w:ascii="Calibri" w:hAnsi="Calibri"/>
          <w:b/>
          <w:color w:val="1B3A4B"/>
          <w:sz w:val="20"/>
        </w:rPr>
        <w:t xml:space="preserve">Classify correctly. </w:t>
      </w:r>
      <w:r>
        <w:rPr>
          <w:rFonts w:ascii="Calibri" w:hAnsi="Calibri"/>
          <w:color w:val="22333B"/>
          <w:sz w:val="20"/>
        </w:rPr>
        <w:t>Decide whether a software function is SaMD, software in a device, or outside the device definition — and assign an IEC 62304 safety class and an FDA documentation level you can defend.</w:t>
      </w:r>
    </w:p>
    <w:p>
      <w:pPr>
        <w:spacing w:after="50" w:line="254" w:lineRule="auto"/>
        <w:ind w:left="792" w:hanging="432"/>
      </w:pPr>
      <w:r>
        <w:rPr>
          <w:rFonts w:ascii="Calibri" w:hAnsi="Calibri"/>
          <w:b/>
          <w:color w:val="0E7C7B"/>
          <w:sz w:val="20"/>
        </w:rPr>
        <w:t xml:space="preserve">2.  </w:t>
      </w:r>
      <w:r>
        <w:rPr>
          <w:rFonts w:ascii="Calibri" w:hAnsi="Calibri"/>
          <w:b/>
          <w:color w:val="1B3A4B"/>
          <w:sz w:val="20"/>
        </w:rPr>
        <w:t xml:space="preserve">Build the evidence. </w:t>
      </w:r>
      <w:r>
        <w:rPr>
          <w:rFonts w:ascii="Calibri" w:hAnsi="Calibri"/>
          <w:color w:val="22333B"/>
          <w:sz w:val="20"/>
        </w:rPr>
        <w:t>Name the validation deliverables a submission and an inspection actually require, and explain what makes each adequate rather than merely present.</w:t>
      </w:r>
    </w:p>
    <w:p>
      <w:pPr>
        <w:spacing w:after="50" w:line="254" w:lineRule="auto"/>
        <w:ind w:left="792" w:hanging="432"/>
      </w:pPr>
      <w:r>
        <w:rPr>
          <w:rFonts w:ascii="Calibri" w:hAnsi="Calibri"/>
          <w:b/>
          <w:color w:val="0E7C7B"/>
          <w:sz w:val="20"/>
        </w:rPr>
        <w:t xml:space="preserve">3.  </w:t>
      </w:r>
      <w:r>
        <w:rPr>
          <w:rFonts w:ascii="Calibri" w:hAnsi="Calibri"/>
          <w:b/>
          <w:color w:val="1B3A4B"/>
          <w:sz w:val="20"/>
        </w:rPr>
        <w:t xml:space="preserve">Run security as engineering. </w:t>
      </w:r>
      <w:r>
        <w:rPr>
          <w:rFonts w:ascii="Calibri" w:hAnsi="Calibri"/>
          <w:color w:val="22333B"/>
          <w:sz w:val="20"/>
        </w:rPr>
        <w:t>Describe the Secure Product Development Framework, run a threat model, and distinguish security risk from safety risk without collapsing one into the other.</w:t>
      </w:r>
    </w:p>
    <w:p>
      <w:pPr>
        <w:spacing w:after="50" w:line="254" w:lineRule="auto"/>
        <w:ind w:left="792" w:hanging="432"/>
      </w:pPr>
      <w:r>
        <w:rPr>
          <w:rFonts w:ascii="Calibri" w:hAnsi="Calibri"/>
          <w:b/>
          <w:color w:val="0E7C7B"/>
          <w:sz w:val="20"/>
        </w:rPr>
        <w:t xml:space="preserve">4.  </w:t>
      </w:r>
      <w:r>
        <w:rPr>
          <w:rFonts w:ascii="Calibri" w:hAnsi="Calibri"/>
          <w:b/>
          <w:color w:val="1B3A4B"/>
          <w:sz w:val="20"/>
        </w:rPr>
        <w:t xml:space="preserve">Meet section 524B. </w:t>
      </w:r>
      <w:r>
        <w:rPr>
          <w:rFonts w:ascii="Calibri" w:hAnsi="Calibri"/>
          <w:color w:val="22333B"/>
          <w:sz w:val="20"/>
        </w:rPr>
        <w:t>State the four statutory cybersecurity obligations for cyber devices and what evidence demonstrates each.</w:t>
      </w:r>
    </w:p>
    <w:p>
      <w:pPr>
        <w:spacing w:after="50" w:line="254" w:lineRule="auto"/>
        <w:ind w:left="792" w:hanging="432"/>
      </w:pPr>
      <w:r>
        <w:rPr>
          <w:rFonts w:ascii="Calibri" w:hAnsi="Calibri"/>
          <w:b/>
          <w:color w:val="0E7C7B"/>
          <w:sz w:val="20"/>
        </w:rPr>
        <w:t xml:space="preserve">5.  </w:t>
      </w:r>
      <w:r>
        <w:rPr>
          <w:rFonts w:ascii="Calibri" w:hAnsi="Calibri"/>
          <w:b/>
          <w:color w:val="1B3A4B"/>
          <w:sz w:val="20"/>
        </w:rPr>
        <w:t xml:space="preserve">Handle a vulnerability. </w:t>
      </w:r>
      <w:r>
        <w:rPr>
          <w:rFonts w:ascii="Calibri" w:hAnsi="Calibri"/>
          <w:color w:val="22333B"/>
          <w:sz w:val="20"/>
        </w:rPr>
        <w:t>Work a postmarket disclosure through triage, controlled-versus-uncontrolled risk, reporting decisions and customer communication.</w:t>
      </w:r>
    </w:p>
    <w:p>
      <w:pPr>
        <w:spacing w:after="50" w:line="254" w:lineRule="auto"/>
        <w:ind w:left="792" w:hanging="432"/>
      </w:pPr>
      <w:r>
        <w:rPr>
          <w:rFonts w:ascii="Calibri" w:hAnsi="Calibri"/>
          <w:b/>
          <w:color w:val="0E7C7B"/>
          <w:sz w:val="20"/>
        </w:rPr>
        <w:t xml:space="preserve">6.  </w:t>
      </w:r>
      <w:r>
        <w:rPr>
          <w:rFonts w:ascii="Calibri" w:hAnsi="Calibri"/>
          <w:b/>
          <w:color w:val="1B3A4B"/>
          <w:sz w:val="20"/>
        </w:rPr>
        <w:t xml:space="preserve">Find your gaps. </w:t>
      </w:r>
      <w:r>
        <w:rPr>
          <w:rFonts w:ascii="Calibri" w:hAnsi="Calibri"/>
          <w:color w:val="22333B"/>
          <w:sz w:val="20"/>
        </w:rPr>
        <w:t>Leave with a prioritised list of what your own programme is missing and a sequence to close it.</w:t>
      </w:r>
    </w:p>
    <w:p>
      <w:pPr>
        <w:keepNext/>
        <w:spacing w:after="80" w:before="180"/>
      </w:pPr>
      <w:r>
        <w:rPr>
          <w:rFonts w:ascii="Cambria" w:hAnsi="Cambria"/>
          <w:b/>
          <w:color w:val="1B3A4B"/>
          <w:sz w:val="26"/>
        </w:rPr>
        <w:t>Three questions to hold in mind throughout</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color w:val="22333B"/>
                <w:sz w:val="19"/>
              </w:rPr>
              <w:t>1.  Which of these obligations already applies to a product we have shipped?</w:t>
            </w:r>
          </w:p>
          <w:p>
            <w:pPr>
              <w:spacing w:after="80"/>
            </w:pPr>
            <w:r>
              <w:rPr>
                <w:rFonts w:ascii="Calibri" w:hAnsi="Calibri"/>
                <w:color w:val="22333B"/>
                <w:sz w:val="19"/>
              </w:rPr>
              <w:t>2.  Who in our organisation owns this — by name, not by function?</w:t>
            </w:r>
          </w:p>
          <w:p>
            <w:pPr>
              <w:spacing w:after="80"/>
            </w:pPr>
            <w:r>
              <w:rPr>
                <w:rFonts w:ascii="Calibri" w:hAnsi="Calibri"/>
                <w:color w:val="22333B"/>
                <w:sz w:val="19"/>
              </w:rPr>
              <w:t>3.  What would we do if this happened on a Friday afternoon?</w:t>
            </w:r>
          </w:p>
        </w:tc>
      </w:tr>
    </w:tbl>
    <w:p>
      <w:pPr>
        <w:spacing w:after="100" w:before="0" w:line="240" w:lineRule="auto"/>
      </w:pPr>
      <w:r>
        <w:rPr>
          <w:sz w:val="2"/>
        </w:rPr>
      </w:r>
    </w:p>
    <w:p>
      <w:pPr>
        <w:pageBreakBefore/>
        <w:spacing w:after="40" w:before="0"/>
      </w:pPr>
      <w:r>
        <w:rPr>
          <w:rFonts w:ascii="Calibri" w:hAnsi="Calibri"/>
          <w:b/>
          <w:color w:val="0E7C7B"/>
          <w:sz w:val="17"/>
          <w:spacing w:val="30"/>
        </w:rPr>
        <w:t>PART ONE</w:t>
      </w:r>
    </w:p>
    <w:p>
      <w:pPr>
        <w:spacing w:after="80" w:before="0"/>
      </w:pPr>
      <w:r>
        <w:rPr>
          <w:rFonts w:ascii="Cambria" w:hAnsi="Cambria"/>
          <w:b/>
          <w:color w:val="1B3A4B"/>
          <w:sz w:val="36"/>
        </w:rPr>
        <w:t>Part 1 — The new operating environment</w:t>
      </w:r>
    </w:p>
    <w:p>
      <w:pPr>
        <w:spacing w:before="120" w:after="160"/>
        <w:pBdr>
          <w:bottom w:val="single" w:sz="6" w:space="1" w:color="D7E2E5"/>
        </w:pBdr>
      </w:pPr>
    </w:p>
    <w:p>
      <w:pPr>
        <w:keepNext/>
        <w:spacing w:after="40" w:before="0"/>
      </w:pPr>
      <w:r>
        <w:rPr>
          <w:rFonts w:ascii="Calibri" w:hAnsi="Calibri"/>
          <w:b/>
          <w:color w:val="0E7C7B"/>
          <w:sz w:val="21"/>
        </w:rPr>
        <w:t>The convergence</w:t>
      </w:r>
    </w:p>
    <w:p>
      <w:pPr>
        <w:spacing w:after="120"/>
      </w:pPr>
      <w:r>
        <w:rPr>
          <w:rFonts w:ascii="Calibri" w:hAnsi="Calibri"/>
          <w:b w:val="0"/>
          <w:i w:val="0"/>
          <w:color w:val="22333B"/>
          <w:sz w:val="20"/>
        </w:rPr>
        <w:t>Three forces are now true at once, for the same product, across a service life measured in years: the device became connected; the software became the device; and the adversary acquired economic motive. None is new alone. The combination is.</w:t>
      </w:r>
    </w:p>
    <w:p>
      <w:pPr>
        <w:keepNext/>
        <w:spacing w:after="40" w:before="140"/>
      </w:pPr>
      <w:r>
        <w:rPr>
          <w:rFonts w:ascii="Calibri" w:hAnsi="Calibri"/>
          <w:b/>
          <w:color w:val="0E7C7B"/>
          <w:sz w:val="21"/>
        </w:rPr>
        <w:t>What changed recently</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440"/>
        <w:gridCol w:w="3311"/>
        <w:gridCol w:w="5040"/>
      </w:tblGrid>
      <w:tr>
        <w:trPr>
          <w:cantSplit/>
        </w:trPr>
        <w:tc>
          <w:tcPr>
            <w:tcW w:type="dxa" w:w="1440"/>
            <w:shd w:val="clear" w:color="auto" w:fill="1B3A4B"/>
          </w:tcPr>
          <w:p>
            <w:pPr>
              <w:spacing w:after="40" w:before="40"/>
            </w:pPr>
            <w:r/>
            <w:r>
              <w:rPr>
                <w:rFonts w:ascii="Calibri" w:hAnsi="Calibri"/>
                <w:b/>
                <w:i w:val="0"/>
                <w:color w:val="FFFFFF"/>
                <w:sz w:val="18"/>
              </w:rPr>
              <w:t>When</w:t>
            </w:r>
          </w:p>
        </w:tc>
        <w:tc>
          <w:tcPr>
            <w:tcW w:type="dxa" w:w="3312"/>
            <w:shd w:val="clear" w:color="auto" w:fill="1B3A4B"/>
          </w:tcPr>
          <w:p>
            <w:pPr>
              <w:spacing w:after="40" w:before="40"/>
            </w:pPr>
            <w:r/>
            <w:r>
              <w:rPr>
                <w:rFonts w:ascii="Calibri" w:hAnsi="Calibri"/>
                <w:b/>
                <w:i w:val="0"/>
                <w:color w:val="FFFFFF"/>
                <w:sz w:val="18"/>
              </w:rPr>
              <w:t>What</w:t>
            </w:r>
          </w:p>
        </w:tc>
        <w:tc>
          <w:tcPr>
            <w:tcW w:type="dxa" w:w="5040"/>
            <w:shd w:val="clear" w:color="auto" w:fill="1B3A4B"/>
          </w:tcPr>
          <w:p>
            <w:pPr>
              <w:spacing w:after="40" w:before="40"/>
            </w:pPr>
            <w:r/>
            <w:r>
              <w:rPr>
                <w:rFonts w:ascii="Calibri" w:hAnsi="Calibri"/>
                <w:b/>
                <w:i w:val="0"/>
                <w:color w:val="FFFFFF"/>
                <w:sz w:val="18"/>
              </w:rPr>
              <w:t>Why it matters</w:t>
            </w:r>
          </w:p>
        </w:tc>
      </w:tr>
      <w:tr>
        <w:trPr>
          <w:cantSplit/>
        </w:trPr>
        <w:tc>
          <w:tcPr>
            <w:tcW w:type="dxa" w:w="1440"/>
          </w:tcPr>
          <w:p>
            <w:pPr>
              <w:spacing w:after="40" w:before="40"/>
            </w:pPr>
            <w:r/>
            <w:r>
              <w:rPr>
                <w:rFonts w:ascii="Calibri" w:hAnsi="Calibri"/>
                <w:b/>
                <w:i w:val="0"/>
                <w:color w:val="22333B"/>
                <w:sz w:val="18"/>
              </w:rPr>
              <w:t>Mar 2023</w:t>
            </w:r>
          </w:p>
        </w:tc>
        <w:tc>
          <w:tcPr>
            <w:tcW w:type="dxa" w:w="3312"/>
          </w:tcPr>
          <w:p>
            <w:pPr>
              <w:spacing w:after="40" w:before="40"/>
            </w:pPr>
            <w:r/>
            <w:r>
              <w:rPr>
                <w:rFonts w:ascii="Calibri" w:hAnsi="Calibri"/>
                <w:b w:val="0"/>
                <w:i w:val="0"/>
                <w:color w:val="22333B"/>
                <w:sz w:val="18"/>
              </w:rPr>
              <w:t>Section 524B added to the FD&amp;C Act</w:t>
            </w:r>
          </w:p>
        </w:tc>
        <w:tc>
          <w:tcPr>
            <w:tcW w:type="dxa" w:w="5040"/>
          </w:tcPr>
          <w:p>
            <w:pPr>
              <w:spacing w:after="40" w:before="40"/>
            </w:pPr>
            <w:r/>
            <w:r>
              <w:rPr>
                <w:rFonts w:ascii="Calibri" w:hAnsi="Calibri"/>
                <w:b/>
                <w:i w:val="0"/>
                <w:color w:val="22333B"/>
                <w:sz w:val="18"/>
              </w:rPr>
              <w:t>Cybersecurity became statutory, not guidance. FDA may refuse to accept a deficient submission.</w:t>
            </w:r>
          </w:p>
        </w:tc>
      </w:tr>
      <w:tr>
        <w:trPr>
          <w:cantSplit/>
        </w:trPr>
        <w:tc>
          <w:tcPr>
            <w:tcW w:type="dxa" w:w="1440"/>
          </w:tcPr>
          <w:p>
            <w:pPr>
              <w:spacing w:after="40" w:before="40"/>
            </w:pPr>
            <w:r/>
            <w:r>
              <w:rPr>
                <w:rFonts w:ascii="Calibri" w:hAnsi="Calibri"/>
                <w:b/>
                <w:i w:val="0"/>
                <w:color w:val="22333B"/>
                <w:sz w:val="18"/>
              </w:rPr>
              <w:t>Jun 2023</w:t>
            </w:r>
          </w:p>
        </w:tc>
        <w:tc>
          <w:tcPr>
            <w:tcW w:type="dxa" w:w="3312"/>
          </w:tcPr>
          <w:p>
            <w:pPr>
              <w:spacing w:after="40" w:before="40"/>
            </w:pPr>
            <w:r/>
            <w:r>
              <w:rPr>
                <w:rFonts w:ascii="Calibri" w:hAnsi="Calibri"/>
                <w:b w:val="0"/>
                <w:i w:val="0"/>
                <w:color w:val="22333B"/>
                <w:sz w:val="18"/>
              </w:rPr>
              <w:t>Premarket software guidance finalised</w:t>
            </w:r>
          </w:p>
        </w:tc>
        <w:tc>
          <w:tcPr>
            <w:tcW w:type="dxa" w:w="5040"/>
          </w:tcPr>
          <w:p>
            <w:pPr>
              <w:spacing w:after="40" w:before="40"/>
            </w:pPr>
            <w:r/>
            <w:r>
              <w:rPr>
                <w:rFonts w:ascii="Calibri" w:hAnsi="Calibri"/>
                <w:b w:val="0"/>
                <w:i w:val="0"/>
                <w:color w:val="22333B"/>
                <w:sz w:val="18"/>
              </w:rPr>
              <w:t>Level of Concern retired; Basic and Enhanced documentation levels introduced.</w:t>
            </w:r>
          </w:p>
        </w:tc>
      </w:tr>
      <w:tr>
        <w:trPr>
          <w:cantSplit/>
        </w:trPr>
        <w:tc>
          <w:tcPr>
            <w:tcW w:type="dxa" w:w="1440"/>
          </w:tcPr>
          <w:p>
            <w:pPr>
              <w:spacing w:after="40" w:before="40"/>
            </w:pPr>
            <w:r/>
            <w:r>
              <w:rPr>
                <w:rFonts w:ascii="Calibri" w:hAnsi="Calibri"/>
                <w:b/>
                <w:i w:val="0"/>
                <w:color w:val="22333B"/>
                <w:sz w:val="18"/>
              </w:rPr>
              <w:t>Jun 2025</w:t>
            </w:r>
          </w:p>
        </w:tc>
        <w:tc>
          <w:tcPr>
            <w:tcW w:type="dxa" w:w="3312"/>
          </w:tcPr>
          <w:p>
            <w:pPr>
              <w:spacing w:after="40" w:before="40"/>
            </w:pPr>
            <w:r/>
            <w:r>
              <w:rPr>
                <w:rFonts w:ascii="Calibri" w:hAnsi="Calibri"/>
                <w:b w:val="0"/>
                <w:i w:val="0"/>
                <w:color w:val="22333B"/>
                <w:sz w:val="18"/>
              </w:rPr>
              <w:t>Premarket cybersecurity guidance reissued, superseding the Sept 2023 edition</w:t>
            </w:r>
          </w:p>
        </w:tc>
        <w:tc>
          <w:tcPr>
            <w:tcW w:type="dxa" w:w="5040"/>
          </w:tcPr>
          <w:p>
            <w:pPr>
              <w:spacing w:after="40" w:before="40"/>
            </w:pPr>
            <w:r/>
            <w:r>
              <w:rPr>
                <w:rFonts w:ascii="Calibri" w:hAnsi="Calibri"/>
                <w:b w:val="0"/>
                <w:i w:val="0"/>
                <w:color w:val="22333B"/>
                <w:sz w:val="18"/>
              </w:rPr>
              <w:t>SPDF, architecture views, SBOM expectations, testing evidence, plus a section addressing s.524B directly.</w:t>
            </w:r>
          </w:p>
        </w:tc>
      </w:tr>
      <w:tr>
        <w:trPr>
          <w:cantSplit/>
        </w:trPr>
        <w:tc>
          <w:tcPr>
            <w:tcW w:type="dxa" w:w="1440"/>
          </w:tcPr>
          <w:p>
            <w:pPr>
              <w:spacing w:after="40" w:before="40"/>
            </w:pPr>
            <w:r/>
            <w:r>
              <w:rPr>
                <w:rFonts w:ascii="Calibri" w:hAnsi="Calibri"/>
                <w:b/>
                <w:i w:val="0"/>
                <w:color w:val="22333B"/>
                <w:sz w:val="18"/>
              </w:rPr>
              <w:t>Dec 2024</w:t>
            </w:r>
          </w:p>
        </w:tc>
        <w:tc>
          <w:tcPr>
            <w:tcW w:type="dxa" w:w="3312"/>
          </w:tcPr>
          <w:p>
            <w:pPr>
              <w:spacing w:after="40" w:before="40"/>
            </w:pPr>
            <w:r/>
            <w:r>
              <w:rPr>
                <w:rFonts w:ascii="Calibri" w:hAnsi="Calibri"/>
                <w:b w:val="0"/>
                <w:i w:val="0"/>
                <w:color w:val="22333B"/>
                <w:sz w:val="18"/>
              </w:rPr>
              <w:t>PCCP guidance finalised for AI-enabled device software functions</w:t>
            </w:r>
          </w:p>
        </w:tc>
        <w:tc>
          <w:tcPr>
            <w:tcW w:type="dxa" w:w="5040"/>
          </w:tcPr>
          <w:p>
            <w:pPr>
              <w:spacing w:after="40" w:before="40"/>
            </w:pPr>
            <w:r/>
            <w:r>
              <w:rPr>
                <w:rFonts w:ascii="Calibri" w:hAnsi="Calibri"/>
                <w:b w:val="0"/>
                <w:i w:val="0"/>
                <w:color w:val="22333B"/>
                <w:sz w:val="18"/>
              </w:rPr>
              <w:t>Pre-authorised change control for software that is expected to change.</w:t>
            </w:r>
          </w:p>
        </w:tc>
      </w:tr>
      <w:tr>
        <w:trPr>
          <w:cantSplit/>
        </w:trPr>
        <w:tc>
          <w:tcPr>
            <w:tcW w:type="dxa" w:w="1440"/>
          </w:tcPr>
          <w:p>
            <w:pPr>
              <w:spacing w:after="40" w:before="40"/>
            </w:pPr>
            <w:r/>
            <w:r>
              <w:rPr>
                <w:rFonts w:ascii="Calibri" w:hAnsi="Calibri"/>
                <w:b/>
                <w:i w:val="0"/>
                <w:color w:val="22333B"/>
                <w:sz w:val="18"/>
              </w:rPr>
              <w:t>Feb 2026</w:t>
            </w:r>
          </w:p>
        </w:tc>
        <w:tc>
          <w:tcPr>
            <w:tcW w:type="dxa" w:w="3312"/>
          </w:tcPr>
          <w:p>
            <w:pPr>
              <w:spacing w:after="40" w:before="40"/>
            </w:pPr>
            <w:r/>
            <w:r>
              <w:rPr>
                <w:rFonts w:ascii="Calibri" w:hAnsi="Calibri"/>
                <w:b w:val="0"/>
                <w:i w:val="0"/>
                <w:color w:val="22333B"/>
                <w:sz w:val="18"/>
              </w:rPr>
              <w:t>QMSR in force; QSIT retired</w:t>
            </w:r>
          </w:p>
        </w:tc>
        <w:tc>
          <w:tcPr>
            <w:tcW w:type="dxa" w:w="5040"/>
          </w:tcPr>
          <w:p>
            <w:pPr>
              <w:spacing w:after="40" w:before="40"/>
            </w:pPr>
            <w:r/>
            <w:r>
              <w:rPr>
                <w:rFonts w:ascii="Calibri" w:hAnsi="Calibri"/>
                <w:b w:val="0"/>
                <w:i w:val="0"/>
                <w:color w:val="22333B"/>
                <w:sz w:val="18"/>
              </w:rPr>
              <w:t>21 CFR 820 incorporates ISO 13485:2016. Substance carries over; your citations change.</w:t>
            </w:r>
          </w:p>
        </w:tc>
      </w:tr>
    </w:tbl>
    <w:p>
      <w:pPr>
        <w:keepNext/>
        <w:spacing w:after="40" w:before="140"/>
      </w:pPr>
      <w:r>
        <w:rPr>
          <w:rFonts w:ascii="Calibri" w:hAnsi="Calibri"/>
          <w:b/>
          <w:color w:val="0E7C7B"/>
          <w:sz w:val="21"/>
        </w:rPr>
        <w:t>Three kinds of risk — three different questions</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1" w:type="dxa"/>
      </w:tblPr>
      <w:tblGrid>
        <w:gridCol w:w="1440"/>
        <w:gridCol w:w="2592"/>
        <w:gridCol w:w="3096"/>
        <w:gridCol w:w="2664"/>
      </w:tblGrid>
      <w:tr>
        <w:trPr>
          <w:cantSplit/>
        </w:trPr>
        <w:tc>
          <w:tcPr>
            <w:tcW w:type="dxa" w:w="1440"/>
            <w:shd w:val="clear" w:color="auto" w:fill="1B3A4B"/>
          </w:tcPr>
          <w:p>
            <w:pPr>
              <w:spacing w:after="40" w:before="40"/>
            </w:pPr>
            <w:r/>
            <w:r>
              <w:rPr>
                <w:rFonts w:ascii="Calibri" w:hAnsi="Calibri"/>
                <w:b/>
                <w:i w:val="0"/>
                <w:color w:val="FFFFFF"/>
                <w:sz w:val="18"/>
              </w:rPr>
            </w:r>
          </w:p>
        </w:tc>
        <w:tc>
          <w:tcPr>
            <w:tcW w:type="dxa" w:w="2592"/>
            <w:shd w:val="clear" w:color="auto" w:fill="1B3A4B"/>
          </w:tcPr>
          <w:p>
            <w:pPr>
              <w:spacing w:after="40" w:before="40"/>
            </w:pPr>
            <w:r/>
            <w:r>
              <w:rPr>
                <w:rFonts w:ascii="Calibri" w:hAnsi="Calibri"/>
                <w:b/>
                <w:i w:val="0"/>
                <w:color w:val="FFFFFF"/>
                <w:sz w:val="18"/>
              </w:rPr>
              <w:t>Safety risk</w:t>
            </w:r>
          </w:p>
        </w:tc>
        <w:tc>
          <w:tcPr>
            <w:tcW w:type="dxa" w:w="3096"/>
            <w:shd w:val="clear" w:color="auto" w:fill="1B3A4B"/>
          </w:tcPr>
          <w:p>
            <w:pPr>
              <w:spacing w:after="40" w:before="40"/>
            </w:pPr>
            <w:r/>
            <w:r>
              <w:rPr>
                <w:rFonts w:ascii="Calibri" w:hAnsi="Calibri"/>
                <w:b/>
                <w:i w:val="0"/>
                <w:color w:val="FFFFFF"/>
                <w:sz w:val="18"/>
              </w:rPr>
              <w:t>Security risk</w:t>
            </w:r>
          </w:p>
        </w:tc>
        <w:tc>
          <w:tcPr>
            <w:tcW w:type="dxa" w:w="2664"/>
            <w:shd w:val="clear" w:color="auto" w:fill="1B3A4B"/>
          </w:tcPr>
          <w:p>
            <w:pPr>
              <w:spacing w:after="40" w:before="40"/>
            </w:pPr>
            <w:r/>
            <w:r>
              <w:rPr>
                <w:rFonts w:ascii="Calibri" w:hAnsi="Calibri"/>
                <w:b/>
                <w:i w:val="0"/>
                <w:color w:val="FFFFFF"/>
                <w:sz w:val="18"/>
              </w:rPr>
              <w:t>Quality / process risk</w:t>
            </w:r>
          </w:p>
        </w:tc>
      </w:tr>
      <w:tr>
        <w:trPr>
          <w:cantSplit/>
        </w:trPr>
        <w:tc>
          <w:tcPr>
            <w:tcW w:type="dxa" w:w="1440"/>
          </w:tcPr>
          <w:p>
            <w:pPr>
              <w:spacing w:after="40" w:before="40"/>
            </w:pPr>
            <w:r/>
            <w:r>
              <w:rPr>
                <w:rFonts w:ascii="Calibri" w:hAnsi="Calibri"/>
                <w:b/>
                <w:i w:val="0"/>
                <w:color w:val="22333B"/>
                <w:sz w:val="18"/>
              </w:rPr>
              <w:t>Standard</w:t>
            </w:r>
          </w:p>
        </w:tc>
        <w:tc>
          <w:tcPr>
            <w:tcW w:type="dxa" w:w="2592"/>
          </w:tcPr>
          <w:p>
            <w:pPr>
              <w:spacing w:after="40" w:before="40"/>
            </w:pPr>
            <w:r/>
            <w:r>
              <w:rPr>
                <w:rFonts w:ascii="Calibri" w:hAnsi="Calibri"/>
                <w:b w:val="0"/>
                <w:i w:val="0"/>
                <w:color w:val="22333B"/>
                <w:sz w:val="18"/>
              </w:rPr>
              <w:t>ISO 14971</w:t>
            </w:r>
          </w:p>
        </w:tc>
        <w:tc>
          <w:tcPr>
            <w:tcW w:type="dxa" w:w="3096"/>
          </w:tcPr>
          <w:p>
            <w:pPr>
              <w:spacing w:after="40" w:before="40"/>
            </w:pPr>
            <w:r/>
            <w:r>
              <w:rPr>
                <w:rFonts w:ascii="Calibri" w:hAnsi="Calibri"/>
                <w:b w:val="0"/>
                <w:i w:val="0"/>
                <w:color w:val="22333B"/>
                <w:sz w:val="18"/>
              </w:rPr>
              <w:t>AAMI SW96, IEC 81001-5-1</w:t>
            </w:r>
          </w:p>
        </w:tc>
        <w:tc>
          <w:tcPr>
            <w:tcW w:type="dxa" w:w="2664"/>
          </w:tcPr>
          <w:p>
            <w:pPr>
              <w:spacing w:after="40" w:before="40"/>
            </w:pPr>
            <w:r/>
            <w:r>
              <w:rPr>
                <w:rFonts w:ascii="Calibri" w:hAnsi="Calibri"/>
                <w:b w:val="0"/>
                <w:i w:val="0"/>
                <w:color w:val="22333B"/>
                <w:sz w:val="18"/>
              </w:rPr>
              <w:t>ISO 13485 / QMSR</w:t>
            </w:r>
          </w:p>
        </w:tc>
      </w:tr>
      <w:tr>
        <w:trPr>
          <w:cantSplit/>
        </w:trPr>
        <w:tc>
          <w:tcPr>
            <w:tcW w:type="dxa" w:w="1440"/>
          </w:tcPr>
          <w:p>
            <w:pPr>
              <w:spacing w:after="40" w:before="40"/>
            </w:pPr>
            <w:r/>
            <w:r>
              <w:rPr>
                <w:rFonts w:ascii="Calibri" w:hAnsi="Calibri"/>
                <w:b/>
                <w:i w:val="0"/>
                <w:color w:val="22333B"/>
                <w:sz w:val="18"/>
              </w:rPr>
              <w:t>Asks</w:t>
            </w:r>
          </w:p>
        </w:tc>
        <w:tc>
          <w:tcPr>
            <w:tcW w:type="dxa" w:w="2592"/>
          </w:tcPr>
          <w:p>
            <w:pPr>
              <w:spacing w:after="40" w:before="40"/>
            </w:pPr>
            <w:r/>
            <w:r>
              <w:rPr>
                <w:rFonts w:ascii="Calibri" w:hAnsi="Calibri"/>
                <w:b w:val="0"/>
                <w:i w:val="0"/>
                <w:color w:val="22333B"/>
                <w:sz w:val="18"/>
              </w:rPr>
              <w:t>Could this device harm a patient?</w:t>
            </w:r>
          </w:p>
        </w:tc>
        <w:tc>
          <w:tcPr>
            <w:tcW w:type="dxa" w:w="3096"/>
          </w:tcPr>
          <w:p>
            <w:pPr>
              <w:spacing w:after="40" w:before="40"/>
            </w:pPr>
            <w:r/>
            <w:r>
              <w:rPr>
                <w:rFonts w:ascii="Calibri" w:hAnsi="Calibri"/>
                <w:b w:val="0"/>
                <w:i w:val="0"/>
                <w:color w:val="22333B"/>
                <w:sz w:val="18"/>
              </w:rPr>
              <w:t>Could someone make it harm a patient, or deny its use?</w:t>
            </w:r>
          </w:p>
        </w:tc>
        <w:tc>
          <w:tcPr>
            <w:tcW w:type="dxa" w:w="2664"/>
          </w:tcPr>
          <w:p>
            <w:pPr>
              <w:spacing w:after="40" w:before="40"/>
            </w:pPr>
            <w:r/>
            <w:r>
              <w:rPr>
                <w:rFonts w:ascii="Calibri" w:hAnsi="Calibri"/>
                <w:b w:val="0"/>
                <w:i w:val="0"/>
                <w:color w:val="22333B"/>
                <w:sz w:val="18"/>
              </w:rPr>
              <w:t>Could our process let a defect through?</w:t>
            </w:r>
          </w:p>
        </w:tc>
      </w:tr>
      <w:tr>
        <w:trPr>
          <w:cantSplit/>
        </w:trPr>
        <w:tc>
          <w:tcPr>
            <w:tcW w:type="dxa" w:w="1440"/>
          </w:tcPr>
          <w:p>
            <w:pPr>
              <w:spacing w:after="40" w:before="40"/>
            </w:pPr>
            <w:r/>
            <w:r>
              <w:rPr>
                <w:rFonts w:ascii="Calibri" w:hAnsi="Calibri"/>
                <w:b/>
                <w:i w:val="0"/>
                <w:color w:val="22333B"/>
                <w:sz w:val="18"/>
              </w:rPr>
              <w:t>Likelihood</w:t>
            </w:r>
          </w:p>
        </w:tc>
        <w:tc>
          <w:tcPr>
            <w:tcW w:type="dxa" w:w="2592"/>
          </w:tcPr>
          <w:p>
            <w:pPr>
              <w:spacing w:after="40" w:before="40"/>
            </w:pPr>
            <w:r/>
            <w:r>
              <w:rPr>
                <w:rFonts w:ascii="Calibri" w:hAnsi="Calibri"/>
                <w:b w:val="0"/>
                <w:i w:val="0"/>
                <w:color w:val="22333B"/>
                <w:sz w:val="18"/>
              </w:rPr>
              <w:t>Probability — estimable</w:t>
            </w:r>
          </w:p>
        </w:tc>
        <w:tc>
          <w:tcPr>
            <w:tcW w:type="dxa" w:w="3096"/>
          </w:tcPr>
          <w:p>
            <w:pPr>
              <w:spacing w:after="40" w:before="40"/>
            </w:pPr>
            <w:r/>
            <w:r>
              <w:rPr>
                <w:rFonts w:ascii="Calibri" w:hAnsi="Calibri"/>
                <w:b/>
                <w:i w:val="0"/>
                <w:color w:val="A83A3C"/>
                <w:sz w:val="18"/>
              </w:rPr>
              <w:t>Exploitability — not a frequency</w:t>
            </w:r>
          </w:p>
        </w:tc>
        <w:tc>
          <w:tcPr>
            <w:tcW w:type="dxa" w:w="2664"/>
          </w:tcPr>
          <w:p>
            <w:pPr>
              <w:spacing w:after="40" w:before="40"/>
            </w:pPr>
            <w:r/>
            <w:r>
              <w:rPr>
                <w:rFonts w:ascii="Calibri" w:hAnsi="Calibri"/>
                <w:b w:val="0"/>
                <w:i w:val="0"/>
                <w:color w:val="22333B"/>
                <w:sz w:val="18"/>
              </w:rPr>
              <w:t>Process capability</w:t>
            </w:r>
          </w:p>
        </w:tc>
      </w:tr>
    </w:tbl>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The bridge you must not leave unbuilt</w:t>
            </w:r>
          </w:p>
          <w:p>
            <w:pPr>
              <w:spacing w:after="80"/>
            </w:pPr>
            <w:r>
              <w:rPr>
                <w:rFonts w:ascii="Calibri" w:hAnsi="Calibri"/>
                <w:color w:val="22333B"/>
                <w:sz w:val="19"/>
              </w:rPr>
              <w:t>Security risk and safety risk use different methods and cannot be merged into one matrix. But when a security analysis identifies an exploit path that could lead to patient harm, that harm becomes a hazardous situation in your ISO 14971 risk management file. Two processes; one interface point. Threat models that never reach the risk file are an auditable gap.</w:t>
            </w:r>
          </w:p>
        </w:tc>
      </w:tr>
    </w:tbl>
    <w:p>
      <w:pPr>
        <w:spacing w:after="100" w:before="0" w:line="240" w:lineRule="auto"/>
      </w:pPr>
      <w:r>
        <w:rPr>
          <w:sz w:val="2"/>
        </w:rPr>
      </w:r>
    </w:p>
    <w:p>
      <w:pPr>
        <w:keepNext/>
        <w:spacing w:after="60"/>
      </w:pPr>
      <w:r>
        <w:rPr>
          <w:rFonts w:ascii="Calibri" w:hAnsi="Calibri"/>
          <w:b w:val="0"/>
          <w:i/>
          <w:color w:val="4E626D"/>
          <w:sz w:val="18"/>
        </w:rPr>
        <w:t>Notes — what applies to my product:</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0E7C7B"/>
          <w:sz w:val="17"/>
          <w:spacing w:val="30"/>
        </w:rPr>
        <w:t>PART TWO</w:t>
      </w:r>
    </w:p>
    <w:p>
      <w:pPr>
        <w:spacing w:after="80" w:before="0"/>
      </w:pPr>
      <w:r>
        <w:rPr>
          <w:rFonts w:ascii="Cambria" w:hAnsi="Cambria"/>
          <w:b/>
          <w:color w:val="1B3A4B"/>
          <w:sz w:val="36"/>
        </w:rPr>
        <w:t>Part 2 — Software validation</w:t>
      </w:r>
    </w:p>
    <w:p>
      <w:pPr>
        <w:spacing w:before="120" w:after="160"/>
        <w:pBdr>
          <w:bottom w:val="single" w:sz="6" w:space="1" w:color="D7E2E5"/>
        </w:pBdr>
      </w:pPr>
    </w:p>
    <w:p>
      <w:pPr>
        <w:keepNext/>
        <w:spacing w:after="40" w:before="0"/>
      </w:pPr>
      <w:r>
        <w:rPr>
          <w:rFonts w:ascii="Calibri" w:hAnsi="Calibri"/>
          <w:b/>
          <w:color w:val="0E7C7B"/>
          <w:sz w:val="21"/>
        </w:rPr>
        <w:t>Verification, validation, assurance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872"/>
        <w:gridCol w:w="4176"/>
        <w:gridCol w:w="3744"/>
      </w:tblGrid>
      <w:tr>
        <w:trPr>
          <w:cantSplit/>
        </w:trPr>
        <w:tc>
          <w:tcPr>
            <w:tcW w:type="dxa" w:w="1872"/>
            <w:shd w:val="clear" w:color="auto" w:fill="1B3A4B"/>
          </w:tcPr>
          <w:p>
            <w:pPr>
              <w:spacing w:after="40" w:before="40"/>
            </w:pPr>
            <w:r/>
            <w:r>
              <w:rPr>
                <w:rFonts w:ascii="Calibri" w:hAnsi="Calibri"/>
                <w:b/>
                <w:i w:val="0"/>
                <w:color w:val="FFFFFF"/>
                <w:sz w:val="19"/>
              </w:rPr>
              <w:t>Term</w:t>
            </w:r>
          </w:p>
        </w:tc>
        <w:tc>
          <w:tcPr>
            <w:tcW w:type="dxa" w:w="4176"/>
            <w:shd w:val="clear" w:color="auto" w:fill="1B3A4B"/>
          </w:tcPr>
          <w:p>
            <w:pPr>
              <w:spacing w:after="40" w:before="40"/>
            </w:pPr>
            <w:r/>
            <w:r>
              <w:rPr>
                <w:rFonts w:ascii="Calibri" w:hAnsi="Calibri"/>
                <w:b/>
                <w:i w:val="0"/>
                <w:color w:val="FFFFFF"/>
                <w:sz w:val="19"/>
              </w:rPr>
              <w:t>The question</w:t>
            </w:r>
          </w:p>
        </w:tc>
        <w:tc>
          <w:tcPr>
            <w:tcW w:type="dxa" w:w="3744"/>
            <w:shd w:val="clear" w:color="auto" w:fill="1B3A4B"/>
          </w:tcPr>
          <w:p>
            <w:pPr>
              <w:spacing w:after="40" w:before="40"/>
            </w:pPr>
            <w:r/>
            <w:r>
              <w:rPr>
                <w:rFonts w:ascii="Calibri" w:hAnsi="Calibri"/>
                <w:b/>
                <w:i w:val="0"/>
                <w:color w:val="FFFFFF"/>
                <w:sz w:val="19"/>
              </w:rPr>
              <w:t>Compares against</w:t>
            </w:r>
          </w:p>
        </w:tc>
      </w:tr>
      <w:tr>
        <w:trPr>
          <w:cantSplit/>
        </w:trPr>
        <w:tc>
          <w:tcPr>
            <w:tcW w:type="dxa" w:w="1872"/>
          </w:tcPr>
          <w:p>
            <w:pPr>
              <w:spacing w:after="40" w:before="40"/>
            </w:pPr>
            <w:r/>
            <w:r>
              <w:rPr>
                <w:rFonts w:ascii="Calibri" w:hAnsi="Calibri"/>
                <w:b/>
                <w:i w:val="0"/>
                <w:color w:val="22333B"/>
                <w:sz w:val="19"/>
              </w:rPr>
              <w:t>Verification</w:t>
            </w:r>
          </w:p>
        </w:tc>
        <w:tc>
          <w:tcPr>
            <w:tcW w:type="dxa" w:w="4176"/>
          </w:tcPr>
          <w:p>
            <w:pPr>
              <w:spacing w:after="40" w:before="40"/>
            </w:pPr>
            <w:r/>
            <w:r>
              <w:rPr>
                <w:rFonts w:ascii="Calibri" w:hAnsi="Calibri"/>
                <w:b w:val="0"/>
                <w:i w:val="0"/>
                <w:color w:val="22333B"/>
                <w:sz w:val="19"/>
              </w:rPr>
              <w:t>Did we build the thing right?</w:t>
            </w:r>
          </w:p>
        </w:tc>
        <w:tc>
          <w:tcPr>
            <w:tcW w:type="dxa" w:w="3744"/>
          </w:tcPr>
          <w:p>
            <w:pPr>
              <w:spacing w:after="40" w:before="40"/>
            </w:pPr>
            <w:r/>
            <w:r>
              <w:rPr>
                <w:rFonts w:ascii="Calibri" w:hAnsi="Calibri"/>
                <w:b w:val="0"/>
                <w:i w:val="0"/>
                <w:color w:val="22333B"/>
                <w:sz w:val="19"/>
              </w:rPr>
              <w:t>Your own specification</w:t>
            </w:r>
          </w:p>
        </w:tc>
      </w:tr>
      <w:tr>
        <w:trPr>
          <w:cantSplit/>
        </w:trPr>
        <w:tc>
          <w:tcPr>
            <w:tcW w:type="dxa" w:w="1872"/>
          </w:tcPr>
          <w:p>
            <w:pPr>
              <w:spacing w:after="40" w:before="40"/>
            </w:pPr>
            <w:r/>
            <w:r>
              <w:rPr>
                <w:rFonts w:ascii="Calibri" w:hAnsi="Calibri"/>
                <w:b/>
                <w:i w:val="0"/>
                <w:color w:val="22333B"/>
                <w:sz w:val="19"/>
              </w:rPr>
              <w:t>Validation</w:t>
            </w:r>
          </w:p>
        </w:tc>
        <w:tc>
          <w:tcPr>
            <w:tcW w:type="dxa" w:w="4176"/>
          </w:tcPr>
          <w:p>
            <w:pPr>
              <w:spacing w:after="40" w:before="40"/>
            </w:pPr>
            <w:r/>
            <w:r>
              <w:rPr>
                <w:rFonts w:ascii="Calibri" w:hAnsi="Calibri"/>
                <w:b w:val="0"/>
                <w:i w:val="0"/>
                <w:color w:val="22333B"/>
                <w:sz w:val="19"/>
              </w:rPr>
              <w:t>Did we build the right thing?</w:t>
            </w:r>
          </w:p>
        </w:tc>
        <w:tc>
          <w:tcPr>
            <w:tcW w:type="dxa" w:w="3744"/>
          </w:tcPr>
          <w:p>
            <w:pPr>
              <w:spacing w:after="40" w:before="40"/>
            </w:pPr>
            <w:r/>
            <w:r>
              <w:rPr>
                <w:rFonts w:ascii="Calibri" w:hAnsi="Calibri"/>
                <w:b w:val="0"/>
                <w:i w:val="0"/>
                <w:color w:val="22333B"/>
                <w:sz w:val="19"/>
              </w:rPr>
              <w:t>User needs and clinical reality</w:t>
            </w:r>
          </w:p>
        </w:tc>
      </w:tr>
      <w:tr>
        <w:trPr>
          <w:cantSplit/>
        </w:trPr>
        <w:tc>
          <w:tcPr>
            <w:tcW w:type="dxa" w:w="1872"/>
          </w:tcPr>
          <w:p>
            <w:pPr>
              <w:spacing w:after="40" w:before="40"/>
            </w:pPr>
            <w:r/>
            <w:r>
              <w:rPr>
                <w:rFonts w:ascii="Calibri" w:hAnsi="Calibri"/>
                <w:b/>
                <w:i w:val="0"/>
                <w:color w:val="22333B"/>
                <w:sz w:val="19"/>
              </w:rPr>
              <w:t>Assurance</w:t>
            </w:r>
          </w:p>
        </w:tc>
        <w:tc>
          <w:tcPr>
            <w:tcW w:type="dxa" w:w="4176"/>
          </w:tcPr>
          <w:p>
            <w:pPr>
              <w:spacing w:after="40" w:before="40"/>
            </w:pPr>
            <w:r/>
            <w:r>
              <w:rPr>
                <w:rFonts w:ascii="Calibri" w:hAnsi="Calibri"/>
                <w:b w:val="0"/>
                <w:i w:val="0"/>
                <w:color w:val="22333B"/>
                <w:sz w:val="19"/>
              </w:rPr>
              <w:t>How much evidence is enough?</w:t>
            </w:r>
          </w:p>
        </w:tc>
        <w:tc>
          <w:tcPr>
            <w:tcW w:type="dxa" w:w="3744"/>
          </w:tcPr>
          <w:p>
            <w:pPr>
              <w:spacing w:after="40" w:before="40"/>
            </w:pPr>
            <w:r/>
            <w:r>
              <w:rPr>
                <w:rFonts w:ascii="Calibri" w:hAnsi="Calibri"/>
                <w:b w:val="0"/>
                <w:i w:val="0"/>
                <w:color w:val="22333B"/>
                <w:sz w:val="19"/>
              </w:rPr>
              <w:t>Risk — what failure would cost</w:t>
            </w:r>
          </w:p>
        </w:tc>
      </w:tr>
    </w:tbl>
    <w:p>
      <w:pPr>
        <w:spacing w:after="120"/>
      </w:pPr>
      <w:r>
        <w:rPr>
          <w:rFonts w:ascii="Calibri" w:hAnsi="Calibri"/>
          <w:b w:val="0"/>
          <w:i/>
          <w:color w:val="1B3A4B"/>
          <w:sz w:val="20"/>
        </w:rPr>
        <w:t>A test suite with 100% pass and 100% coverage verifies a great deal and validates nothing, if the requirements it traces to were wrong.</w:t>
      </w:r>
    </w:p>
    <w:p>
      <w:pPr>
        <w:keepNext/>
        <w:spacing w:after="40" w:before="140"/>
      </w:pPr>
      <w:r>
        <w:rPr>
          <w:rFonts w:ascii="Calibri" w:hAnsi="Calibri"/>
          <w:b/>
          <w:color w:val="0E7C7B"/>
          <w:sz w:val="21"/>
        </w:rPr>
        <w:t>Validation is three different jobs</w:t>
      </w:r>
    </w:p>
    <w:p>
      <w:pPr>
        <w:pStyle w:val="ListBullet"/>
        <w:spacing w:after="50" w:line="254" w:lineRule="auto"/>
        <w:ind w:left="576"/>
      </w:pPr>
      <w:r>
        <w:rPr>
          <w:rFonts w:ascii="Calibri" w:hAnsi="Calibri"/>
          <w:b/>
          <w:color w:val="1B3A4B"/>
          <w:sz w:val="20"/>
        </w:rPr>
        <w:t xml:space="preserve">Device software: </w:t>
      </w:r>
      <w:r>
        <w:rPr>
          <w:rFonts w:ascii="Calibri" w:hAnsi="Calibri"/>
          <w:color w:val="22333B"/>
          <w:sz w:val="20"/>
        </w:rPr>
        <w:t>the software you ship — SaMD, firmware, companion apps, and the cloud services the device depends on to perform its medical function. Design controls and IEC 62304 apply.</w:t>
      </w:r>
    </w:p>
    <w:p>
      <w:pPr>
        <w:pStyle w:val="ListBullet"/>
        <w:spacing w:after="50" w:line="254" w:lineRule="auto"/>
        <w:ind w:left="576"/>
      </w:pPr>
      <w:r>
        <w:rPr>
          <w:rFonts w:ascii="Calibri" w:hAnsi="Calibri"/>
          <w:b/>
          <w:color w:val="1B3A4B"/>
          <w:sz w:val="20"/>
        </w:rPr>
        <w:t xml:space="preserve">Production and quality management system software: </w:t>
      </w:r>
      <w:r>
        <w:rPr>
          <w:rFonts w:ascii="Calibri" w:hAnsi="Calibri"/>
          <w:color w:val="22333B"/>
          <w:sz w:val="20"/>
        </w:rPr>
        <w:t>MES, test rigs, eQMS, calibration tools, spreadsheets used for release decisions. Validated for intended use; FDA's 2025 Computer Software Assurance guidance applies here.</w:t>
      </w:r>
    </w:p>
    <w:p>
      <w:pPr>
        <w:pStyle w:val="ListBullet"/>
        <w:spacing w:after="50" w:line="254" w:lineRule="auto"/>
        <w:ind w:left="576"/>
      </w:pPr>
      <w:r>
        <w:rPr>
          <w:rFonts w:ascii="Calibri" w:hAnsi="Calibri"/>
          <w:b/>
          <w:color w:val="1B3A4B"/>
          <w:sz w:val="20"/>
        </w:rPr>
        <w:t xml:space="preserve">Infrastructure and tooling: </w:t>
      </w:r>
      <w:r>
        <w:rPr>
          <w:rFonts w:ascii="Calibri" w:hAnsi="Calibri"/>
          <w:color w:val="22333B"/>
          <w:sz w:val="20"/>
        </w:rPr>
        <w:t>compilers, build pipelines, source control, containers, hosting. Controlled proportionately to what the tool can silently break.</w:t>
      </w:r>
    </w:p>
    <w:p>
      <w:pPr>
        <w:keepNext/>
        <w:spacing w:after="40" w:before="140"/>
      </w:pPr>
      <w:r>
        <w:rPr>
          <w:rFonts w:ascii="Calibri" w:hAnsi="Calibri"/>
          <w:b/>
          <w:color w:val="0E7C7B"/>
          <w:sz w:val="21"/>
        </w:rPr>
        <w:t>IEC 62304 safety classes</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007"/>
        <w:gridCol w:w="4320"/>
        <w:gridCol w:w="4464"/>
      </w:tblGrid>
      <w:tr>
        <w:trPr>
          <w:cantSplit/>
        </w:trPr>
        <w:tc>
          <w:tcPr>
            <w:tcW w:type="dxa" w:w="1008"/>
            <w:shd w:val="clear" w:color="auto" w:fill="1B3A4B"/>
          </w:tcPr>
          <w:p>
            <w:pPr>
              <w:spacing w:after="40" w:before="40"/>
            </w:pPr>
            <w:r/>
            <w:r>
              <w:rPr>
                <w:rFonts w:ascii="Calibri" w:hAnsi="Calibri"/>
                <w:b/>
                <w:i w:val="0"/>
                <w:color w:val="FFFFFF"/>
                <w:sz w:val="19"/>
              </w:rPr>
              <w:t>Class</w:t>
            </w:r>
          </w:p>
        </w:tc>
        <w:tc>
          <w:tcPr>
            <w:tcW w:type="dxa" w:w="4320"/>
            <w:shd w:val="clear" w:color="auto" w:fill="1B3A4B"/>
          </w:tcPr>
          <w:p>
            <w:pPr>
              <w:spacing w:after="40" w:before="40"/>
            </w:pPr>
            <w:r/>
            <w:r>
              <w:rPr>
                <w:rFonts w:ascii="Calibri" w:hAnsi="Calibri"/>
                <w:b/>
                <w:i w:val="0"/>
                <w:color w:val="FFFFFF"/>
                <w:sz w:val="19"/>
              </w:rPr>
              <w:t>The software can contribute to</w:t>
            </w:r>
          </w:p>
        </w:tc>
        <w:tc>
          <w:tcPr>
            <w:tcW w:type="dxa" w:w="4464"/>
            <w:shd w:val="clear" w:color="auto" w:fill="1B3A4B"/>
          </w:tcPr>
          <w:p>
            <w:pPr>
              <w:spacing w:after="40" w:before="40"/>
            </w:pPr>
            <w:r/>
            <w:r>
              <w:rPr>
                <w:rFonts w:ascii="Calibri" w:hAnsi="Calibri"/>
                <w:b/>
                <w:i w:val="0"/>
                <w:color w:val="FFFFFF"/>
                <w:sz w:val="19"/>
              </w:rPr>
              <w:t>Adds</w:t>
            </w:r>
          </w:p>
        </w:tc>
      </w:tr>
      <w:tr>
        <w:trPr>
          <w:cantSplit/>
        </w:trPr>
        <w:tc>
          <w:tcPr>
            <w:tcW w:type="dxa" w:w="1008"/>
          </w:tcPr>
          <w:p>
            <w:pPr>
              <w:spacing w:after="40" w:before="40"/>
            </w:pPr>
            <w:r/>
            <w:r>
              <w:rPr>
                <w:rFonts w:ascii="Calibri" w:hAnsi="Calibri"/>
                <w:b/>
                <w:i w:val="0"/>
                <w:color w:val="0E7C7B"/>
                <w:sz w:val="19"/>
              </w:rPr>
              <w:t>A</w:t>
            </w:r>
          </w:p>
        </w:tc>
        <w:tc>
          <w:tcPr>
            <w:tcW w:type="dxa" w:w="4320"/>
          </w:tcPr>
          <w:p>
            <w:pPr>
              <w:spacing w:after="40" w:before="40"/>
            </w:pPr>
            <w:r/>
            <w:r>
              <w:rPr>
                <w:rFonts w:ascii="Calibri" w:hAnsi="Calibri"/>
                <w:b w:val="0"/>
                <w:i w:val="0"/>
                <w:color w:val="22333B"/>
                <w:sz w:val="19"/>
              </w:rPr>
              <w:t>No injury or damage to health</w:t>
            </w:r>
          </w:p>
        </w:tc>
        <w:tc>
          <w:tcPr>
            <w:tcW w:type="dxa" w:w="4464"/>
          </w:tcPr>
          <w:p>
            <w:pPr>
              <w:spacing w:after="40" w:before="40"/>
            </w:pPr>
            <w:r/>
            <w:r>
              <w:rPr>
                <w:rFonts w:ascii="Calibri" w:hAnsi="Calibri"/>
                <w:b w:val="0"/>
                <w:i w:val="0"/>
                <w:color w:val="22333B"/>
                <w:sz w:val="19"/>
              </w:rPr>
              <w:t>Planning, requirements, system test, release</w:t>
            </w:r>
          </w:p>
        </w:tc>
      </w:tr>
      <w:tr>
        <w:trPr>
          <w:cantSplit/>
        </w:trPr>
        <w:tc>
          <w:tcPr>
            <w:tcW w:type="dxa" w:w="1008"/>
          </w:tcPr>
          <w:p>
            <w:pPr>
              <w:spacing w:after="40" w:before="40"/>
            </w:pPr>
            <w:r/>
            <w:r>
              <w:rPr>
                <w:rFonts w:ascii="Calibri" w:hAnsi="Calibri"/>
                <w:b/>
                <w:i w:val="0"/>
                <w:color w:val="C77C1E"/>
                <w:sz w:val="19"/>
              </w:rPr>
              <w:t>B</w:t>
            </w:r>
          </w:p>
        </w:tc>
        <w:tc>
          <w:tcPr>
            <w:tcW w:type="dxa" w:w="4320"/>
          </w:tcPr>
          <w:p>
            <w:pPr>
              <w:spacing w:after="40" w:before="40"/>
            </w:pPr>
            <w:r/>
            <w:r>
              <w:rPr>
                <w:rFonts w:ascii="Calibri" w:hAnsi="Calibri"/>
                <w:b w:val="0"/>
                <w:i w:val="0"/>
                <w:color w:val="22333B"/>
                <w:sz w:val="19"/>
              </w:rPr>
              <w:t>Non-serious injury</w:t>
            </w:r>
          </w:p>
        </w:tc>
        <w:tc>
          <w:tcPr>
            <w:tcW w:type="dxa" w:w="4464"/>
          </w:tcPr>
          <w:p>
            <w:pPr>
              <w:spacing w:after="40" w:before="40"/>
            </w:pPr>
            <w:r/>
            <w:r>
              <w:rPr>
                <w:rFonts w:ascii="Calibri" w:hAnsi="Calibri"/>
                <w:b w:val="0"/>
                <w:i w:val="0"/>
                <w:color w:val="22333B"/>
                <w:sz w:val="19"/>
              </w:rPr>
              <w:t>Architectural design, integration testing, unit verification</w:t>
            </w:r>
          </w:p>
        </w:tc>
      </w:tr>
      <w:tr>
        <w:trPr>
          <w:cantSplit/>
        </w:trPr>
        <w:tc>
          <w:tcPr>
            <w:tcW w:type="dxa" w:w="1008"/>
          </w:tcPr>
          <w:p>
            <w:pPr>
              <w:spacing w:after="40" w:before="40"/>
            </w:pPr>
            <w:r/>
            <w:r>
              <w:rPr>
                <w:rFonts w:ascii="Calibri" w:hAnsi="Calibri"/>
                <w:b/>
                <w:i w:val="0"/>
                <w:color w:val="A83A3C"/>
                <w:sz w:val="19"/>
              </w:rPr>
              <w:t>C</w:t>
            </w:r>
          </w:p>
        </w:tc>
        <w:tc>
          <w:tcPr>
            <w:tcW w:type="dxa" w:w="4320"/>
          </w:tcPr>
          <w:p>
            <w:pPr>
              <w:spacing w:after="40" w:before="40"/>
            </w:pPr>
            <w:r/>
            <w:r>
              <w:rPr>
                <w:rFonts w:ascii="Calibri" w:hAnsi="Calibri"/>
                <w:b w:val="0"/>
                <w:i w:val="0"/>
                <w:color w:val="22333B"/>
                <w:sz w:val="19"/>
              </w:rPr>
              <w:t>Death or serious injury</w:t>
            </w:r>
          </w:p>
        </w:tc>
        <w:tc>
          <w:tcPr>
            <w:tcW w:type="dxa" w:w="4464"/>
          </w:tcPr>
          <w:p>
            <w:pPr>
              <w:spacing w:after="40" w:before="40"/>
            </w:pPr>
            <w:r/>
            <w:r>
              <w:rPr>
                <w:rFonts w:ascii="Calibri" w:hAnsi="Calibri"/>
                <w:b w:val="0"/>
                <w:i w:val="0"/>
                <w:color w:val="22333B"/>
                <w:sz w:val="19"/>
              </w:rPr>
              <w:t>Detailed design to unit level, fullest verification</w:t>
            </w:r>
          </w:p>
        </w:tc>
      </w:tr>
    </w:tbl>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0"/>
              </w:rPr>
              <w:t>Two traps worth naming</w:t>
            </w:r>
          </w:p>
          <w:p>
            <w:pPr>
              <w:spacing w:after="80"/>
            </w:pPr>
            <w:r>
              <w:rPr>
                <w:rFonts w:ascii="Calibri" w:hAnsi="Calibri"/>
                <w:color w:val="22333B"/>
                <w:sz w:val="19"/>
              </w:rPr>
              <w:t>Classify BEFORE risk controls, on what the software could contribute to absent external risk control measures. Crediting your own mitigations to argue a lower class is circular — and it is exactly what an auditor probes.</w:t>
            </w:r>
          </w:p>
          <w:p>
            <w:pPr>
              <w:spacing w:after="80"/>
            </w:pPr>
            <w:r>
              <w:rPr>
                <w:rFonts w:ascii="Calibri" w:hAnsi="Calibri"/>
                <w:color w:val="22333B"/>
                <w:sz w:val="19"/>
              </w:rPr>
              <w:t>Segregation must be real. Lower-class processes for lower-class items are legitimate only where the architecture genuinely prevents interference. Separate modules in one binary sharing memory is not segregation, and if the claim fails everything you scoped down is under-documented.</w:t>
            </w:r>
          </w:p>
        </w:tc>
      </w:tr>
    </w:tbl>
    <w:p>
      <w:pPr>
        <w:spacing w:after="100" w:before="0" w:line="240" w:lineRule="auto"/>
      </w:pPr>
      <w:r>
        <w:rPr>
          <w:sz w:val="2"/>
        </w:rPr>
      </w:r>
    </w:p>
    <w:p>
      <w:pPr>
        <w:keepNext/>
        <w:spacing w:after="40" w:before="140"/>
      </w:pPr>
      <w:r>
        <w:rPr>
          <w:rFonts w:ascii="Calibri" w:hAnsi="Calibri"/>
          <w:b/>
          <w:color w:val="0E7C7B"/>
          <w:sz w:val="21"/>
        </w:rPr>
        <w:t>Requirements — the root cause of most failures</w:t>
      </w:r>
    </w:p>
    <w:p>
      <w:pPr>
        <w:spacing w:after="100"/>
      </w:pPr>
      <w:r>
        <w:rPr>
          <w:rFonts w:ascii="Calibri" w:hAnsi="Calibri"/>
          <w:b w:val="0"/>
          <w:i/>
          <w:color w:val="1B3A4B"/>
          <w:sz w:val="20"/>
        </w:rPr>
        <w:t>Test: could two competent engineers, working independently from this requirement, build things that both pass and behave differently in a clinical setting? If yes, it is not a requirement yet.</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744"/>
        <w:gridCol w:w="6048"/>
      </w:tblGrid>
      <w:tr>
        <w:trPr>
          <w:cantSplit/>
        </w:trPr>
        <w:tc>
          <w:tcPr>
            <w:tcW w:type="dxa" w:w="3744"/>
            <w:shd w:val="clear" w:color="auto" w:fill="1B3A4B"/>
          </w:tcPr>
          <w:p>
            <w:pPr>
              <w:spacing w:after="40" w:before="40"/>
            </w:pPr>
            <w:r/>
            <w:r>
              <w:rPr>
                <w:rFonts w:ascii="Calibri" w:hAnsi="Calibri"/>
                <w:b/>
                <w:i w:val="0"/>
                <w:color w:val="FFFFFF"/>
                <w:sz w:val="18"/>
              </w:rPr>
              <w:t>Weak</w:t>
            </w:r>
          </w:p>
        </w:tc>
        <w:tc>
          <w:tcPr>
            <w:tcW w:type="dxa" w:w="6048"/>
            <w:shd w:val="clear" w:color="auto" w:fill="1B3A4B"/>
          </w:tcPr>
          <w:p>
            <w:pPr>
              <w:spacing w:after="40" w:before="40"/>
            </w:pPr>
            <w:r/>
            <w:r>
              <w:rPr>
                <w:rFonts w:ascii="Calibri" w:hAnsi="Calibri"/>
                <w:b/>
                <w:i w:val="0"/>
                <w:color w:val="FFFFFF"/>
                <w:sz w:val="18"/>
              </w:rPr>
              <w:t>Stronger</w:t>
            </w:r>
          </w:p>
        </w:tc>
      </w:tr>
      <w:tr>
        <w:trPr>
          <w:cantSplit/>
        </w:trPr>
        <w:tc>
          <w:tcPr>
            <w:tcW w:type="dxa" w:w="3744"/>
            <w:shd w:val="clear" w:color="auto" w:fill="FBEDED"/>
          </w:tcPr>
          <w:p>
            <w:pPr>
              <w:spacing w:after="40" w:before="40"/>
            </w:pPr>
            <w:r/>
            <w:r>
              <w:rPr>
                <w:rFonts w:ascii="Calibri" w:hAnsi="Calibri"/>
                <w:b w:val="0"/>
                <w:i/>
                <w:color w:val="22333B"/>
                <w:sz w:val="18"/>
              </w:rPr>
              <w:t>“The system shall alert the clinician promptly.”</w:t>
            </w:r>
          </w:p>
        </w:tc>
        <w:tc>
          <w:tcPr>
            <w:tcW w:type="dxa" w:w="6048"/>
            <w:shd w:val="clear" w:color="auto" w:fill="EAF3F2"/>
          </w:tcPr>
          <w:p>
            <w:pPr>
              <w:spacing w:after="40" w:before="40"/>
            </w:pPr>
            <w:r/>
            <w:r>
              <w:rPr>
                <w:rFonts w:ascii="Calibri" w:hAnsi="Calibri"/>
                <w:b w:val="0"/>
                <w:i w:val="0"/>
                <w:color w:val="22333B"/>
                <w:sz w:val="18"/>
              </w:rPr>
              <w:t>“On detection, the system shall present a visual and audible alert at the clinician workstation within 10 seconds, and shall escalate to the paging interface if unacknowledged within 60 seconds.”</w:t>
            </w:r>
          </w:p>
        </w:tc>
      </w:tr>
      <w:tr>
        <w:trPr>
          <w:cantSplit/>
        </w:trPr>
        <w:tc>
          <w:tcPr>
            <w:tcW w:type="dxa" w:w="3744"/>
            <w:shd w:val="clear" w:color="auto" w:fill="FBEDED"/>
          </w:tcPr>
          <w:p>
            <w:pPr>
              <w:spacing w:after="40" w:before="40"/>
            </w:pPr>
            <w:r/>
            <w:r>
              <w:rPr>
                <w:rFonts w:ascii="Calibri" w:hAnsi="Calibri"/>
                <w:b w:val="0"/>
                <w:i/>
                <w:color w:val="22333B"/>
                <w:sz w:val="18"/>
              </w:rPr>
              <w:t>“Patient data shall be transmitted securely.”</w:t>
            </w:r>
          </w:p>
        </w:tc>
        <w:tc>
          <w:tcPr>
            <w:tcW w:type="dxa" w:w="6048"/>
            <w:shd w:val="clear" w:color="auto" w:fill="EAF3F2"/>
          </w:tcPr>
          <w:p>
            <w:pPr>
              <w:spacing w:after="40" w:before="40"/>
            </w:pPr>
            <w:r/>
            <w:r>
              <w:rPr>
                <w:rFonts w:ascii="Calibri" w:hAnsi="Calibri"/>
                <w:b w:val="0"/>
                <w:i w:val="0"/>
                <w:color w:val="22333B"/>
                <w:sz w:val="18"/>
              </w:rPr>
              <w:t>“All patient data in transit shall be protected using TLS 1.2 or higher with mutual certificate authentication; the device shall reject connections that fail certificate validation and log the rejection.”</w:t>
            </w:r>
          </w:p>
        </w:tc>
      </w:tr>
    </w:tbl>
    <w:p>
      <w:pPr>
        <w:pageBreakBefore/>
        <w:spacing w:after="40" w:before="0"/>
      </w:pPr>
      <w:r>
        <w:rPr>
          <w:rFonts w:ascii="Calibri" w:hAnsi="Calibri"/>
          <w:b/>
          <w:color w:val="A83A3C"/>
          <w:sz w:val="17"/>
          <w:spacing w:val="30"/>
        </w:rPr>
        <w:t>WORKING SESSION 1  ·  12 MINUTES</w:t>
      </w:r>
    </w:p>
    <w:p>
      <w:pPr>
        <w:spacing w:after="80" w:before="0"/>
      </w:pPr>
      <w:r>
        <w:rPr>
          <w:rFonts w:ascii="Cambria" w:hAnsi="Cambria"/>
          <w:b/>
          <w:color w:val="1B3A4B"/>
          <w:sz w:val="36"/>
        </w:rPr>
        <w:t>Classify and scope</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EF3F5"/>
          </w:tcPr>
          <w:p>
            <w:pPr>
              <w:spacing w:after="60" w:before="80"/>
            </w:pPr>
            <w:r/>
            <w:r>
              <w:rPr>
                <w:rFonts w:ascii="Calibri" w:hAnsi="Calibri"/>
                <w:b/>
                <w:color w:val="1B3A4B"/>
                <w:sz w:val="20"/>
              </w:rPr>
              <w:t>The product</w:t>
            </w:r>
          </w:p>
          <w:p>
            <w:pPr>
              <w:spacing w:after="80"/>
            </w:pPr>
            <w:r>
              <w:rPr>
                <w:rFonts w:ascii="Calibri" w:hAnsi="Calibri"/>
                <w:color w:val="22333B"/>
                <w:sz w:val="19"/>
              </w:rPr>
              <w:t>A remote cardiac monitoring system, intended for ambulatory patients following a cardiac event.</w:t>
            </w:r>
          </w:p>
          <w:p>
            <w:pPr>
              <w:spacing w:after="80"/>
            </w:pPr>
            <w:r>
              <w:rPr>
                <w:rFonts w:ascii="Calibri" w:hAnsi="Calibri"/>
                <w:color w:val="22333B"/>
                <w:sz w:val="19"/>
              </w:rPr>
              <w:t>·  An adhesive wearable patch records single-lead ECG continuously for up to 14 days.</w:t>
            </w:r>
          </w:p>
          <w:p>
            <w:pPr>
              <w:spacing w:after="80"/>
            </w:pPr>
            <w:r>
              <w:rPr>
                <w:rFonts w:ascii="Calibri" w:hAnsi="Calibri"/>
                <w:color w:val="22333B"/>
                <w:sz w:val="19"/>
              </w:rPr>
              <w:t>·  The patch streams over Bluetooth Low Energy to a patient smartphone app, which forwards data to the manufacturer's cloud.</w:t>
            </w:r>
          </w:p>
          <w:p>
            <w:pPr>
              <w:spacing w:after="80"/>
            </w:pPr>
            <w:r>
              <w:rPr>
                <w:rFonts w:ascii="Calibri" w:hAnsi="Calibri"/>
                <w:color w:val="22333B"/>
                <w:sz w:val="19"/>
              </w:rPr>
              <w:t>·  A cloud service runs a machine-learning algorithm that detects and classifies arrhythmias, and flags events for review.</w:t>
            </w:r>
          </w:p>
          <w:p>
            <w:pPr>
              <w:spacing w:after="80"/>
            </w:pPr>
            <w:r>
              <w:rPr>
                <w:rFonts w:ascii="Calibri" w:hAnsi="Calibri"/>
                <w:color w:val="22333B"/>
                <w:sz w:val="19"/>
              </w:rPr>
              <w:t>·  A clinician web portal presents flagged events with the supporting ECG strip for confirmation and diagnosis.</w:t>
            </w:r>
          </w:p>
          <w:p>
            <w:pPr>
              <w:spacing w:after="80"/>
            </w:pPr>
            <w:r>
              <w:rPr>
                <w:rFonts w:ascii="Calibri" w:hAnsi="Calibri"/>
                <w:color w:val="22333B"/>
                <w:sz w:val="19"/>
              </w:rPr>
              <w:t>·  The portal also contains a scheduling and billing module.</w:t>
            </w:r>
          </w:p>
          <w:p>
            <w:pPr>
              <w:spacing w:after="80"/>
            </w:pPr>
            <w:r>
              <w:rPr>
                <w:rFonts w:ascii="Calibri" w:hAnsi="Calibri"/>
                <w:color w:val="22333B"/>
                <w:sz w:val="19"/>
              </w:rPr>
              <w:t>·  Patch firmware can be updated over the air via the app.</w:t>
            </w:r>
          </w:p>
        </w:tc>
      </w:tr>
    </w:tbl>
    <w:p>
      <w:pPr>
        <w:spacing w:after="100" w:before="0" w:line="240" w:lineRule="auto"/>
      </w:pPr>
      <w:r>
        <w:rPr>
          <w:sz w:val="2"/>
        </w:rPr>
      </w:r>
    </w:p>
    <w:p>
      <w:pPr>
        <w:keepNext/>
        <w:spacing w:after="40" w:before="160"/>
      </w:pPr>
      <w:r>
        <w:rPr>
          <w:rFonts w:ascii="Calibri" w:hAnsi="Calibri"/>
          <w:b/>
          <w:color w:val="0E7C7B"/>
          <w:sz w:val="21"/>
        </w:rPr>
        <w:t>1.  Break the product into software functions</w:t>
      </w:r>
    </w:p>
    <w:p>
      <w:pPr>
        <w:spacing w:after="60"/>
      </w:pPr>
      <w:r>
        <w:rPr>
          <w:rFonts w:ascii="Calibri" w:hAnsi="Calibri"/>
          <w:b w:val="0"/>
          <w:i/>
          <w:color w:val="4E626D"/>
          <w:sz w:val="19"/>
        </w:rPr>
        <w:t>For each, decide: SaMD, software in a medical device, or not a device at all?</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168"/>
        <w:gridCol w:w="2592"/>
        <w:gridCol w:w="4031"/>
      </w:tblGrid>
      <w:tr>
        <w:trPr>
          <w:cantSplit/>
        </w:trPr>
        <w:tc>
          <w:tcPr>
            <w:tcW w:type="dxa" w:w="3168"/>
            <w:shd w:val="clear" w:color="auto" w:fill="1B3A4B"/>
          </w:tcPr>
          <w:p>
            <w:pPr>
              <w:spacing w:after="40" w:before="40"/>
            </w:pPr>
            <w:r/>
            <w:r>
              <w:rPr>
                <w:rFonts w:ascii="Calibri" w:hAnsi="Calibri"/>
                <w:b/>
                <w:i w:val="0"/>
                <w:color w:val="FFFFFF"/>
                <w:sz w:val="19"/>
              </w:rPr>
              <w:t>Software function</w:t>
            </w:r>
          </w:p>
        </w:tc>
        <w:tc>
          <w:tcPr>
            <w:tcW w:type="dxa" w:w="2592"/>
            <w:shd w:val="clear" w:color="auto" w:fill="1B3A4B"/>
          </w:tcPr>
          <w:p>
            <w:pPr>
              <w:spacing w:after="40" w:before="40"/>
            </w:pPr>
            <w:r/>
            <w:r>
              <w:rPr>
                <w:rFonts w:ascii="Calibri" w:hAnsi="Calibri"/>
                <w:b/>
                <w:i w:val="0"/>
                <w:color w:val="FFFFFF"/>
                <w:sz w:val="19"/>
              </w:rPr>
              <w:t>SaMD / SiMD / Not a device</w:t>
            </w:r>
          </w:p>
        </w:tc>
        <w:tc>
          <w:tcPr>
            <w:tcW w:type="dxa" w:w="4032"/>
            <w:shd w:val="clear" w:color="auto" w:fill="1B3A4B"/>
          </w:tcPr>
          <w:p>
            <w:pPr>
              <w:spacing w:after="40" w:before="40"/>
            </w:pPr>
            <w:r/>
            <w:r>
              <w:rPr>
                <w:rFonts w:ascii="Calibri" w:hAnsi="Calibri"/>
                <w:b/>
                <w:i w:val="0"/>
                <w:color w:val="FFFFFF"/>
                <w:sz w:val="19"/>
              </w:rPr>
              <w:t>Why</w:t>
            </w:r>
          </w:p>
        </w:tc>
      </w:tr>
      <w:tr>
        <w:trPr>
          <w:cantSplit/>
        </w:trPr>
        <w:tc>
          <w:tcPr>
            <w:tcW w:type="dxa" w:w="3168"/>
          </w:tcPr>
          <w:p>
            <w:pPr>
              <w:spacing w:after="40" w:before="40"/>
            </w:pPr>
            <w:r/>
            <w:r>
              <w:rPr>
                <w:rFonts w:ascii="Calibri" w:hAnsi="Calibri"/>
                <w:b w:val="0"/>
                <w:i w:val="0"/>
                <w:color w:val="22333B"/>
                <w:sz w:val="19"/>
              </w:rPr>
            </w:r>
          </w:p>
        </w:tc>
        <w:tc>
          <w:tcPr>
            <w:tcW w:type="dxa" w:w="2592"/>
          </w:tcPr>
          <w:p>
            <w:pPr>
              <w:spacing w:after="40" w:before="40"/>
            </w:pPr>
            <w:r/>
            <w:r>
              <w:rPr>
                <w:rFonts w:ascii="Calibri" w:hAnsi="Calibri"/>
                <w:b w:val="0"/>
                <w:i w:val="0"/>
                <w:color w:val="22333B"/>
                <w:sz w:val="19"/>
              </w:rPr>
            </w:r>
          </w:p>
        </w:tc>
        <w:tc>
          <w:tcPr>
            <w:tcW w:type="dxa" w:w="4032"/>
          </w:tcPr>
          <w:p>
            <w:pPr>
              <w:spacing w:after="40" w:before="40"/>
            </w:pPr>
            <w:r/>
            <w:r>
              <w:rPr>
                <w:rFonts w:ascii="Calibri" w:hAnsi="Calibri"/>
                <w:b w:val="0"/>
                <w:i w:val="0"/>
                <w:color w:val="22333B"/>
                <w:sz w:val="19"/>
              </w:rPr>
            </w:r>
          </w:p>
        </w:tc>
      </w:tr>
      <w:tr>
        <w:trPr>
          <w:cantSplit/>
        </w:trPr>
        <w:tc>
          <w:tcPr>
            <w:tcW w:type="dxa" w:w="3168"/>
          </w:tcPr>
          <w:p>
            <w:pPr>
              <w:spacing w:after="40" w:before="40"/>
            </w:pPr>
            <w:r/>
            <w:r>
              <w:rPr>
                <w:rFonts w:ascii="Calibri" w:hAnsi="Calibri"/>
                <w:b w:val="0"/>
                <w:i w:val="0"/>
                <w:color w:val="22333B"/>
                <w:sz w:val="19"/>
              </w:rPr>
            </w:r>
          </w:p>
        </w:tc>
        <w:tc>
          <w:tcPr>
            <w:tcW w:type="dxa" w:w="2592"/>
          </w:tcPr>
          <w:p>
            <w:pPr>
              <w:spacing w:after="40" w:before="40"/>
            </w:pPr>
            <w:r/>
            <w:r>
              <w:rPr>
                <w:rFonts w:ascii="Calibri" w:hAnsi="Calibri"/>
                <w:b w:val="0"/>
                <w:i w:val="0"/>
                <w:color w:val="22333B"/>
                <w:sz w:val="19"/>
              </w:rPr>
            </w:r>
          </w:p>
        </w:tc>
        <w:tc>
          <w:tcPr>
            <w:tcW w:type="dxa" w:w="4032"/>
          </w:tcPr>
          <w:p>
            <w:pPr>
              <w:spacing w:after="40" w:before="40"/>
            </w:pPr>
            <w:r/>
            <w:r>
              <w:rPr>
                <w:rFonts w:ascii="Calibri" w:hAnsi="Calibri"/>
                <w:b w:val="0"/>
                <w:i w:val="0"/>
                <w:color w:val="22333B"/>
                <w:sz w:val="19"/>
              </w:rPr>
            </w:r>
          </w:p>
        </w:tc>
      </w:tr>
      <w:tr>
        <w:trPr>
          <w:cantSplit/>
        </w:trPr>
        <w:tc>
          <w:tcPr>
            <w:tcW w:type="dxa" w:w="3168"/>
          </w:tcPr>
          <w:p>
            <w:pPr>
              <w:spacing w:after="40" w:before="40"/>
            </w:pPr>
            <w:r/>
            <w:r>
              <w:rPr>
                <w:rFonts w:ascii="Calibri" w:hAnsi="Calibri"/>
                <w:b w:val="0"/>
                <w:i w:val="0"/>
                <w:color w:val="22333B"/>
                <w:sz w:val="19"/>
              </w:rPr>
            </w:r>
          </w:p>
        </w:tc>
        <w:tc>
          <w:tcPr>
            <w:tcW w:type="dxa" w:w="2592"/>
          </w:tcPr>
          <w:p>
            <w:pPr>
              <w:spacing w:after="40" w:before="40"/>
            </w:pPr>
            <w:r/>
            <w:r>
              <w:rPr>
                <w:rFonts w:ascii="Calibri" w:hAnsi="Calibri"/>
                <w:b w:val="0"/>
                <w:i w:val="0"/>
                <w:color w:val="22333B"/>
                <w:sz w:val="19"/>
              </w:rPr>
            </w:r>
          </w:p>
        </w:tc>
        <w:tc>
          <w:tcPr>
            <w:tcW w:type="dxa" w:w="4032"/>
          </w:tcPr>
          <w:p>
            <w:pPr>
              <w:spacing w:after="40" w:before="40"/>
            </w:pPr>
            <w:r/>
            <w:r>
              <w:rPr>
                <w:rFonts w:ascii="Calibri" w:hAnsi="Calibri"/>
                <w:b w:val="0"/>
                <w:i w:val="0"/>
                <w:color w:val="22333B"/>
                <w:sz w:val="19"/>
              </w:rPr>
            </w:r>
          </w:p>
        </w:tc>
      </w:tr>
    </w:tbl>
    <w:p>
      <w:pPr>
        <w:keepNext/>
        <w:spacing w:after="40" w:before="140"/>
      </w:pPr>
      <w:r>
        <w:rPr>
          <w:rFonts w:ascii="Calibri" w:hAnsi="Calibri"/>
          <w:b/>
          <w:color w:val="0E7C7B"/>
          <w:sz w:val="21"/>
        </w:rPr>
        <w:t>2.  Assign an IEC 62304 safety class to each software item</w:t>
      </w:r>
    </w:p>
    <w:p>
      <w:pPr>
        <w:spacing w:after="60"/>
      </w:pPr>
      <w:r>
        <w:rPr>
          <w:rFonts w:ascii="Calibri" w:hAnsi="Calibri"/>
          <w:b w:val="0"/>
          <w:i/>
          <w:color w:val="4E626D"/>
          <w:sz w:val="19"/>
        </w:rPr>
        <w:t>One sentence of justification you would be willing to defend.</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168"/>
        <w:gridCol w:w="1152"/>
        <w:gridCol w:w="5472"/>
      </w:tblGrid>
      <w:tr>
        <w:trPr>
          <w:cantSplit/>
        </w:trPr>
        <w:tc>
          <w:tcPr>
            <w:tcW w:type="dxa" w:w="3168"/>
            <w:shd w:val="clear" w:color="auto" w:fill="1B3A4B"/>
          </w:tcPr>
          <w:p>
            <w:pPr>
              <w:spacing w:after="40" w:before="40"/>
            </w:pPr>
            <w:r/>
            <w:r>
              <w:rPr>
                <w:rFonts w:ascii="Calibri" w:hAnsi="Calibri"/>
                <w:b/>
                <w:i w:val="0"/>
                <w:color w:val="FFFFFF"/>
                <w:sz w:val="19"/>
              </w:rPr>
              <w:t>Software item</w:t>
            </w:r>
          </w:p>
        </w:tc>
        <w:tc>
          <w:tcPr>
            <w:tcW w:type="dxa" w:w="1152"/>
            <w:shd w:val="clear" w:color="auto" w:fill="1B3A4B"/>
          </w:tcPr>
          <w:p>
            <w:pPr>
              <w:spacing w:after="40" w:before="40"/>
            </w:pPr>
            <w:r/>
            <w:r>
              <w:rPr>
                <w:rFonts w:ascii="Calibri" w:hAnsi="Calibri"/>
                <w:b/>
                <w:i w:val="0"/>
                <w:color w:val="FFFFFF"/>
                <w:sz w:val="19"/>
              </w:rPr>
              <w:t>Class</w:t>
            </w:r>
          </w:p>
        </w:tc>
        <w:tc>
          <w:tcPr>
            <w:tcW w:type="dxa" w:w="5472"/>
            <w:shd w:val="clear" w:color="auto" w:fill="1B3A4B"/>
          </w:tcPr>
          <w:p>
            <w:pPr>
              <w:spacing w:after="40" w:before="40"/>
            </w:pPr>
            <w:r/>
            <w:r>
              <w:rPr>
                <w:rFonts w:ascii="Calibri" w:hAnsi="Calibri"/>
                <w:b/>
                <w:i w:val="0"/>
                <w:color w:val="FFFFFF"/>
                <w:sz w:val="19"/>
              </w:rPr>
              <w:t>Justification</w:t>
            </w:r>
          </w:p>
        </w:tc>
      </w:tr>
      <w:tr>
        <w:trPr>
          <w:cantSplit/>
        </w:trPr>
        <w:tc>
          <w:tcPr>
            <w:tcW w:type="dxa" w:w="3168"/>
          </w:tcPr>
          <w:p>
            <w:pPr>
              <w:spacing w:after="40" w:before="40"/>
            </w:pPr>
            <w:r/>
            <w:r>
              <w:rPr>
                <w:rFonts w:ascii="Calibri" w:hAnsi="Calibri"/>
                <w:b w:val="0"/>
                <w:i w:val="0"/>
                <w:color w:val="22333B"/>
                <w:sz w:val="19"/>
              </w:rPr>
            </w:r>
          </w:p>
        </w:tc>
        <w:tc>
          <w:tcPr>
            <w:tcW w:type="dxa" w:w="1152"/>
          </w:tcPr>
          <w:p>
            <w:pPr>
              <w:spacing w:after="40" w:before="40"/>
            </w:pPr>
            <w:r/>
            <w:r>
              <w:rPr>
                <w:rFonts w:ascii="Calibri" w:hAnsi="Calibri"/>
                <w:b w:val="0"/>
                <w:i w:val="0"/>
                <w:color w:val="22333B"/>
                <w:sz w:val="19"/>
              </w:rPr>
            </w:r>
          </w:p>
        </w:tc>
        <w:tc>
          <w:tcPr>
            <w:tcW w:type="dxa" w:w="5472"/>
          </w:tcPr>
          <w:p>
            <w:pPr>
              <w:spacing w:after="40" w:before="40"/>
            </w:pPr>
            <w:r/>
            <w:r>
              <w:rPr>
                <w:rFonts w:ascii="Calibri" w:hAnsi="Calibri"/>
                <w:b w:val="0"/>
                <w:i w:val="0"/>
                <w:color w:val="22333B"/>
                <w:sz w:val="19"/>
              </w:rPr>
            </w:r>
          </w:p>
        </w:tc>
      </w:tr>
      <w:tr>
        <w:trPr>
          <w:cantSplit/>
        </w:trPr>
        <w:tc>
          <w:tcPr>
            <w:tcW w:type="dxa" w:w="3168"/>
          </w:tcPr>
          <w:p>
            <w:pPr>
              <w:spacing w:after="40" w:before="40"/>
            </w:pPr>
            <w:r/>
            <w:r>
              <w:rPr>
                <w:rFonts w:ascii="Calibri" w:hAnsi="Calibri"/>
                <w:b w:val="0"/>
                <w:i w:val="0"/>
                <w:color w:val="22333B"/>
                <w:sz w:val="19"/>
              </w:rPr>
            </w:r>
          </w:p>
        </w:tc>
        <w:tc>
          <w:tcPr>
            <w:tcW w:type="dxa" w:w="1152"/>
          </w:tcPr>
          <w:p>
            <w:pPr>
              <w:spacing w:after="40" w:before="40"/>
            </w:pPr>
            <w:r/>
            <w:r>
              <w:rPr>
                <w:rFonts w:ascii="Calibri" w:hAnsi="Calibri"/>
                <w:b w:val="0"/>
                <w:i w:val="0"/>
                <w:color w:val="22333B"/>
                <w:sz w:val="19"/>
              </w:rPr>
            </w:r>
          </w:p>
        </w:tc>
        <w:tc>
          <w:tcPr>
            <w:tcW w:type="dxa" w:w="5472"/>
          </w:tcPr>
          <w:p>
            <w:pPr>
              <w:spacing w:after="40" w:before="40"/>
            </w:pPr>
            <w:r/>
            <w:r>
              <w:rPr>
                <w:rFonts w:ascii="Calibri" w:hAnsi="Calibri"/>
                <w:b w:val="0"/>
                <w:i w:val="0"/>
                <w:color w:val="22333B"/>
                <w:sz w:val="19"/>
              </w:rPr>
            </w:r>
          </w:p>
        </w:tc>
      </w:tr>
      <w:tr>
        <w:trPr>
          <w:cantSplit/>
        </w:trPr>
        <w:tc>
          <w:tcPr>
            <w:tcW w:type="dxa" w:w="3168"/>
          </w:tcPr>
          <w:p>
            <w:pPr>
              <w:spacing w:after="40" w:before="40"/>
            </w:pPr>
            <w:r/>
            <w:r>
              <w:rPr>
                <w:rFonts w:ascii="Calibri" w:hAnsi="Calibri"/>
                <w:b w:val="0"/>
                <w:i w:val="0"/>
                <w:color w:val="22333B"/>
                <w:sz w:val="19"/>
              </w:rPr>
            </w:r>
          </w:p>
        </w:tc>
        <w:tc>
          <w:tcPr>
            <w:tcW w:type="dxa" w:w="1152"/>
          </w:tcPr>
          <w:p>
            <w:pPr>
              <w:spacing w:after="40" w:before="40"/>
            </w:pPr>
            <w:r/>
            <w:r>
              <w:rPr>
                <w:rFonts w:ascii="Calibri" w:hAnsi="Calibri"/>
                <w:b w:val="0"/>
                <w:i w:val="0"/>
                <w:color w:val="22333B"/>
                <w:sz w:val="19"/>
              </w:rPr>
            </w:r>
          </w:p>
        </w:tc>
        <w:tc>
          <w:tcPr>
            <w:tcW w:type="dxa" w:w="5472"/>
          </w:tcPr>
          <w:p>
            <w:pPr>
              <w:spacing w:after="40" w:before="40"/>
            </w:pPr>
            <w:r/>
            <w:r>
              <w:rPr>
                <w:rFonts w:ascii="Calibri" w:hAnsi="Calibri"/>
                <w:b w:val="0"/>
                <w:i w:val="0"/>
                <w:color w:val="22333B"/>
                <w:sz w:val="19"/>
              </w:rPr>
            </w:r>
          </w:p>
        </w:tc>
      </w:tr>
    </w:tbl>
    <w:p>
      <w:pPr>
        <w:keepNext/>
        <w:spacing w:after="40" w:before="140"/>
      </w:pPr>
      <w:r>
        <w:rPr>
          <w:rFonts w:ascii="Calibri" w:hAnsi="Calibri"/>
          <w:b/>
          <w:color w:val="0E7C7B"/>
          <w:sz w:val="21"/>
        </w:rPr>
        <w:t>3.  Basic or Enhanced documentation level?</w:t>
      </w:r>
    </w:p>
    <w:p>
      <w:pPr>
        <w:spacing w:after="60"/>
      </w:pPr>
      <w:r>
        <w:rPr>
          <w:rFonts w:ascii="Calibri" w:hAnsi="Calibri"/>
          <w:b w:val="0"/>
          <w:i/>
          <w:color w:val="4E626D"/>
          <w:sz w:val="19"/>
        </w:rPr>
        <w:t>State which criterion drives your answer.</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bl>
    <w:p>
      <w:pPr>
        <w:spacing w:after="80" w:before="0" w:line="240" w:lineRule="auto"/>
      </w:pPr>
      <w:r>
        <w:rPr>
          <w:sz w:val="2"/>
        </w:rPr>
      </w:r>
    </w:p>
    <w:p>
      <w:pPr>
        <w:keepNext/>
        <w:spacing w:after="40" w:before="140"/>
      </w:pPr>
      <w:r>
        <w:rPr>
          <w:rFonts w:ascii="Calibri" w:hAnsi="Calibri"/>
          <w:b/>
          <w:color w:val="0E7C7B"/>
          <w:sz w:val="21"/>
        </w:rPr>
        <w:t>4.  Is this a cyber device under section 524B? Why?</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bl>
    <w:p>
      <w:pPr>
        <w:spacing w:after="80" w:before="0" w:line="240" w:lineRule="auto"/>
      </w:pPr>
      <w:r>
        <w:rPr>
          <w:sz w:val="2"/>
        </w:rPr>
      </w:r>
    </w:p>
    <w:p>
      <w:pPr>
        <w:keepNext/>
        <w:spacing w:after="40" w:before="140"/>
      </w:pPr>
      <w:r>
        <w:rPr>
          <w:rFonts w:ascii="Calibri" w:hAnsi="Calibri"/>
          <w:b/>
          <w:color w:val="0E7C7B"/>
          <w:sz w:val="21"/>
        </w:rPr>
        <w:t>5.  Name three SOUP items you would expect, and what must be documented for each</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0E7C7B"/>
          <w:sz w:val="17"/>
          <w:spacing w:val="30"/>
        </w:rPr>
        <w:t>PART THREE</w:t>
      </w:r>
    </w:p>
    <w:p>
      <w:pPr>
        <w:spacing w:after="80" w:before="0"/>
      </w:pPr>
      <w:r>
        <w:rPr>
          <w:rFonts w:ascii="Cambria" w:hAnsi="Cambria"/>
          <w:b/>
          <w:color w:val="1B3A4B"/>
          <w:sz w:val="36"/>
        </w:rPr>
        <w:t>Part 3 — Cybersecurity</w:t>
      </w:r>
    </w:p>
    <w:p>
      <w:pPr>
        <w:spacing w:before="120" w:after="160"/>
        <w:pBdr>
          <w:bottom w:val="single" w:sz="6" w:space="1" w:color="D7E2E5"/>
        </w:pBdr>
      </w:pPr>
    </w:p>
    <w:p>
      <w:pPr>
        <w:keepNext/>
        <w:spacing w:after="40" w:before="0"/>
      </w:pPr>
      <w:r>
        <w:rPr>
          <w:rFonts w:ascii="Calibri" w:hAnsi="Calibri"/>
          <w:b/>
          <w:color w:val="0E7C7B"/>
          <w:sz w:val="21"/>
        </w:rPr>
        <w:t>Section 524B — the statutory floor</w:t>
      </w:r>
    </w:p>
    <w:p>
      <w:pPr>
        <w:spacing w:after="100"/>
      </w:pPr>
      <w:r>
        <w:rPr>
          <w:rFonts w:ascii="Calibri" w:hAnsi="Calibri"/>
          <w:b w:val="0"/>
          <w:i w:val="0"/>
          <w:color w:val="22333B"/>
          <w:sz w:val="19"/>
        </w:rPr>
        <w:t>For a “cyber device”: broadly, one that includes software validated, installed or authorised by the sponsor; has the ability to connect to the internet; and contains technological characteristics that could be vulnerable to cybersecurity threats. Note the ability to connect — not the intention to.</w:t>
      </w:r>
    </w:p>
    <w:p>
      <w:pPr>
        <w:spacing w:after="50" w:line="254" w:lineRule="auto"/>
        <w:ind w:left="792" w:hanging="432"/>
      </w:pPr>
      <w:r>
        <w:rPr>
          <w:rFonts w:ascii="Calibri" w:hAnsi="Calibri"/>
          <w:b/>
          <w:color w:val="0E7C7B"/>
          <w:sz w:val="20"/>
        </w:rPr>
        <w:t xml:space="preserve">1.  </w:t>
      </w:r>
      <w:r>
        <w:rPr>
          <w:rFonts w:ascii="Calibri" w:hAnsi="Calibri"/>
          <w:color w:val="22333B"/>
          <w:sz w:val="20"/>
        </w:rPr>
        <w:t>Have a plan to monitor, identify and address postmarket vulnerabilities and exploits, including a coordinated vulnerability disclosure process.</w:t>
      </w:r>
    </w:p>
    <w:p>
      <w:pPr>
        <w:spacing w:after="50" w:line="254" w:lineRule="auto"/>
        <w:ind w:left="792" w:hanging="432"/>
      </w:pPr>
      <w:r>
        <w:rPr>
          <w:rFonts w:ascii="Calibri" w:hAnsi="Calibri"/>
          <w:b/>
          <w:color w:val="0E7C7B"/>
          <w:sz w:val="20"/>
        </w:rPr>
        <w:t xml:space="preserve">2.  </w:t>
      </w:r>
      <w:r>
        <w:rPr>
          <w:rFonts w:ascii="Calibri" w:hAnsi="Calibri"/>
          <w:color w:val="22333B"/>
          <w:sz w:val="20"/>
        </w:rPr>
        <w:t>Design, develop and maintain processes providing reasonable assurance the device and related systems are cybersecure, and make available postmarket updates and patches — on a reasonably justified regular cycle, and out-of-cycle for critical vulnerabilities.</w:t>
      </w:r>
    </w:p>
    <w:p>
      <w:pPr>
        <w:spacing w:after="50" w:line="254" w:lineRule="auto"/>
        <w:ind w:left="792" w:hanging="432"/>
      </w:pPr>
      <w:r>
        <w:rPr>
          <w:rFonts w:ascii="Calibri" w:hAnsi="Calibri"/>
          <w:b/>
          <w:color w:val="0E7C7B"/>
          <w:sz w:val="20"/>
        </w:rPr>
        <w:t xml:space="preserve">3.  </w:t>
      </w:r>
      <w:r>
        <w:rPr>
          <w:rFonts w:ascii="Calibri" w:hAnsi="Calibri"/>
          <w:color w:val="22333B"/>
          <w:sz w:val="20"/>
        </w:rPr>
        <w:t>Provide a software bill of materials covering commercial, open-source and off-the-shelf components.</w:t>
      </w:r>
    </w:p>
    <w:p>
      <w:pPr>
        <w:spacing w:after="50" w:line="254" w:lineRule="auto"/>
        <w:ind w:left="792" w:hanging="432"/>
      </w:pPr>
      <w:r>
        <w:rPr>
          <w:rFonts w:ascii="Calibri" w:hAnsi="Calibri"/>
          <w:b/>
          <w:color w:val="0E7C7B"/>
          <w:sz w:val="20"/>
        </w:rPr>
        <w:t xml:space="preserve">4.  </w:t>
      </w:r>
      <w:r>
        <w:rPr>
          <w:rFonts w:ascii="Calibri" w:hAnsi="Calibri"/>
          <w:color w:val="22333B"/>
          <w:sz w:val="20"/>
        </w:rPr>
        <w:t>Comply with such other requirements as FDA may establish by regulation.</w:t>
      </w:r>
    </w:p>
    <w:p>
      <w:pPr>
        <w:keepNext/>
        <w:spacing w:after="40" w:before="140"/>
      </w:pPr>
      <w:r>
        <w:rPr>
          <w:rFonts w:ascii="Calibri" w:hAnsi="Calibri"/>
          <w:b/>
          <w:color w:val="0E7C7B"/>
          <w:sz w:val="21"/>
        </w:rPr>
        <w:t>The Secure Product Development Framework</w:t>
      </w:r>
    </w:p>
    <w:p>
      <w:pPr>
        <w:pStyle w:val="ListBullet"/>
        <w:spacing w:after="50" w:line="254" w:lineRule="auto"/>
        <w:ind w:left="576"/>
      </w:pPr>
      <w:r>
        <w:rPr>
          <w:rFonts w:ascii="Calibri" w:hAnsi="Calibri"/>
          <w:b/>
          <w:color w:val="1B3A4B"/>
          <w:sz w:val="20"/>
        </w:rPr>
        <w:t xml:space="preserve">Security risk management: </w:t>
      </w:r>
      <w:r>
        <w:rPr>
          <w:rFonts w:ascii="Calibri" w:hAnsi="Calibri"/>
          <w:color w:val="22333B"/>
          <w:sz w:val="20"/>
        </w:rPr>
        <w:t>distinct from, but interfaced with, safety risk management. Assess exploitability, not probability.</w:t>
      </w:r>
    </w:p>
    <w:p>
      <w:pPr>
        <w:pStyle w:val="ListBullet"/>
        <w:spacing w:after="50" w:line="254" w:lineRule="auto"/>
        <w:ind w:left="576"/>
      </w:pPr>
      <w:r>
        <w:rPr>
          <w:rFonts w:ascii="Calibri" w:hAnsi="Calibri"/>
          <w:b/>
          <w:color w:val="1B3A4B"/>
          <w:sz w:val="20"/>
        </w:rPr>
        <w:t xml:space="preserve">Security architecture: </w:t>
      </w:r>
      <w:r>
        <w:rPr>
          <w:rFonts w:ascii="Calibri" w:hAnsi="Calibri"/>
          <w:color w:val="22333B"/>
          <w:sz w:val="20"/>
        </w:rPr>
        <w:t>four views — global system; multi-patient harm; updateability and patchability; security use cases.</w:t>
      </w:r>
    </w:p>
    <w:p>
      <w:pPr>
        <w:pStyle w:val="ListBullet"/>
        <w:spacing w:after="50" w:line="254" w:lineRule="auto"/>
        <w:ind w:left="576"/>
      </w:pPr>
      <w:r>
        <w:rPr>
          <w:rFonts w:ascii="Calibri" w:hAnsi="Calibri"/>
          <w:b/>
          <w:color w:val="1B3A4B"/>
          <w:sz w:val="20"/>
        </w:rPr>
        <w:t xml:space="preserve">Cybersecurity testing: </w:t>
      </w:r>
      <w:r>
        <w:rPr>
          <w:rFonts w:ascii="Calibri" w:hAnsi="Calibri"/>
          <w:color w:val="22333B"/>
          <w:sz w:val="20"/>
        </w:rPr>
        <w:t>four categories — security requirements testing; threat mitigation testing; vulnerability testing; penetration testing.</w:t>
      </w:r>
    </w:p>
    <w:p>
      <w:pPr>
        <w:keepNext/>
        <w:spacing w:after="40" w:before="140"/>
      </w:pPr>
      <w:r>
        <w:rPr>
          <w:rFonts w:ascii="Calibri" w:hAnsi="Calibri"/>
          <w:b/>
          <w:color w:val="0E7C7B"/>
          <w:sz w:val="21"/>
        </w:rPr>
        <w:t>Threat modelling — the four questions</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576"/>
        <w:gridCol w:w="3744"/>
        <w:gridCol w:w="5472"/>
      </w:tblGrid>
      <w:tr>
        <w:trPr>
          <w:cantSplit/>
        </w:trPr>
        <w:tc>
          <w:tcPr>
            <w:tcW w:type="dxa" w:w="576"/>
            <w:shd w:val="clear" w:color="auto" w:fill="1B3A4B"/>
          </w:tcPr>
          <w:p>
            <w:pPr>
              <w:spacing w:after="40" w:before="40"/>
            </w:pPr>
            <w:r/>
            <w:r>
              <w:rPr>
                <w:rFonts w:ascii="Calibri" w:hAnsi="Calibri"/>
                <w:b/>
                <w:i w:val="0"/>
                <w:color w:val="FFFFFF"/>
                <w:sz w:val="19"/>
              </w:rPr>
              <w:t>#</w:t>
            </w:r>
          </w:p>
        </w:tc>
        <w:tc>
          <w:tcPr>
            <w:tcW w:type="dxa" w:w="3744"/>
            <w:shd w:val="clear" w:color="auto" w:fill="1B3A4B"/>
          </w:tcPr>
          <w:p>
            <w:pPr>
              <w:spacing w:after="40" w:before="40"/>
            </w:pPr>
            <w:r/>
            <w:r>
              <w:rPr>
                <w:rFonts w:ascii="Calibri" w:hAnsi="Calibri"/>
                <w:b/>
                <w:i w:val="0"/>
                <w:color w:val="FFFFFF"/>
                <w:sz w:val="19"/>
              </w:rPr>
              <w:t>Question</w:t>
            </w:r>
          </w:p>
        </w:tc>
        <w:tc>
          <w:tcPr>
            <w:tcW w:type="dxa" w:w="5472"/>
            <w:shd w:val="clear" w:color="auto" w:fill="1B3A4B"/>
          </w:tcPr>
          <w:p>
            <w:pPr>
              <w:spacing w:after="40" w:before="40"/>
            </w:pPr>
            <w:r/>
            <w:r>
              <w:rPr>
                <w:rFonts w:ascii="Calibri" w:hAnsi="Calibri"/>
                <w:b/>
                <w:i w:val="0"/>
                <w:color w:val="FFFFFF"/>
                <w:sz w:val="19"/>
              </w:rPr>
              <w:t>Output</w:t>
            </w:r>
          </w:p>
        </w:tc>
      </w:tr>
      <w:tr>
        <w:trPr>
          <w:cantSplit/>
        </w:trPr>
        <w:tc>
          <w:tcPr>
            <w:tcW w:type="dxa" w:w="576"/>
          </w:tcPr>
          <w:p>
            <w:pPr>
              <w:spacing w:after="40" w:before="40"/>
            </w:pPr>
            <w:r/>
            <w:r>
              <w:rPr>
                <w:rFonts w:ascii="Calibri" w:hAnsi="Calibri"/>
                <w:b/>
                <w:i w:val="0"/>
                <w:color w:val="22333B"/>
                <w:sz w:val="19"/>
              </w:rPr>
              <w:t>1</w:t>
            </w:r>
          </w:p>
        </w:tc>
        <w:tc>
          <w:tcPr>
            <w:tcW w:type="dxa" w:w="3744"/>
          </w:tcPr>
          <w:p>
            <w:pPr>
              <w:spacing w:after="40" w:before="40"/>
            </w:pPr>
            <w:r/>
            <w:r>
              <w:rPr>
                <w:rFonts w:ascii="Calibri" w:hAnsi="Calibri"/>
                <w:b w:val="0"/>
                <w:i w:val="0"/>
                <w:color w:val="22333B"/>
                <w:sz w:val="19"/>
              </w:rPr>
              <w:t>What are we building?</w:t>
            </w:r>
          </w:p>
        </w:tc>
        <w:tc>
          <w:tcPr>
            <w:tcW w:type="dxa" w:w="5472"/>
          </w:tcPr>
          <w:p>
            <w:pPr>
              <w:spacing w:after="40" w:before="40"/>
            </w:pPr>
            <w:r/>
            <w:r>
              <w:rPr>
                <w:rFonts w:ascii="Calibri" w:hAnsi="Calibri"/>
                <w:b w:val="0"/>
                <w:i w:val="0"/>
                <w:color w:val="22333B"/>
                <w:sz w:val="19"/>
              </w:rPr>
              <w:t>Data flow diagram with trust boundaries drawn explicitly</w:t>
            </w:r>
          </w:p>
        </w:tc>
      </w:tr>
      <w:tr>
        <w:trPr>
          <w:cantSplit/>
        </w:trPr>
        <w:tc>
          <w:tcPr>
            <w:tcW w:type="dxa" w:w="576"/>
          </w:tcPr>
          <w:p>
            <w:pPr>
              <w:spacing w:after="40" w:before="40"/>
            </w:pPr>
            <w:r/>
            <w:r>
              <w:rPr>
                <w:rFonts w:ascii="Calibri" w:hAnsi="Calibri"/>
                <w:b/>
                <w:i w:val="0"/>
                <w:color w:val="22333B"/>
                <w:sz w:val="19"/>
              </w:rPr>
              <w:t>2</w:t>
            </w:r>
          </w:p>
        </w:tc>
        <w:tc>
          <w:tcPr>
            <w:tcW w:type="dxa" w:w="3744"/>
          </w:tcPr>
          <w:p>
            <w:pPr>
              <w:spacing w:after="40" w:before="40"/>
            </w:pPr>
            <w:r/>
            <w:r>
              <w:rPr>
                <w:rFonts w:ascii="Calibri" w:hAnsi="Calibri"/>
                <w:b w:val="0"/>
                <w:i w:val="0"/>
                <w:color w:val="22333B"/>
                <w:sz w:val="19"/>
              </w:rPr>
              <w:t>What can go wrong?</w:t>
            </w:r>
          </w:p>
        </w:tc>
        <w:tc>
          <w:tcPr>
            <w:tcW w:type="dxa" w:w="5472"/>
          </w:tcPr>
          <w:p>
            <w:pPr>
              <w:spacing w:after="40" w:before="40"/>
            </w:pPr>
            <w:r/>
            <w:r>
              <w:rPr>
                <w:rFonts w:ascii="Calibri" w:hAnsi="Calibri"/>
                <w:b w:val="0"/>
                <w:i w:val="0"/>
                <w:color w:val="22333B"/>
                <w:sz w:val="19"/>
              </w:rPr>
              <w:t>STRIDE walked across every element and boundary crossing</w:t>
            </w:r>
          </w:p>
        </w:tc>
      </w:tr>
      <w:tr>
        <w:trPr>
          <w:cantSplit/>
        </w:trPr>
        <w:tc>
          <w:tcPr>
            <w:tcW w:type="dxa" w:w="576"/>
          </w:tcPr>
          <w:p>
            <w:pPr>
              <w:spacing w:after="40" w:before="40"/>
            </w:pPr>
            <w:r/>
            <w:r>
              <w:rPr>
                <w:rFonts w:ascii="Calibri" w:hAnsi="Calibri"/>
                <w:b/>
                <w:i w:val="0"/>
                <w:color w:val="22333B"/>
                <w:sz w:val="19"/>
              </w:rPr>
              <w:t>3</w:t>
            </w:r>
          </w:p>
        </w:tc>
        <w:tc>
          <w:tcPr>
            <w:tcW w:type="dxa" w:w="3744"/>
          </w:tcPr>
          <w:p>
            <w:pPr>
              <w:spacing w:after="40" w:before="40"/>
            </w:pPr>
            <w:r/>
            <w:r>
              <w:rPr>
                <w:rFonts w:ascii="Calibri" w:hAnsi="Calibri"/>
                <w:b w:val="0"/>
                <w:i w:val="0"/>
                <w:color w:val="22333B"/>
                <w:sz w:val="19"/>
              </w:rPr>
              <w:t>What are we doing about it?</w:t>
            </w:r>
          </w:p>
        </w:tc>
        <w:tc>
          <w:tcPr>
            <w:tcW w:type="dxa" w:w="5472"/>
          </w:tcPr>
          <w:p>
            <w:pPr>
              <w:spacing w:after="40" w:before="40"/>
            </w:pPr>
            <w:r/>
            <w:r>
              <w:rPr>
                <w:rFonts w:ascii="Calibri" w:hAnsi="Calibri"/>
                <w:b w:val="0"/>
                <w:i w:val="0"/>
                <w:color w:val="22333B"/>
                <w:sz w:val="19"/>
              </w:rPr>
              <w:t>Controls, traced to requirements and to tests</w:t>
            </w:r>
          </w:p>
        </w:tc>
      </w:tr>
      <w:tr>
        <w:trPr>
          <w:cantSplit/>
        </w:trPr>
        <w:tc>
          <w:tcPr>
            <w:tcW w:type="dxa" w:w="576"/>
          </w:tcPr>
          <w:p>
            <w:pPr>
              <w:spacing w:after="40" w:before="40"/>
            </w:pPr>
            <w:r/>
            <w:r>
              <w:rPr>
                <w:rFonts w:ascii="Calibri" w:hAnsi="Calibri"/>
                <w:b/>
                <w:i w:val="0"/>
                <w:color w:val="22333B"/>
                <w:sz w:val="19"/>
              </w:rPr>
              <w:t>4</w:t>
            </w:r>
          </w:p>
        </w:tc>
        <w:tc>
          <w:tcPr>
            <w:tcW w:type="dxa" w:w="3744"/>
          </w:tcPr>
          <w:p>
            <w:pPr>
              <w:spacing w:after="40" w:before="40"/>
            </w:pPr>
            <w:r/>
            <w:r>
              <w:rPr>
                <w:rFonts w:ascii="Calibri" w:hAnsi="Calibri"/>
                <w:b w:val="0"/>
                <w:i w:val="0"/>
                <w:color w:val="22333B"/>
                <w:sz w:val="19"/>
              </w:rPr>
              <w:t>Did we do a good enough job?</w:t>
            </w:r>
          </w:p>
        </w:tc>
        <w:tc>
          <w:tcPr>
            <w:tcW w:type="dxa" w:w="5472"/>
          </w:tcPr>
          <w:p>
            <w:pPr>
              <w:spacing w:after="40" w:before="40"/>
            </w:pPr>
            <w:r/>
            <w:r>
              <w:rPr>
                <w:rFonts w:ascii="Calibri" w:hAnsi="Calibri"/>
                <w:b w:val="0"/>
                <w:i w:val="0"/>
                <w:color w:val="22333B"/>
                <w:sz w:val="19"/>
              </w:rPr>
              <w:t>Review, and revisit whenever the architecture changes</w:t>
            </w:r>
          </w:p>
        </w:tc>
      </w:tr>
    </w:tbl>
    <w:p>
      <w:pPr>
        <w:spacing w:after="100"/>
      </w:pPr>
      <w:r>
        <w:rPr>
          <w:rFonts w:ascii="Calibri" w:hAnsi="Calibri"/>
          <w:b w:val="0"/>
          <w:i/>
          <w:color w:val="4E626D"/>
          <w:sz w:val="19"/>
        </w:rPr>
        <w:t>STRIDE: Spoofing · Tampering · Repudiation · Information disclosure · Denial of service · Elevation of privilege. In a clinical setting, denial of service is frequently the highest patient risk — do not import a severity scale that ranks availability third.</w:t>
      </w:r>
    </w:p>
    <w:p>
      <w:pPr>
        <w:keepNext/>
        <w:spacing w:after="40" w:before="140"/>
      </w:pPr>
      <w:r>
        <w:rPr>
          <w:rFonts w:ascii="Calibri" w:hAnsi="Calibri"/>
          <w:b/>
          <w:color w:val="0E7C7B"/>
          <w:sz w:val="21"/>
        </w:rPr>
        <w:t>The vulnerability management loop</w:t>
      </w:r>
    </w:p>
    <w:p>
      <w:pPr>
        <w:spacing w:after="60"/>
      </w:pPr>
      <w:r>
        <w:rPr>
          <w:rFonts w:ascii="Calibri" w:hAnsi="Calibri"/>
          <w:b/>
          <w:i w:val="0"/>
          <w:color w:val="1B3A4B"/>
          <w:sz w:val="20"/>
        </w:rPr>
        <w:t>Monitor  →  Triage  →  Assess  →  Decide  →  Act and communicate</w:t>
      </w:r>
    </w:p>
    <w:p>
      <w:pPr>
        <w:pStyle w:val="ListBullet"/>
        <w:spacing w:after="50" w:line="254" w:lineRule="auto"/>
        <w:ind w:left="576"/>
      </w:pPr>
      <w:r>
        <w:rPr>
          <w:rFonts w:ascii="Calibri" w:hAnsi="Calibri"/>
          <w:b/>
          <w:color w:val="1B3A4B"/>
          <w:sz w:val="20"/>
        </w:rPr>
        <w:t xml:space="preserve">CVSS is an input, not an answer: </w:t>
      </w:r>
      <w:r>
        <w:rPr>
          <w:rFonts w:ascii="Calibri" w:hAnsi="Calibri"/>
          <w:color w:val="22333B"/>
          <w:sz w:val="20"/>
        </w:rPr>
        <w:t>a base score describes a vulnerability in the abstract. It knows nothing about your architecture, your compensating controls, or what happens clinically if the device stops. Use it to prioritise triage; assess clinical consequence separately.</w:t>
      </w:r>
    </w:p>
    <w:p>
      <w:pPr>
        <w:pStyle w:val="ListBullet"/>
        <w:spacing w:after="50" w:line="254" w:lineRule="auto"/>
        <w:ind w:left="576"/>
      </w:pPr>
      <w:r>
        <w:rPr>
          <w:rFonts w:ascii="Calibri" w:hAnsi="Calibri"/>
          <w:b/>
          <w:color w:val="1B3A4B"/>
          <w:sz w:val="20"/>
        </w:rPr>
        <w:t xml:space="preserve">VEX: </w:t>
      </w:r>
      <w:r>
        <w:rPr>
          <w:rFonts w:ascii="Calibri" w:hAnsi="Calibri"/>
          <w:color w:val="22333B"/>
          <w:sz w:val="20"/>
        </w:rPr>
        <w:t>a machine-readable statement that a component is present but the vulnerability is not exploitable in your product, and why. Without it, SBOM transparency generates noise that exhausts you and your customers.</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The question an SBOM exists to answer</w:t>
            </w:r>
          </w:p>
          <w:p>
            <w:pPr>
              <w:spacing w:after="80"/>
            </w:pPr>
            <w:r>
              <w:rPr>
                <w:rFonts w:ascii="Calibri" w:hAnsi="Calibri"/>
                <w:color w:val="22333B"/>
                <w:sz w:val="19"/>
              </w:rPr>
              <w:t>A serious vulnerability is announced in a widely used component on a Friday afternoon. Your customers' security teams will ask the same thing within hours: are we affected? Without an SBOM that is weeks of archaeology; with a machine-readable one it is a query. Build it as an operational capability — the compliance artefact is a by-product.</w:t>
            </w:r>
          </w:p>
        </w:tc>
      </w:tr>
    </w:tbl>
    <w:p>
      <w:pPr>
        <w:spacing w:after="100" w:before="0" w:line="240" w:lineRule="auto"/>
      </w:pPr>
      <w:r>
        <w:rPr>
          <w:sz w:val="2"/>
        </w:rPr>
      </w:r>
    </w:p>
    <w:p>
      <w:pPr>
        <w:pageBreakBefore/>
        <w:spacing w:after="40" w:before="0"/>
      </w:pPr>
      <w:r>
        <w:rPr>
          <w:rFonts w:ascii="Calibri" w:hAnsi="Calibri"/>
          <w:b/>
          <w:color w:val="A83A3C"/>
          <w:sz w:val="17"/>
          <w:spacing w:val="30"/>
        </w:rPr>
        <w:t>WORKING SESSION 2  ·  15 MINUTES  ·  TABLETOP</w:t>
      </w:r>
    </w:p>
    <w:p>
      <w:pPr>
        <w:spacing w:after="80" w:before="0"/>
      </w:pPr>
      <w:r>
        <w:rPr>
          <w:rFonts w:ascii="Cambria" w:hAnsi="Cambria"/>
          <w:b/>
          <w:color w:val="1B3A4B"/>
          <w:sz w:val="36"/>
        </w:rPr>
        <w:t>Monday morning, 07:40</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0"/>
              </w:rPr>
              <w:t>The situation</w:t>
            </w:r>
          </w:p>
          <w:p>
            <w:pPr>
              <w:spacing w:after="80"/>
            </w:pPr>
            <w:r>
              <w:rPr>
                <w:rFonts w:ascii="Calibri" w:hAnsi="Calibri"/>
                <w:color w:val="22333B"/>
                <w:sz w:val="19"/>
              </w:rPr>
              <w:t>An independent security researcher emails your general support address.</w:t>
            </w:r>
          </w:p>
          <w:p>
            <w:pPr>
              <w:spacing w:after="80"/>
            </w:pPr>
            <w:r>
              <w:rPr>
                <w:rFonts w:ascii="Calibri" w:hAnsi="Calibri"/>
                <w:color w:val="22333B"/>
                <w:sz w:val="19"/>
              </w:rPr>
              <w:t>A third-party Bluetooth library used in your infusion pump — firmware v3.2, approximately 14,000 units in clinical use — contains an unauthenticated remote code execution flaw. CVSS base score 9.8. They have attached a working proof of concept demonstrated at 10 metres. They have not published, and they ask for a response within 90 days.</w:t>
            </w:r>
          </w:p>
          <w:p>
            <w:pPr>
              <w:spacing w:after="80"/>
            </w:pPr>
            <w:r>
              <w:rPr>
                <w:rFonts w:ascii="Calibri" w:hAnsi="Calibri"/>
                <w:color w:val="22333B"/>
                <w:sz w:val="19"/>
              </w:rPr>
              <w:t>Two complications: patching requires the pump to be taken out of service for approximately 20 minutes, and roughly 4,200 units are on an earlier hardware revision that cannot accept the update at all.</w:t>
            </w:r>
          </w:p>
        </w:tc>
      </w:tr>
    </w:tbl>
    <w:p>
      <w:pPr>
        <w:spacing w:after="100" w:before="0" w:line="240" w:lineRule="auto"/>
      </w:pPr>
      <w:r>
        <w:rPr>
          <w:sz w:val="2"/>
        </w:rPr>
      </w:r>
    </w:p>
    <w:p>
      <w:pPr>
        <w:keepNext/>
        <w:spacing w:after="40" w:before="160"/>
      </w:pPr>
      <w:r>
        <w:rPr>
          <w:rFonts w:ascii="Calibri" w:hAnsi="Calibri"/>
          <w:b/>
          <w:color w:val="0E7C7B"/>
          <w:sz w:val="21"/>
        </w:rPr>
        <w:t>Round 1 — the first four hours</w:t>
      </w:r>
    </w:p>
    <w:p>
      <w:pPr>
        <w:spacing w:after="60"/>
      </w:pPr>
      <w:r>
        <w:rPr>
          <w:rFonts w:ascii="Calibri" w:hAnsi="Calibri"/>
          <w:b w:val="0"/>
          <w:i/>
          <w:color w:val="4E626D"/>
          <w:sz w:val="19"/>
        </w:rPr>
        <w:t>Who needs to be in the room, and who makes the call?  What three things must you establish before deciding anything?  What do you send back to the researcher today?</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keepNext/>
        <w:spacing w:after="40" w:before="140"/>
      </w:pPr>
      <w:r>
        <w:rPr>
          <w:rFonts w:ascii="Calibri" w:hAnsi="Calibri"/>
          <w:b/>
          <w:color w:val="0E7C7B"/>
          <w:sz w:val="21"/>
        </w:rPr>
        <w:t>Round 2 — day three</w:t>
      </w:r>
    </w:p>
    <w:p>
      <w:pPr>
        <w:spacing w:after="60"/>
      </w:pPr>
      <w:r>
        <w:rPr>
          <w:rFonts w:ascii="Calibri" w:hAnsi="Calibri"/>
          <w:b w:val="0"/>
          <w:i/>
          <w:color w:val="4E626D"/>
          <w:sz w:val="19"/>
        </w:rPr>
        <w:t>Controlled or uncontrolled risk, and on what basis?  What drives your reporting decision, and who do you involve?  What do you tell customers, and when?</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keepNext/>
        <w:spacing w:after="40" w:before="140"/>
      </w:pPr>
      <w:r>
        <w:rPr>
          <w:rFonts w:ascii="Calibri" w:hAnsi="Calibri"/>
          <w:b/>
          <w:color w:val="0E7C7B"/>
          <w:sz w:val="21"/>
        </w:rPr>
        <w:t>Round 3 — day thirty</w:t>
      </w:r>
    </w:p>
    <w:p>
      <w:pPr>
        <w:spacing w:after="60"/>
      </w:pPr>
      <w:r>
        <w:rPr>
          <w:rFonts w:ascii="Calibri" w:hAnsi="Calibri"/>
          <w:b w:val="0"/>
          <w:i/>
          <w:color w:val="4E626D"/>
          <w:sz w:val="19"/>
        </w:rPr>
        <w:t>What are the real options for the 4,200 unpatchable units?  What compensating controls can hospitals apply now?  What would have made this a two-week problem instead?</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A83A3C"/>
          <w:sz w:val="17"/>
          <w:spacing w:val="30"/>
        </w:rPr>
        <w:t>WORKING SESSION 2  ·  DEBRIEF</w:t>
      </w:r>
    </w:p>
    <w:p>
      <w:pPr>
        <w:spacing w:after="80" w:before="0"/>
      </w:pPr>
      <w:r>
        <w:rPr>
          <w:rFonts w:ascii="Cambria" w:hAnsi="Cambria"/>
          <w:b/>
          <w:color w:val="1B3A4B"/>
          <w:sz w:val="34"/>
        </w:rPr>
        <w:t>What would have made this a two-week problem?</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The closing question</w:t>
            </w:r>
          </w:p>
          <w:p>
            <w:pPr>
              <w:spacing w:after="80"/>
            </w:pPr>
            <w:r>
              <w:rPr>
                <w:rFonts w:ascii="Calibri" w:hAnsi="Calibri"/>
                <w:color w:val="22333B"/>
                <w:sz w:val="19"/>
              </w:rPr>
              <w:t>Everything your table just listed was a decision available to you before Monday morning — an SBOM, a published disclosure route, a rehearsed emergency patch path, universal updateability, a way to reach hospital security teams directly. Capture the list here: it is your Part 4 agenda, and the most useful page in this workbook to take back to your own product.</w:t>
            </w:r>
          </w:p>
        </w:tc>
      </w:tr>
    </w:tbl>
    <w:p>
      <w:pPr>
        <w:spacing w:after="100" w:before="0" w:line="240" w:lineRule="auto"/>
      </w:pPr>
      <w:r>
        <w:rPr>
          <w:sz w:val="2"/>
        </w:rPr>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0E7C7B"/>
          <w:sz w:val="17"/>
          <w:spacing w:val="30"/>
        </w:rPr>
        <w:t>PART FOUR</w:t>
      </w:r>
    </w:p>
    <w:p>
      <w:pPr>
        <w:spacing w:after="80" w:before="0"/>
      </w:pPr>
      <w:r>
        <w:rPr>
          <w:rFonts w:ascii="Cambria" w:hAnsi="Cambria"/>
          <w:b/>
          <w:color w:val="1B3A4B"/>
          <w:sz w:val="36"/>
        </w:rPr>
        <w:t>Part 4 — Making it work</w:t>
      </w:r>
    </w:p>
    <w:p>
      <w:pPr>
        <w:spacing w:before="120" w:after="160"/>
        <w:pBdr>
          <w:bottom w:val="single" w:sz="6" w:space="1" w:color="D7E2E5"/>
        </w:pBdr>
      </w:pPr>
    </w:p>
    <w:p>
      <w:pPr>
        <w:keepNext/>
        <w:spacing w:after="40" w:before="0"/>
      </w:pPr>
      <w:r>
        <w:rPr>
          <w:rFonts w:ascii="Calibri" w:hAnsi="Calibri"/>
          <w:b/>
          <w:color w:val="0E7C7B"/>
          <w:sz w:val="21"/>
        </w:rPr>
        <w:t>One lifecycle, not two</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1" w:type="dxa"/>
      </w:tblPr>
      <w:tblGrid>
        <w:gridCol w:w="1728"/>
        <w:gridCol w:w="2664"/>
        <w:gridCol w:w="2736"/>
        <w:gridCol w:w="2664"/>
      </w:tblGrid>
      <w:tr>
        <w:trPr>
          <w:cantSplit/>
        </w:trPr>
        <w:tc>
          <w:tcPr>
            <w:tcW w:type="dxa" w:w="1728"/>
            <w:shd w:val="clear" w:color="auto" w:fill="1B3A4B"/>
          </w:tcPr>
          <w:p>
            <w:pPr>
              <w:spacing w:after="40" w:before="40"/>
            </w:pPr>
            <w:r/>
            <w:r>
              <w:rPr>
                <w:rFonts w:ascii="Calibri" w:hAnsi="Calibri"/>
                <w:b/>
                <w:i w:val="0"/>
                <w:color w:val="FFFFFF"/>
                <w:sz w:val="17"/>
              </w:rPr>
              <w:t>Stage</w:t>
            </w:r>
          </w:p>
        </w:tc>
        <w:tc>
          <w:tcPr>
            <w:tcW w:type="dxa" w:w="2664"/>
            <w:shd w:val="clear" w:color="auto" w:fill="1B3A4B"/>
          </w:tcPr>
          <w:p>
            <w:pPr>
              <w:spacing w:after="40" w:before="40"/>
            </w:pPr>
            <w:r/>
            <w:r>
              <w:rPr>
                <w:rFonts w:ascii="Calibri" w:hAnsi="Calibri"/>
                <w:b/>
                <w:i w:val="0"/>
                <w:color w:val="FFFFFF"/>
                <w:sz w:val="17"/>
              </w:rPr>
              <w:t>Validation</w:t>
            </w:r>
          </w:p>
        </w:tc>
        <w:tc>
          <w:tcPr>
            <w:tcW w:type="dxa" w:w="2736"/>
            <w:shd w:val="clear" w:color="auto" w:fill="1B3A4B"/>
          </w:tcPr>
          <w:p>
            <w:pPr>
              <w:spacing w:after="40" w:before="40"/>
            </w:pPr>
            <w:r/>
            <w:r>
              <w:rPr>
                <w:rFonts w:ascii="Calibri" w:hAnsi="Calibri"/>
                <w:b/>
                <w:i w:val="0"/>
                <w:color w:val="FFFFFF"/>
                <w:sz w:val="17"/>
              </w:rPr>
              <w:t>Security</w:t>
            </w:r>
          </w:p>
        </w:tc>
        <w:tc>
          <w:tcPr>
            <w:tcW w:type="dxa" w:w="2664"/>
            <w:shd w:val="clear" w:color="auto" w:fill="1B3A4B"/>
          </w:tcPr>
          <w:p>
            <w:pPr>
              <w:spacing w:after="40" w:before="40"/>
            </w:pPr>
            <w:r/>
            <w:r>
              <w:rPr>
                <w:rFonts w:ascii="Calibri" w:hAnsi="Calibri"/>
                <w:b/>
                <w:i w:val="0"/>
                <w:color w:val="FFFFFF"/>
                <w:sz w:val="17"/>
              </w:rPr>
              <w:t>Where they meet</w:t>
            </w:r>
          </w:p>
        </w:tc>
      </w:tr>
      <w:tr>
        <w:trPr>
          <w:cantSplit/>
        </w:trPr>
        <w:tc>
          <w:tcPr>
            <w:tcW w:type="dxa" w:w="1728"/>
          </w:tcPr>
          <w:p>
            <w:pPr>
              <w:spacing w:after="40" w:before="40"/>
            </w:pPr>
            <w:r/>
            <w:r>
              <w:rPr>
                <w:rFonts w:ascii="Calibri" w:hAnsi="Calibri"/>
                <w:b/>
                <w:i w:val="0"/>
                <w:color w:val="22333B"/>
                <w:sz w:val="17"/>
              </w:rPr>
              <w:t>Requirements</w:t>
            </w:r>
          </w:p>
        </w:tc>
        <w:tc>
          <w:tcPr>
            <w:tcW w:type="dxa" w:w="2664"/>
          </w:tcPr>
          <w:p>
            <w:pPr>
              <w:spacing w:after="40" w:before="40"/>
            </w:pPr>
            <w:r/>
            <w:r>
              <w:rPr>
                <w:rFonts w:ascii="Calibri" w:hAnsi="Calibri"/>
                <w:b w:val="0"/>
                <w:i w:val="0"/>
                <w:color w:val="22333B"/>
                <w:sz w:val="17"/>
              </w:rPr>
              <w:t>SRS from intended use and risk controls</w:t>
            </w:r>
          </w:p>
        </w:tc>
        <w:tc>
          <w:tcPr>
            <w:tcW w:type="dxa" w:w="2736"/>
          </w:tcPr>
          <w:p>
            <w:pPr>
              <w:spacing w:after="40" w:before="40"/>
            </w:pPr>
            <w:r/>
            <w:r>
              <w:rPr>
                <w:rFonts w:ascii="Calibri" w:hAnsi="Calibri"/>
                <w:b w:val="0"/>
                <w:i w:val="0"/>
                <w:color w:val="22333B"/>
                <w:sz w:val="17"/>
              </w:rPr>
              <w:t>Security requirements from the threat model</w:t>
            </w:r>
          </w:p>
        </w:tc>
        <w:tc>
          <w:tcPr>
            <w:tcW w:type="dxa" w:w="2664"/>
          </w:tcPr>
          <w:p>
            <w:pPr>
              <w:spacing w:after="40" w:before="40"/>
            </w:pPr>
            <w:r/>
            <w:r>
              <w:rPr>
                <w:rFonts w:ascii="Calibri" w:hAnsi="Calibri"/>
                <w:b/>
                <w:i w:val="0"/>
                <w:color w:val="0E7C7B"/>
                <w:sz w:val="17"/>
              </w:rPr>
              <w:t>One requirements specification</w:t>
            </w:r>
          </w:p>
        </w:tc>
      </w:tr>
      <w:tr>
        <w:trPr>
          <w:cantSplit/>
        </w:trPr>
        <w:tc>
          <w:tcPr>
            <w:tcW w:type="dxa" w:w="1728"/>
          </w:tcPr>
          <w:p>
            <w:pPr>
              <w:spacing w:after="40" w:before="40"/>
            </w:pPr>
            <w:r/>
            <w:r>
              <w:rPr>
                <w:rFonts w:ascii="Calibri" w:hAnsi="Calibri"/>
                <w:b/>
                <w:i w:val="0"/>
                <w:color w:val="22333B"/>
                <w:sz w:val="17"/>
              </w:rPr>
              <w:t>Architecture</w:t>
            </w:r>
          </w:p>
        </w:tc>
        <w:tc>
          <w:tcPr>
            <w:tcW w:type="dxa" w:w="2664"/>
          </w:tcPr>
          <w:p>
            <w:pPr>
              <w:spacing w:after="40" w:before="40"/>
            </w:pPr>
            <w:r/>
            <w:r>
              <w:rPr>
                <w:rFonts w:ascii="Calibri" w:hAnsi="Calibri"/>
                <w:b w:val="0"/>
                <w:i w:val="0"/>
                <w:color w:val="22333B"/>
                <w:sz w:val="17"/>
              </w:rPr>
              <w:t>Architecture, SOUP, segregation</w:t>
            </w:r>
          </w:p>
        </w:tc>
        <w:tc>
          <w:tcPr>
            <w:tcW w:type="dxa" w:w="2736"/>
          </w:tcPr>
          <w:p>
            <w:pPr>
              <w:spacing w:after="40" w:before="40"/>
            </w:pPr>
            <w:r/>
            <w:r>
              <w:rPr>
                <w:rFonts w:ascii="Calibri" w:hAnsi="Calibri"/>
                <w:b w:val="0"/>
                <w:i w:val="0"/>
                <w:color w:val="22333B"/>
                <w:sz w:val="17"/>
              </w:rPr>
              <w:t>Threat model, trust boundaries, four views</w:t>
            </w:r>
          </w:p>
        </w:tc>
        <w:tc>
          <w:tcPr>
            <w:tcW w:type="dxa" w:w="2664"/>
          </w:tcPr>
          <w:p>
            <w:pPr>
              <w:spacing w:after="40" w:before="40"/>
            </w:pPr>
            <w:r/>
            <w:r>
              <w:rPr>
                <w:rFonts w:ascii="Calibri" w:hAnsi="Calibri"/>
                <w:b/>
                <w:i w:val="0"/>
                <w:color w:val="0E7C7B"/>
                <w:sz w:val="17"/>
              </w:rPr>
              <w:t>Same diagrams; SOUP seeds the SBOM</w:t>
            </w:r>
          </w:p>
        </w:tc>
      </w:tr>
      <w:tr>
        <w:trPr>
          <w:cantSplit/>
        </w:trPr>
        <w:tc>
          <w:tcPr>
            <w:tcW w:type="dxa" w:w="1728"/>
          </w:tcPr>
          <w:p>
            <w:pPr>
              <w:spacing w:after="40" w:before="40"/>
            </w:pPr>
            <w:r/>
            <w:r>
              <w:rPr>
                <w:rFonts w:ascii="Calibri" w:hAnsi="Calibri"/>
                <w:b/>
                <w:i w:val="0"/>
                <w:color w:val="22333B"/>
                <w:sz w:val="17"/>
              </w:rPr>
              <w:t>Risk</w:t>
            </w:r>
          </w:p>
        </w:tc>
        <w:tc>
          <w:tcPr>
            <w:tcW w:type="dxa" w:w="2664"/>
          </w:tcPr>
          <w:p>
            <w:pPr>
              <w:spacing w:after="40" w:before="40"/>
            </w:pPr>
            <w:r/>
            <w:r>
              <w:rPr>
                <w:rFonts w:ascii="Calibri" w:hAnsi="Calibri"/>
                <w:b w:val="0"/>
                <w:i w:val="0"/>
                <w:color w:val="22333B"/>
                <w:sz w:val="17"/>
              </w:rPr>
              <w:t>ISO 14971 hazard analysis</w:t>
            </w:r>
          </w:p>
        </w:tc>
        <w:tc>
          <w:tcPr>
            <w:tcW w:type="dxa" w:w="2736"/>
          </w:tcPr>
          <w:p>
            <w:pPr>
              <w:spacing w:after="40" w:before="40"/>
            </w:pPr>
            <w:r/>
            <w:r>
              <w:rPr>
                <w:rFonts w:ascii="Calibri" w:hAnsi="Calibri"/>
                <w:b w:val="0"/>
                <w:i w:val="0"/>
                <w:color w:val="22333B"/>
                <w:sz w:val="17"/>
              </w:rPr>
              <w:t>Exploitability assessment</w:t>
            </w:r>
          </w:p>
        </w:tc>
        <w:tc>
          <w:tcPr>
            <w:tcW w:type="dxa" w:w="2664"/>
          </w:tcPr>
          <w:p>
            <w:pPr>
              <w:spacing w:after="40" w:before="40"/>
            </w:pPr>
            <w:r/>
            <w:r>
              <w:rPr>
                <w:rFonts w:ascii="Calibri" w:hAnsi="Calibri"/>
                <w:b/>
                <w:i w:val="0"/>
                <w:color w:val="0E7C7B"/>
                <w:sz w:val="17"/>
              </w:rPr>
              <w:t>Separate methods; exploit paths to harm enter the 14971 file</w:t>
            </w:r>
          </w:p>
        </w:tc>
      </w:tr>
      <w:tr>
        <w:trPr>
          <w:cantSplit/>
        </w:trPr>
        <w:tc>
          <w:tcPr>
            <w:tcW w:type="dxa" w:w="1728"/>
          </w:tcPr>
          <w:p>
            <w:pPr>
              <w:spacing w:after="40" w:before="40"/>
            </w:pPr>
            <w:r/>
            <w:r>
              <w:rPr>
                <w:rFonts w:ascii="Calibri" w:hAnsi="Calibri"/>
                <w:b/>
                <w:i w:val="0"/>
                <w:color w:val="22333B"/>
                <w:sz w:val="17"/>
              </w:rPr>
              <w:t>Verification</w:t>
            </w:r>
          </w:p>
        </w:tc>
        <w:tc>
          <w:tcPr>
            <w:tcW w:type="dxa" w:w="2664"/>
          </w:tcPr>
          <w:p>
            <w:pPr>
              <w:spacing w:after="40" w:before="40"/>
            </w:pPr>
            <w:r/>
            <w:r>
              <w:rPr>
                <w:rFonts w:ascii="Calibri" w:hAnsi="Calibri"/>
                <w:b w:val="0"/>
                <w:i w:val="0"/>
                <w:color w:val="22333B"/>
                <w:sz w:val="17"/>
              </w:rPr>
              <w:t>Unit, integration, system testing</w:t>
            </w:r>
          </w:p>
        </w:tc>
        <w:tc>
          <w:tcPr>
            <w:tcW w:type="dxa" w:w="2736"/>
          </w:tcPr>
          <w:p>
            <w:pPr>
              <w:spacing w:after="40" w:before="40"/>
            </w:pPr>
            <w:r/>
            <w:r>
              <w:rPr>
                <w:rFonts w:ascii="Calibri" w:hAnsi="Calibri"/>
                <w:b w:val="0"/>
                <w:i w:val="0"/>
                <w:color w:val="22333B"/>
                <w:sz w:val="17"/>
              </w:rPr>
              <w:t>Requirements, threat mitigation, vulnerability, penetration testing</w:t>
            </w:r>
          </w:p>
        </w:tc>
        <w:tc>
          <w:tcPr>
            <w:tcW w:type="dxa" w:w="2664"/>
          </w:tcPr>
          <w:p>
            <w:pPr>
              <w:spacing w:after="40" w:before="40"/>
            </w:pPr>
            <w:r/>
            <w:r>
              <w:rPr>
                <w:rFonts w:ascii="Calibri" w:hAnsi="Calibri"/>
                <w:b/>
                <w:i w:val="0"/>
                <w:color w:val="0E7C7B"/>
                <w:sz w:val="17"/>
              </w:rPr>
              <w:t>One test strategy, one matrix</w:t>
            </w:r>
          </w:p>
        </w:tc>
      </w:tr>
      <w:tr>
        <w:trPr>
          <w:cantSplit/>
        </w:trPr>
        <w:tc>
          <w:tcPr>
            <w:tcW w:type="dxa" w:w="1728"/>
          </w:tcPr>
          <w:p>
            <w:pPr>
              <w:spacing w:after="40" w:before="40"/>
            </w:pPr>
            <w:r/>
            <w:r>
              <w:rPr>
                <w:rFonts w:ascii="Calibri" w:hAnsi="Calibri"/>
                <w:b/>
                <w:i w:val="0"/>
                <w:color w:val="22333B"/>
                <w:sz w:val="17"/>
              </w:rPr>
              <w:t>Post-release</w:t>
            </w:r>
          </w:p>
        </w:tc>
        <w:tc>
          <w:tcPr>
            <w:tcW w:type="dxa" w:w="2664"/>
          </w:tcPr>
          <w:p>
            <w:pPr>
              <w:spacing w:after="40" w:before="40"/>
            </w:pPr>
            <w:r/>
            <w:r>
              <w:rPr>
                <w:rFonts w:ascii="Calibri" w:hAnsi="Calibri"/>
                <w:b w:val="0"/>
                <w:i w:val="0"/>
                <w:color w:val="22333B"/>
                <w:sz w:val="17"/>
              </w:rPr>
              <w:t>Complaints, defects, change control</w:t>
            </w:r>
          </w:p>
        </w:tc>
        <w:tc>
          <w:tcPr>
            <w:tcW w:type="dxa" w:w="2736"/>
          </w:tcPr>
          <w:p>
            <w:pPr>
              <w:spacing w:after="40" w:before="40"/>
            </w:pPr>
            <w:r/>
            <w:r>
              <w:rPr>
                <w:rFonts w:ascii="Calibri" w:hAnsi="Calibri"/>
                <w:b w:val="0"/>
                <w:i w:val="0"/>
                <w:color w:val="22333B"/>
                <w:sz w:val="17"/>
              </w:rPr>
              <w:t>Vulnerability monitoring, disclosure, patching</w:t>
            </w:r>
          </w:p>
        </w:tc>
        <w:tc>
          <w:tcPr>
            <w:tcW w:type="dxa" w:w="2664"/>
          </w:tcPr>
          <w:p>
            <w:pPr>
              <w:spacing w:after="40" w:before="40"/>
            </w:pPr>
            <w:r/>
            <w:r>
              <w:rPr>
                <w:rFonts w:ascii="Calibri" w:hAnsi="Calibri"/>
                <w:b/>
                <w:i w:val="0"/>
                <w:color w:val="0E7C7B"/>
                <w:sz w:val="17"/>
              </w:rPr>
              <w:t>One intake, one triage, one change process</w:t>
            </w:r>
          </w:p>
        </w:tc>
      </w:tr>
    </w:tbl>
    <w:p>
      <w:pPr>
        <w:keepNext/>
        <w:spacing w:after="40" w:before="140"/>
      </w:pPr>
      <w:r>
        <w:rPr>
          <w:rFonts w:ascii="Calibri" w:hAnsi="Calibri"/>
          <w:b/>
          <w:color w:val="0E7C7B"/>
          <w:sz w:val="21"/>
        </w:rPr>
        <w:t>Where to start</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268"/>
        <w:gridCol w:w="3268"/>
        <w:gridCol w:w="3254"/>
      </w:tblGrid>
      <w:tr>
        <w:trPr>
          <w:cantSplit/>
        </w:trPr>
        <w:tc>
          <w:tcPr>
            <w:tcW w:type="dxa" w:w="3269"/>
            <w:shd w:val="clear" w:color="auto" w:fill="1B3A4B"/>
          </w:tcPr>
          <w:p>
            <w:pPr>
              <w:spacing w:after="40" w:before="40"/>
            </w:pPr>
            <w:r/>
            <w:r>
              <w:rPr>
                <w:rFonts w:ascii="Calibri" w:hAnsi="Calibri"/>
                <w:b/>
                <w:i w:val="0"/>
                <w:color w:val="FFFFFF"/>
                <w:sz w:val="17"/>
              </w:rPr>
              <w:t>First 30 days — find out where you stand</w:t>
            </w:r>
          </w:p>
        </w:tc>
        <w:tc>
          <w:tcPr>
            <w:tcW w:type="dxa" w:w="3269"/>
            <w:shd w:val="clear" w:color="auto" w:fill="1B3A4B"/>
          </w:tcPr>
          <w:p>
            <w:pPr>
              <w:spacing w:after="40" w:before="40"/>
            </w:pPr>
            <w:r/>
            <w:r>
              <w:rPr>
                <w:rFonts w:ascii="Calibri" w:hAnsi="Calibri"/>
                <w:b/>
                <w:i w:val="0"/>
                <w:color w:val="FFFFFF"/>
                <w:sz w:val="17"/>
              </w:rPr>
              <w:t>Days 30–60 — build the capability</w:t>
            </w:r>
          </w:p>
        </w:tc>
        <w:tc>
          <w:tcPr>
            <w:tcW w:type="dxa" w:w="3254"/>
            <w:shd w:val="clear" w:color="auto" w:fill="1B3A4B"/>
          </w:tcPr>
          <w:p>
            <w:pPr>
              <w:spacing w:after="40" w:before="40"/>
            </w:pPr>
            <w:r/>
            <w:r>
              <w:rPr>
                <w:rFonts w:ascii="Calibri" w:hAnsi="Calibri"/>
                <w:b/>
                <w:i w:val="0"/>
                <w:color w:val="FFFFFF"/>
                <w:sz w:val="17"/>
              </w:rPr>
              <w:t>Days 60–90 — make it a system</w:t>
            </w:r>
          </w:p>
        </w:tc>
      </w:tr>
      <w:tr>
        <w:trPr>
          <w:cantSplit/>
        </w:trPr>
        <w:tc>
          <w:tcPr>
            <w:tcW w:type="dxa" w:w="3269"/>
          </w:tcPr>
          <w:p>
            <w:pPr>
              <w:spacing w:after="40" w:before="40"/>
            </w:pPr>
            <w:r/>
            <w:r>
              <w:rPr>
                <w:rFonts w:ascii="Calibri" w:hAnsi="Calibri"/>
                <w:b w:val="0"/>
                <w:i w:val="0"/>
                <w:color w:val="22333B"/>
                <w:sz w:val="17"/>
              </w:rPr>
              <w:t>Determine formally whether each product is a cyber device, and record the reasoning</w:t>
            </w:r>
          </w:p>
          <w:p>
            <w:pPr>
              <w:spacing w:after="40"/>
            </w:pPr>
            <w:r>
              <w:rPr>
                <w:rFonts w:ascii="Calibri" w:hAnsi="Calibri"/>
                <w:b w:val="0"/>
                <w:i w:val="0"/>
                <w:color w:val="22333B"/>
                <w:sz w:val="17"/>
              </w:rPr>
            </w:r>
          </w:p>
          <w:p>
            <w:pPr>
              <w:spacing w:after="40"/>
            </w:pPr>
            <w:r>
              <w:rPr>
                <w:rFonts w:ascii="Calibri" w:hAnsi="Calibri"/>
                <w:b w:val="0"/>
                <w:i w:val="0"/>
                <w:color w:val="22333B"/>
                <w:sz w:val="17"/>
              </w:rPr>
              <w:t>Produce a component inventory for one product, generated from the build</w:t>
            </w:r>
          </w:p>
          <w:p>
            <w:pPr>
              <w:spacing w:after="40"/>
            </w:pPr>
            <w:r>
              <w:rPr>
                <w:rFonts w:ascii="Calibri" w:hAnsi="Calibri"/>
                <w:b w:val="0"/>
                <w:i w:val="0"/>
                <w:color w:val="22333B"/>
                <w:sz w:val="17"/>
              </w:rPr>
            </w:r>
          </w:p>
          <w:p>
            <w:pPr>
              <w:spacing w:after="40"/>
            </w:pPr>
            <w:r>
              <w:rPr>
                <w:rFonts w:ascii="Calibri" w:hAnsi="Calibri"/>
                <w:b w:val="0"/>
                <w:i w:val="0"/>
                <w:color w:val="22333B"/>
                <w:sz w:val="17"/>
              </w:rPr>
              <w:t>Publish a security contact and disclosure policy</w:t>
            </w:r>
          </w:p>
          <w:p>
            <w:pPr>
              <w:spacing w:after="40"/>
            </w:pPr>
            <w:r>
              <w:rPr>
                <w:rFonts w:ascii="Calibri" w:hAnsi="Calibri"/>
                <w:b w:val="0"/>
                <w:i w:val="0"/>
                <w:color w:val="22333B"/>
                <w:sz w:val="17"/>
              </w:rPr>
            </w:r>
          </w:p>
          <w:p>
            <w:pPr>
              <w:spacing w:after="40"/>
            </w:pPr>
            <w:r>
              <w:rPr>
                <w:rFonts w:ascii="Calibri" w:hAnsi="Calibri"/>
                <w:b w:val="0"/>
                <w:i w:val="0"/>
                <w:color w:val="22333B"/>
                <w:sz w:val="17"/>
              </w:rPr>
              <w:t>Name an owner for vulnerability monitoring, with a response time</w:t>
            </w:r>
          </w:p>
          <w:p>
            <w:pPr>
              <w:spacing w:after="40"/>
            </w:pPr>
            <w:r>
              <w:rPr>
                <w:rFonts w:ascii="Calibri" w:hAnsi="Calibri"/>
                <w:b w:val="0"/>
                <w:i w:val="0"/>
                <w:color w:val="22333B"/>
                <w:sz w:val="17"/>
              </w:rPr>
            </w:r>
          </w:p>
          <w:p>
            <w:pPr>
              <w:spacing w:after="40"/>
            </w:pPr>
            <w:r>
              <w:rPr>
                <w:rFonts w:ascii="Calibri" w:hAnsi="Calibri"/>
                <w:b w:val="0"/>
                <w:i w:val="0"/>
                <w:color w:val="22333B"/>
                <w:sz w:val="17"/>
              </w:rPr>
              <w:t>Check SOPs for retired vocabulary — Level of Concern, pre-QMSR citations</w:t>
            </w:r>
          </w:p>
        </w:tc>
        <w:tc>
          <w:tcPr>
            <w:tcW w:type="dxa" w:w="3269"/>
          </w:tcPr>
          <w:p>
            <w:pPr>
              <w:spacing w:after="40" w:before="40"/>
            </w:pPr>
            <w:r/>
            <w:r>
              <w:rPr>
                <w:rFonts w:ascii="Calibri" w:hAnsi="Calibri"/>
                <w:b w:val="0"/>
                <w:i w:val="0"/>
                <w:color w:val="22333B"/>
                <w:sz w:val="17"/>
              </w:rPr>
              <w:t>Run one threat model on your highest-risk product</w:t>
            </w:r>
          </w:p>
          <w:p>
            <w:pPr>
              <w:spacing w:after="40"/>
            </w:pPr>
            <w:r>
              <w:rPr>
                <w:rFonts w:ascii="Calibri" w:hAnsi="Calibri"/>
                <w:b w:val="0"/>
                <w:i w:val="0"/>
                <w:color w:val="22333B"/>
                <w:sz w:val="17"/>
              </w:rPr>
            </w:r>
          </w:p>
          <w:p>
            <w:pPr>
              <w:spacing w:after="40"/>
            </w:pPr>
            <w:r>
              <w:rPr>
                <w:rFonts w:ascii="Calibri" w:hAnsi="Calibri"/>
                <w:b w:val="0"/>
                <w:i w:val="0"/>
                <w:color w:val="22333B"/>
                <w:sz w:val="17"/>
              </w:rPr>
              <w:t>Audit requirements for testability, especially security requirements</w:t>
            </w:r>
          </w:p>
          <w:p>
            <w:pPr>
              <w:spacing w:after="40"/>
            </w:pPr>
            <w:r>
              <w:rPr>
                <w:rFonts w:ascii="Calibri" w:hAnsi="Calibri"/>
                <w:b w:val="0"/>
                <w:i w:val="0"/>
                <w:color w:val="22333B"/>
                <w:sz w:val="17"/>
              </w:rPr>
            </w:r>
          </w:p>
          <w:p>
            <w:pPr>
              <w:spacing w:after="40"/>
            </w:pPr>
            <w:r>
              <w:rPr>
                <w:rFonts w:ascii="Calibri" w:hAnsi="Calibri"/>
                <w:b w:val="0"/>
                <w:i w:val="0"/>
                <w:color w:val="22333B"/>
                <w:sz w:val="17"/>
              </w:rPr>
              <w:t>Close the traceability gaps you already know about</w:t>
            </w:r>
          </w:p>
          <w:p>
            <w:pPr>
              <w:spacing w:after="40"/>
            </w:pPr>
            <w:r>
              <w:rPr>
                <w:rFonts w:ascii="Calibri" w:hAnsi="Calibri"/>
                <w:b w:val="0"/>
                <w:i w:val="0"/>
                <w:color w:val="22333B"/>
                <w:sz w:val="17"/>
              </w:rPr>
            </w:r>
          </w:p>
          <w:p>
            <w:pPr>
              <w:spacing w:after="40"/>
            </w:pPr>
            <w:r>
              <w:rPr>
                <w:rFonts w:ascii="Calibri" w:hAnsi="Calibri"/>
                <w:b w:val="0"/>
                <w:i w:val="0"/>
                <w:color w:val="22333B"/>
                <w:sz w:val="17"/>
              </w:rPr>
              <w:t>Define the release gate and the emergency patch path — then rehearse it</w:t>
            </w:r>
          </w:p>
          <w:p>
            <w:pPr>
              <w:spacing w:after="40"/>
            </w:pPr>
            <w:r>
              <w:rPr>
                <w:rFonts w:ascii="Calibri" w:hAnsi="Calibri"/>
                <w:b w:val="0"/>
                <w:i w:val="0"/>
                <w:color w:val="22333B"/>
                <w:sz w:val="17"/>
              </w:rPr>
            </w:r>
          </w:p>
          <w:p>
            <w:pPr>
              <w:spacing w:after="40"/>
            </w:pPr>
            <w:r>
              <w:rPr>
                <w:rFonts w:ascii="Calibri" w:hAnsi="Calibri"/>
                <w:b w:val="0"/>
                <w:i w:val="0"/>
                <w:color w:val="22333B"/>
                <w:sz w:val="17"/>
              </w:rPr>
              <w:t>Map cloud and supplier dependencies into change control</w:t>
            </w:r>
          </w:p>
        </w:tc>
        <w:tc>
          <w:tcPr>
            <w:tcW w:type="dxa" w:w="3254"/>
          </w:tcPr>
          <w:p>
            <w:pPr>
              <w:spacing w:after="40" w:before="40"/>
            </w:pPr>
            <w:r/>
            <w:r>
              <w:rPr>
                <w:rFonts w:ascii="Calibri" w:hAnsi="Calibri"/>
                <w:b w:val="0"/>
                <w:i w:val="0"/>
                <w:color w:val="22333B"/>
                <w:sz w:val="17"/>
              </w:rPr>
              <w:t>Integrate: one requirements specification, one matrix, one intake queue</w:t>
            </w:r>
          </w:p>
          <w:p>
            <w:pPr>
              <w:spacing w:after="40"/>
            </w:pPr>
            <w:r>
              <w:rPr>
                <w:rFonts w:ascii="Calibri" w:hAnsi="Calibri"/>
                <w:b w:val="0"/>
                <w:i w:val="0"/>
                <w:color w:val="22333B"/>
                <w:sz w:val="17"/>
              </w:rPr>
            </w:r>
          </w:p>
          <w:p>
            <w:pPr>
              <w:spacing w:after="40"/>
            </w:pPr>
            <w:r>
              <w:rPr>
                <w:rFonts w:ascii="Calibri" w:hAnsi="Calibri"/>
                <w:b w:val="0"/>
                <w:i w:val="0"/>
                <w:color w:val="22333B"/>
                <w:sz w:val="17"/>
              </w:rPr>
              <w:t>Automate SBOM generation and vulnerability matching in the pipeline</w:t>
            </w:r>
          </w:p>
          <w:p>
            <w:pPr>
              <w:spacing w:after="40"/>
            </w:pPr>
            <w:r>
              <w:rPr>
                <w:rFonts w:ascii="Calibri" w:hAnsi="Calibri"/>
                <w:b w:val="0"/>
                <w:i w:val="0"/>
                <w:color w:val="22333B"/>
                <w:sz w:val="17"/>
              </w:rPr>
            </w:r>
          </w:p>
          <w:p>
            <w:pPr>
              <w:spacing w:after="40"/>
            </w:pPr>
            <w:r>
              <w:rPr>
                <w:rFonts w:ascii="Calibri" w:hAnsi="Calibri"/>
                <w:b w:val="0"/>
                <w:i w:val="0"/>
                <w:color w:val="22333B"/>
                <w:sz w:val="17"/>
              </w:rPr>
              <w:t>Set your patch cadence and be able to justify it</w:t>
            </w:r>
          </w:p>
          <w:p>
            <w:pPr>
              <w:spacing w:after="40"/>
            </w:pPr>
            <w:r>
              <w:rPr>
                <w:rFonts w:ascii="Calibri" w:hAnsi="Calibri"/>
                <w:b w:val="0"/>
                <w:i w:val="0"/>
                <w:color w:val="22333B"/>
                <w:sz w:val="17"/>
              </w:rPr>
            </w:r>
          </w:p>
          <w:p>
            <w:pPr>
              <w:spacing w:after="40"/>
            </w:pPr>
            <w:r>
              <w:rPr>
                <w:rFonts w:ascii="Calibri" w:hAnsi="Calibri"/>
                <w:b w:val="0"/>
                <w:i w:val="0"/>
                <w:color w:val="22333B"/>
                <w:sz w:val="17"/>
              </w:rPr>
              <w:t>Publish end-of-support dates for fielded products</w:t>
            </w:r>
          </w:p>
          <w:p>
            <w:pPr>
              <w:spacing w:after="40"/>
            </w:pPr>
            <w:r>
              <w:rPr>
                <w:rFonts w:ascii="Calibri" w:hAnsi="Calibri"/>
                <w:b w:val="0"/>
                <w:i w:val="0"/>
                <w:color w:val="22333B"/>
                <w:sz w:val="17"/>
              </w:rPr>
            </w:r>
          </w:p>
          <w:p>
            <w:pPr>
              <w:spacing w:after="40"/>
            </w:pPr>
            <w:r>
              <w:rPr>
                <w:rFonts w:ascii="Calibri" w:hAnsi="Calibri"/>
                <w:b w:val="0"/>
                <w:i w:val="0"/>
                <w:color w:val="22333B"/>
                <w:sz w:val="17"/>
              </w:rPr>
              <w:t>Put the security architecture views into your design documentation template</w:t>
            </w:r>
          </w:p>
        </w:tc>
      </w:tr>
    </w:tbl>
    <w:p>
      <w:pPr>
        <w:keepNext/>
        <w:spacing w:after="40" w:before="140"/>
      </w:pPr>
      <w:r>
        <w:rPr>
          <w:rFonts w:ascii="Calibri" w:hAnsi="Calibri"/>
          <w:b/>
          <w:color w:val="0E7C7B"/>
          <w:sz w:val="21"/>
        </w:rPr>
        <w:t>Five things worth remembering</w:t>
      </w:r>
    </w:p>
    <w:p>
      <w:pPr>
        <w:spacing w:after="50" w:line="254" w:lineRule="auto"/>
        <w:ind w:left="792" w:hanging="432"/>
      </w:pPr>
      <w:r>
        <w:rPr>
          <w:rFonts w:ascii="Calibri" w:hAnsi="Calibri"/>
          <w:b/>
          <w:color w:val="0E7C7B"/>
          <w:sz w:val="20"/>
        </w:rPr>
        <w:t xml:space="preserve">1.  </w:t>
      </w:r>
      <w:r>
        <w:rPr>
          <w:rFonts w:ascii="Calibri" w:hAnsi="Calibri"/>
          <w:b/>
          <w:color w:val="1B3A4B"/>
          <w:sz w:val="20"/>
        </w:rPr>
        <w:t xml:space="preserve">Security is a safety property, not an IT concern. </w:t>
      </w:r>
      <w:r>
        <w:rPr>
          <w:rFonts w:ascii="Calibri" w:hAnsi="Calibri"/>
          <w:color w:val="22333B"/>
          <w:sz w:val="20"/>
        </w:rPr>
        <w:t>If an attacker can make your device harm a patient, that is a hazardous situation and it belongs in the risk management file.</w:t>
      </w:r>
    </w:p>
    <w:p>
      <w:pPr>
        <w:spacing w:after="50" w:line="254" w:lineRule="auto"/>
        <w:ind w:left="792" w:hanging="432"/>
      </w:pPr>
      <w:r>
        <w:rPr>
          <w:rFonts w:ascii="Calibri" w:hAnsi="Calibri"/>
          <w:b/>
          <w:color w:val="0E7C7B"/>
          <w:sz w:val="20"/>
        </w:rPr>
        <w:t xml:space="preserve">2.  </w:t>
      </w:r>
      <w:r>
        <w:rPr>
          <w:rFonts w:ascii="Calibri" w:hAnsi="Calibri"/>
          <w:b/>
          <w:color w:val="1B3A4B"/>
          <w:sz w:val="20"/>
        </w:rPr>
        <w:t xml:space="preserve">The obligations are now lifecycle obligations. </w:t>
      </w:r>
      <w:r>
        <w:rPr>
          <w:rFonts w:ascii="Calibri" w:hAnsi="Calibri"/>
          <w:color w:val="22333B"/>
          <w:sz w:val="20"/>
        </w:rPr>
        <w:t>The question moved from “was it right at release?” to “can you keep it right?”</w:t>
      </w:r>
    </w:p>
    <w:p>
      <w:pPr>
        <w:spacing w:after="50" w:line="254" w:lineRule="auto"/>
        <w:ind w:left="792" w:hanging="432"/>
      </w:pPr>
      <w:r>
        <w:rPr>
          <w:rFonts w:ascii="Calibri" w:hAnsi="Calibri"/>
          <w:b/>
          <w:color w:val="0E7C7B"/>
          <w:sz w:val="20"/>
        </w:rPr>
        <w:t xml:space="preserve">3.  </w:t>
      </w:r>
      <w:r>
        <w:rPr>
          <w:rFonts w:ascii="Calibri" w:hAnsi="Calibri"/>
          <w:b/>
          <w:color w:val="1B3A4B"/>
          <w:sz w:val="20"/>
        </w:rPr>
        <w:t xml:space="preserve">You cannot manage what you have not inventoried. </w:t>
      </w:r>
      <w:r>
        <w:rPr>
          <w:rFonts w:ascii="Calibri" w:hAnsi="Calibri"/>
          <w:color w:val="22333B"/>
          <w:sz w:val="20"/>
        </w:rPr>
        <w:t>SOUP list, SBOM, deployed fleet, component support horizons.</w:t>
      </w:r>
    </w:p>
    <w:p>
      <w:pPr>
        <w:spacing w:after="50" w:line="254" w:lineRule="auto"/>
        <w:ind w:left="792" w:hanging="432"/>
      </w:pPr>
      <w:r>
        <w:rPr>
          <w:rFonts w:ascii="Calibri" w:hAnsi="Calibri"/>
          <w:b/>
          <w:color w:val="0E7C7B"/>
          <w:sz w:val="20"/>
        </w:rPr>
        <w:t xml:space="preserve">4.  </w:t>
      </w:r>
      <w:r>
        <w:rPr>
          <w:rFonts w:ascii="Calibri" w:hAnsi="Calibri"/>
          <w:b/>
          <w:color w:val="1B3A4B"/>
          <w:sz w:val="20"/>
        </w:rPr>
        <w:t xml:space="preserve">Updateability is the highest-leverage design decision. </w:t>
      </w:r>
      <w:r>
        <w:rPr>
          <w:rFonts w:ascii="Calibri" w:hAnsi="Calibri"/>
          <w:color w:val="22333B"/>
          <w:sz w:val="20"/>
        </w:rPr>
        <w:t>Every other control defends against threats you have thought of. The ability to ship a fix defends against the ones you have not.</w:t>
      </w:r>
    </w:p>
    <w:p>
      <w:pPr>
        <w:spacing w:after="50" w:line="254" w:lineRule="auto"/>
        <w:ind w:left="792" w:hanging="432"/>
      </w:pPr>
      <w:r>
        <w:rPr>
          <w:rFonts w:ascii="Calibri" w:hAnsi="Calibri"/>
          <w:b/>
          <w:color w:val="0E7C7B"/>
          <w:sz w:val="20"/>
        </w:rPr>
        <w:t xml:space="preserve">5.  </w:t>
      </w:r>
      <w:r>
        <w:rPr>
          <w:rFonts w:ascii="Calibri" w:hAnsi="Calibri"/>
          <w:b/>
          <w:color w:val="1B3A4B"/>
          <w:sz w:val="20"/>
        </w:rPr>
        <w:t xml:space="preserve">Integrate, or pay twice. </w:t>
      </w:r>
      <w:r>
        <w:rPr>
          <w:rFonts w:ascii="Calibri" w:hAnsi="Calibri"/>
          <w:color w:val="22333B"/>
          <w:sz w:val="20"/>
        </w:rPr>
        <w:t>One requirements specification, one traceability matrix, one intake queue, one change process.</w:t>
      </w:r>
    </w:p>
    <w:p>
      <w:pPr>
        <w:pageBreakBefore/>
        <w:spacing w:after="40" w:before="0"/>
      </w:pPr>
      <w:r>
        <w:rPr>
          <w:rFonts w:ascii="Calibri" w:hAnsi="Calibri"/>
          <w:b/>
          <w:color w:val="0E7C7B"/>
          <w:sz w:val="17"/>
          <w:spacing w:val="30"/>
        </w:rPr>
        <w:t>SELF-ASSESSMENT</w:t>
      </w:r>
    </w:p>
    <w:p>
      <w:pPr>
        <w:spacing w:after="80" w:before="0"/>
      </w:pPr>
      <w:r>
        <w:rPr>
          <w:rFonts w:ascii="Cambria" w:hAnsi="Cambria"/>
          <w:b/>
          <w:color w:val="1B3A4B"/>
          <w:sz w:val="36"/>
        </w:rPr>
        <w:t>Readiness self-assessment</w:t>
      </w:r>
    </w:p>
    <w:p>
      <w:pPr>
        <w:spacing w:before="120" w:after="120"/>
        <w:pBdr>
          <w:bottom w:val="single" w:sz="6" w:space="1" w:color="D7E2E5"/>
        </w:pBdr>
      </w:pPr>
    </w:p>
    <w:p>
      <w:pPr>
        <w:spacing w:after="100"/>
      </w:pPr>
      <w:r>
        <w:rPr>
          <w:rFonts w:ascii="Calibri" w:hAnsi="Calibri"/>
          <w:b w:val="0"/>
          <w:i/>
          <w:color w:val="4E626D"/>
          <w:sz w:val="20"/>
        </w:rPr>
        <w:t>Score each statement: 2 = true and evidenced,  1 = partly true,  0 = not true. Answer for your lead product, not for the company as a whole.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503"/>
        <w:gridCol w:w="8136"/>
        <w:gridCol w:w="1152"/>
      </w:tblGrid>
      <w:tr>
        <w:trPr>
          <w:cantSplit/>
          <w:tblHeader/>
        </w:trPr>
        <w:tc>
          <w:tcPr>
            <w:tcW w:type="dxa" w:w="504"/>
            <w:shd w:val="clear" w:color="auto" w:fill="1B3A4B"/>
          </w:tcPr>
          <w:p>
            <w:pPr>
              <w:spacing w:after="40" w:before="40"/>
            </w:pPr>
            <w:r/>
            <w:r>
              <w:rPr>
                <w:rFonts w:ascii="Calibri" w:hAnsi="Calibri"/>
                <w:b/>
                <w:i w:val="0"/>
                <w:color w:val="FFFFFF"/>
                <w:sz w:val="19"/>
              </w:rPr>
              <w:t>#</w:t>
            </w:r>
          </w:p>
        </w:tc>
        <w:tc>
          <w:tcPr>
            <w:tcW w:type="dxa" w:w="8136"/>
            <w:shd w:val="clear" w:color="auto" w:fill="1B3A4B"/>
          </w:tcPr>
          <w:p>
            <w:pPr>
              <w:spacing w:after="40" w:before="40"/>
            </w:pPr>
            <w:r/>
            <w:r>
              <w:rPr>
                <w:rFonts w:ascii="Calibri" w:hAnsi="Calibri"/>
                <w:b/>
                <w:i w:val="0"/>
                <w:color w:val="FFFFFF"/>
                <w:sz w:val="19"/>
              </w:rPr>
              <w:t>Statement</w:t>
            </w:r>
          </w:p>
        </w:tc>
        <w:tc>
          <w:tcPr>
            <w:tcW w:type="dxa" w:w="1152"/>
            <w:shd w:val="clear" w:color="auto" w:fill="1B3A4B"/>
          </w:tcPr>
          <w:p>
            <w:pPr>
              <w:spacing w:after="40" w:before="40"/>
            </w:pPr>
            <w:r/>
            <w:r>
              <w:rPr>
                <w:rFonts w:ascii="Calibri" w:hAnsi="Calibri"/>
                <w:b/>
                <w:i w:val="0"/>
                <w:color w:val="FFFFFF"/>
                <w:sz w:val="19"/>
              </w:rPr>
              <w:t>Score</w:t>
            </w:r>
          </w:p>
        </w:tc>
      </w:tr>
      <w:tr>
        <w:trPr>
          <w:cantSplit/>
        </w:trPr>
        <w:tc>
          <w:tcPr>
            <w:tcW w:type="dxa" w:w="504"/>
          </w:tcPr>
          <w:p>
            <w:pPr>
              <w:spacing w:after="40" w:before="40"/>
            </w:pPr>
            <w:r/>
            <w:r>
              <w:rPr>
                <w:rFonts w:ascii="Calibri" w:hAnsi="Calibri"/>
                <w:b/>
                <w:i w:val="0"/>
                <w:color w:val="22333B"/>
                <w:sz w:val="19"/>
              </w:rPr>
              <w:t>1</w:t>
            </w:r>
          </w:p>
        </w:tc>
        <w:tc>
          <w:tcPr>
            <w:tcW w:type="dxa" w:w="8136"/>
          </w:tcPr>
          <w:p>
            <w:pPr>
              <w:spacing w:after="40" w:before="40"/>
            </w:pPr>
            <w:r/>
            <w:r>
              <w:rPr>
                <w:rFonts w:ascii="Calibri" w:hAnsi="Calibri"/>
                <w:b w:val="0"/>
                <w:i w:val="0"/>
                <w:color w:val="22333B"/>
                <w:sz w:val="19"/>
              </w:rPr>
              <w:t>We have a written determination of whether this product is a cyber device under section 524B.</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2</w:t>
            </w:r>
          </w:p>
        </w:tc>
        <w:tc>
          <w:tcPr>
            <w:tcW w:type="dxa" w:w="8136"/>
          </w:tcPr>
          <w:p>
            <w:pPr>
              <w:spacing w:after="40" w:before="40"/>
            </w:pPr>
            <w:r/>
            <w:r>
              <w:rPr>
                <w:rFonts w:ascii="Calibri" w:hAnsi="Calibri"/>
                <w:b w:val="0"/>
                <w:i w:val="0"/>
                <w:color w:val="22333B"/>
                <w:sz w:val="19"/>
              </w:rPr>
              <w:t>We can produce a complete, versioned inventory of third-party software components, generated from the build.</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3</w:t>
            </w:r>
          </w:p>
        </w:tc>
        <w:tc>
          <w:tcPr>
            <w:tcW w:type="dxa" w:w="8136"/>
          </w:tcPr>
          <w:p>
            <w:pPr>
              <w:spacing w:after="40" w:before="40"/>
            </w:pPr>
            <w:r/>
            <w:r>
              <w:rPr>
                <w:rFonts w:ascii="Calibri" w:hAnsi="Calibri"/>
                <w:b w:val="0"/>
                <w:i w:val="0"/>
                <w:color w:val="22333B"/>
                <w:sz w:val="19"/>
              </w:rPr>
              <w:t>Every security requirement lives in the software requirements specification and is traced to a test.</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4</w:t>
            </w:r>
          </w:p>
        </w:tc>
        <w:tc>
          <w:tcPr>
            <w:tcW w:type="dxa" w:w="8136"/>
          </w:tcPr>
          <w:p>
            <w:pPr>
              <w:spacing w:after="40" w:before="40"/>
            </w:pPr>
            <w:r/>
            <w:r>
              <w:rPr>
                <w:rFonts w:ascii="Calibri" w:hAnsi="Calibri"/>
                <w:b w:val="0"/>
                <w:i w:val="0"/>
                <w:color w:val="22333B"/>
                <w:sz w:val="19"/>
              </w:rPr>
              <w:t>We have a current threat model, produced at architecture time and revisited when the architecture changed.</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5</w:t>
            </w:r>
          </w:p>
        </w:tc>
        <w:tc>
          <w:tcPr>
            <w:tcW w:type="dxa" w:w="8136"/>
          </w:tcPr>
          <w:p>
            <w:pPr>
              <w:spacing w:after="40" w:before="40"/>
            </w:pPr>
            <w:r/>
            <w:r>
              <w:rPr>
                <w:rFonts w:ascii="Calibri" w:hAnsi="Calibri"/>
                <w:b w:val="0"/>
                <w:i w:val="0"/>
                <w:color w:val="22333B"/>
                <w:sz w:val="19"/>
              </w:rPr>
              <w:t>Our traceability matrix is maintained continuously, not reconstructed before submissions.</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6</w:t>
            </w:r>
          </w:p>
        </w:tc>
        <w:tc>
          <w:tcPr>
            <w:tcW w:type="dxa" w:w="8136"/>
          </w:tcPr>
          <w:p>
            <w:pPr>
              <w:spacing w:after="40" w:before="40"/>
            </w:pPr>
            <w:r/>
            <w:r>
              <w:rPr>
                <w:rFonts w:ascii="Calibri" w:hAnsi="Calibri"/>
                <w:b w:val="0"/>
                <w:i w:val="0"/>
                <w:color w:val="22333B"/>
                <w:sz w:val="19"/>
              </w:rPr>
              <w:t>Risk control effectiveness — not just implementation — is verified and evidenced.</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7</w:t>
            </w:r>
          </w:p>
        </w:tc>
        <w:tc>
          <w:tcPr>
            <w:tcW w:type="dxa" w:w="8136"/>
          </w:tcPr>
          <w:p>
            <w:pPr>
              <w:spacing w:after="40" w:before="40"/>
            </w:pPr>
            <w:r/>
            <w:r>
              <w:rPr>
                <w:rFonts w:ascii="Calibri" w:hAnsi="Calibri"/>
                <w:b w:val="0"/>
                <w:i w:val="0"/>
                <w:color w:val="22333B"/>
                <w:sz w:val="19"/>
              </w:rPr>
              <w:t>There is a published route for an outside researcher to report a vulnerability, and a named owner who monitors it.</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8</w:t>
            </w:r>
          </w:p>
        </w:tc>
        <w:tc>
          <w:tcPr>
            <w:tcW w:type="dxa" w:w="8136"/>
          </w:tcPr>
          <w:p>
            <w:pPr>
              <w:spacing w:after="40" w:before="40"/>
            </w:pPr>
            <w:r/>
            <w:r>
              <w:rPr>
                <w:rFonts w:ascii="Calibri" w:hAnsi="Calibri"/>
                <w:b w:val="0"/>
                <w:i w:val="0"/>
                <w:color w:val="22333B"/>
                <w:sz w:val="19"/>
              </w:rPr>
              <w:t>We monitor vulnerability feeds against our component inventory, and every match gets a recorded disposition.</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9</w:t>
            </w:r>
          </w:p>
        </w:tc>
        <w:tc>
          <w:tcPr>
            <w:tcW w:type="dxa" w:w="8136"/>
          </w:tcPr>
          <w:p>
            <w:pPr>
              <w:spacing w:after="40" w:before="40"/>
            </w:pPr>
            <w:r/>
            <w:r>
              <w:rPr>
                <w:rFonts w:ascii="Calibri" w:hAnsi="Calibri"/>
                <w:b w:val="0"/>
                <w:i w:val="0"/>
                <w:color w:val="22333B"/>
                <w:sz w:val="19"/>
              </w:rPr>
              <w:t>We have an emergency patch path that is defined, pre-validated, and has been exercised at least once.</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10</w:t>
            </w:r>
          </w:p>
        </w:tc>
        <w:tc>
          <w:tcPr>
            <w:tcW w:type="dxa" w:w="8136"/>
          </w:tcPr>
          <w:p>
            <w:pPr>
              <w:spacing w:after="40" w:before="40"/>
            </w:pPr>
            <w:r/>
            <w:r>
              <w:rPr>
                <w:rFonts w:ascii="Calibri" w:hAnsi="Calibri"/>
                <w:b w:val="0"/>
                <w:i w:val="0"/>
                <w:color w:val="22333B"/>
                <w:sz w:val="19"/>
              </w:rPr>
              <w:t>Every fielded product can receive an authenticated, integrity-checked update, with rollback.</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11</w:t>
            </w:r>
          </w:p>
        </w:tc>
        <w:tc>
          <w:tcPr>
            <w:tcW w:type="dxa" w:w="8136"/>
          </w:tcPr>
          <w:p>
            <w:pPr>
              <w:spacing w:after="40" w:before="40"/>
            </w:pPr>
            <w:r/>
            <w:r>
              <w:rPr>
                <w:rFonts w:ascii="Calibri" w:hAnsi="Calibri"/>
                <w:b w:val="0"/>
                <w:i w:val="0"/>
                <w:color w:val="22333B"/>
                <w:sz w:val="19"/>
              </w:rPr>
              <w:t>We have published end-of-support dates for products currently in clinical use.</w:t>
            </w:r>
          </w:p>
        </w:tc>
        <w:tc>
          <w:tcPr>
            <w:tcW w:type="dxa" w:w="1152"/>
          </w:tcPr>
          <w:p>
            <w:pPr>
              <w:spacing w:after="40" w:before="40"/>
            </w:pPr>
            <w:r/>
            <w:r>
              <w:rPr>
                <w:rFonts w:ascii="Calibri" w:hAnsi="Calibri"/>
                <w:b w:val="0"/>
                <w:i w:val="0"/>
                <w:color w:val="22333B"/>
                <w:sz w:val="19"/>
              </w:rPr>
            </w:r>
          </w:p>
        </w:tc>
      </w:tr>
      <w:tr>
        <w:trPr>
          <w:cantSplit/>
        </w:trPr>
        <w:tc>
          <w:tcPr>
            <w:tcW w:type="dxa" w:w="504"/>
          </w:tcPr>
          <w:p>
            <w:pPr>
              <w:spacing w:after="40" w:before="40"/>
            </w:pPr>
            <w:r/>
            <w:r>
              <w:rPr>
                <w:rFonts w:ascii="Calibri" w:hAnsi="Calibri"/>
                <w:b/>
                <w:i w:val="0"/>
                <w:color w:val="22333B"/>
                <w:sz w:val="19"/>
              </w:rPr>
              <w:t>12</w:t>
            </w:r>
          </w:p>
        </w:tc>
        <w:tc>
          <w:tcPr>
            <w:tcW w:type="dxa" w:w="8136"/>
          </w:tcPr>
          <w:p>
            <w:pPr>
              <w:spacing w:after="40" w:before="40"/>
            </w:pPr>
            <w:r/>
            <w:r>
              <w:rPr>
                <w:rFonts w:ascii="Calibri" w:hAnsi="Calibri"/>
                <w:b w:val="0"/>
                <w:i w:val="0"/>
                <w:color w:val="22333B"/>
                <w:sz w:val="19"/>
              </w:rPr>
              <w:t>Security findings with a patient-harm pathway are carried into the ISO 14971 risk management file.</w:t>
            </w:r>
          </w:p>
        </w:tc>
        <w:tc>
          <w:tcPr>
            <w:tcW w:type="dxa" w:w="1152"/>
          </w:tcPr>
          <w:p>
            <w:pPr>
              <w:spacing w:after="40" w:before="40"/>
            </w:pPr>
            <w:r/>
            <w:r>
              <w:rPr>
                <w:rFonts w:ascii="Calibri" w:hAnsi="Calibri"/>
                <w:b w:val="0"/>
                <w:i w:val="0"/>
                <w:color w:val="22333B"/>
                <w:sz w:val="19"/>
              </w:rPr>
            </w:r>
          </w:p>
        </w:tc>
      </w:tr>
    </w:tbl>
    <w:p>
      <w:pPr>
        <w:spacing w:after="80"/>
      </w:pPr>
      <w:r>
        <w:rPr>
          <w:rFonts w:ascii="Calibri" w:hAnsi="Calibri"/>
          <w:b w:val="0"/>
          <w:i w:val="0"/>
          <w:color w:val="22333B"/>
          <w:sz w:val="20"/>
        </w:rPr>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007"/>
        <w:gridCol w:w="4752"/>
        <w:gridCol w:w="4031"/>
      </w:tblGrid>
      <w:tr>
        <w:trPr>
          <w:cantSplit/>
        </w:trPr>
        <w:tc>
          <w:tcPr>
            <w:tcW w:type="dxa" w:w="1008"/>
            <w:shd w:val="clear" w:color="auto" w:fill="1B3A4B"/>
          </w:tcPr>
          <w:p>
            <w:pPr>
              <w:spacing w:after="40" w:before="40"/>
            </w:pPr>
            <w:r/>
            <w:r>
              <w:rPr>
                <w:rFonts w:ascii="Calibri" w:hAnsi="Calibri"/>
                <w:b/>
                <w:i w:val="0"/>
                <w:color w:val="FFFFFF"/>
                <w:sz w:val="18"/>
              </w:rPr>
              <w:t>Total</w:t>
            </w:r>
          </w:p>
        </w:tc>
        <w:tc>
          <w:tcPr>
            <w:tcW w:type="dxa" w:w="4752"/>
            <w:shd w:val="clear" w:color="auto" w:fill="1B3A4B"/>
          </w:tcPr>
          <w:p>
            <w:pPr>
              <w:spacing w:after="40" w:before="40"/>
            </w:pPr>
            <w:r/>
            <w:r>
              <w:rPr>
                <w:rFonts w:ascii="Calibri" w:hAnsi="Calibri"/>
                <w:b/>
                <w:i w:val="0"/>
                <w:color w:val="FFFFFF"/>
                <w:sz w:val="18"/>
              </w:rPr>
              <w:t>Where that puts you</w:t>
            </w:r>
          </w:p>
        </w:tc>
        <w:tc>
          <w:tcPr>
            <w:tcW w:type="dxa" w:w="4032"/>
            <w:shd w:val="clear" w:color="auto" w:fill="1B3A4B"/>
          </w:tcPr>
          <w:p>
            <w:pPr>
              <w:spacing w:after="40" w:before="40"/>
            </w:pPr>
            <w:r/>
            <w:r>
              <w:rPr>
                <w:rFonts w:ascii="Calibri" w:hAnsi="Calibri"/>
                <w:b/>
                <w:i w:val="0"/>
                <w:color w:val="FFFFFF"/>
                <w:sz w:val="18"/>
              </w:rPr>
              <w:t>What to do first</w:t>
            </w:r>
          </w:p>
        </w:tc>
      </w:tr>
      <w:tr>
        <w:trPr>
          <w:cantSplit/>
        </w:trPr>
        <w:tc>
          <w:tcPr>
            <w:tcW w:type="dxa" w:w="1008"/>
          </w:tcPr>
          <w:p>
            <w:pPr>
              <w:spacing w:after="40" w:before="40"/>
            </w:pPr>
            <w:r/>
            <w:r>
              <w:rPr>
                <w:rFonts w:ascii="Calibri" w:hAnsi="Calibri"/>
                <w:b/>
                <w:i w:val="0"/>
                <w:color w:val="A83A3C"/>
                <w:sz w:val="18"/>
              </w:rPr>
              <w:t>0–8</w:t>
            </w:r>
          </w:p>
        </w:tc>
        <w:tc>
          <w:tcPr>
            <w:tcW w:type="dxa" w:w="4752"/>
          </w:tcPr>
          <w:p>
            <w:pPr>
              <w:spacing w:after="40" w:before="40"/>
            </w:pPr>
            <w:r/>
            <w:r>
              <w:rPr>
                <w:rFonts w:ascii="Calibri" w:hAnsi="Calibri"/>
                <w:b w:val="0"/>
                <w:i w:val="0"/>
                <w:color w:val="22333B"/>
                <w:sz w:val="18"/>
              </w:rPr>
              <w:t>Level 1 — Reactive. Documentation is produced for submissions; no inventory of what is deployed.</w:t>
            </w:r>
          </w:p>
        </w:tc>
        <w:tc>
          <w:tcPr>
            <w:tcW w:type="dxa" w:w="4032"/>
          </w:tcPr>
          <w:p>
            <w:pPr>
              <w:spacing w:after="40" w:before="40"/>
            </w:pPr>
            <w:r/>
            <w:r>
              <w:rPr>
                <w:rFonts w:ascii="Calibri" w:hAnsi="Calibri"/>
                <w:b w:val="0"/>
                <w:i w:val="0"/>
                <w:color w:val="22333B"/>
                <w:sz w:val="18"/>
              </w:rPr>
              <w:t>Start with the 30-day list. Inventory and a security contact, in that order.</w:t>
            </w:r>
          </w:p>
        </w:tc>
      </w:tr>
      <w:tr>
        <w:trPr>
          <w:cantSplit/>
        </w:trPr>
        <w:tc>
          <w:tcPr>
            <w:tcW w:type="dxa" w:w="1008"/>
          </w:tcPr>
          <w:p>
            <w:pPr>
              <w:spacing w:after="40" w:before="40"/>
            </w:pPr>
            <w:r/>
            <w:r>
              <w:rPr>
                <w:rFonts w:ascii="Calibri" w:hAnsi="Calibri"/>
                <w:b/>
                <w:i w:val="0"/>
                <w:color w:val="C77C1E"/>
                <w:sz w:val="18"/>
              </w:rPr>
              <w:t>9–15</w:t>
            </w:r>
          </w:p>
        </w:tc>
        <w:tc>
          <w:tcPr>
            <w:tcW w:type="dxa" w:w="4752"/>
          </w:tcPr>
          <w:p>
            <w:pPr>
              <w:spacing w:after="40" w:before="40"/>
            </w:pPr>
            <w:r/>
            <w:r>
              <w:rPr>
                <w:rFonts w:ascii="Calibri" w:hAnsi="Calibri"/>
                <w:b w:val="0"/>
                <w:i w:val="0"/>
                <w:color w:val="22333B"/>
                <w:sz w:val="18"/>
              </w:rPr>
              <w:t>Level 2 — Defined. Procedures exist and are followed, but records are largely produced by hand.</w:t>
            </w:r>
          </w:p>
        </w:tc>
        <w:tc>
          <w:tcPr>
            <w:tcW w:type="dxa" w:w="4032"/>
          </w:tcPr>
          <w:p>
            <w:pPr>
              <w:spacing w:after="40" w:before="40"/>
            </w:pPr>
            <w:r/>
            <w:r>
              <w:rPr>
                <w:rFonts w:ascii="Calibri" w:hAnsi="Calibri"/>
                <w:b w:val="0"/>
                <w:i w:val="0"/>
                <w:color w:val="22333B"/>
                <w:sz w:val="18"/>
              </w:rPr>
              <w:t>Threat model one product. Move security requirements into the SRS.</w:t>
            </w:r>
          </w:p>
        </w:tc>
      </w:tr>
      <w:tr>
        <w:trPr>
          <w:cantSplit/>
        </w:trPr>
        <w:tc>
          <w:tcPr>
            <w:tcW w:type="dxa" w:w="1008"/>
          </w:tcPr>
          <w:p>
            <w:pPr>
              <w:spacing w:after="40" w:before="40"/>
            </w:pPr>
            <w:r/>
            <w:r>
              <w:rPr>
                <w:rFonts w:ascii="Calibri" w:hAnsi="Calibri"/>
                <w:b/>
                <w:i w:val="0"/>
                <w:color w:val="0E7C7B"/>
                <w:sz w:val="18"/>
              </w:rPr>
              <w:t>16–20</w:t>
            </w:r>
          </w:p>
        </w:tc>
        <w:tc>
          <w:tcPr>
            <w:tcW w:type="dxa" w:w="4752"/>
          </w:tcPr>
          <w:p>
            <w:pPr>
              <w:spacing w:after="40" w:before="40"/>
            </w:pPr>
            <w:r/>
            <w:r>
              <w:rPr>
                <w:rFonts w:ascii="Calibri" w:hAnsi="Calibri"/>
                <w:b w:val="0"/>
                <w:i w:val="0"/>
                <w:color w:val="22333B"/>
                <w:sz w:val="18"/>
              </w:rPr>
              <w:t>Level 3 — Integrated. One lifecycle; traceability maintained live.</w:t>
            </w:r>
          </w:p>
        </w:tc>
        <w:tc>
          <w:tcPr>
            <w:tcW w:type="dxa" w:w="4032"/>
          </w:tcPr>
          <w:p>
            <w:pPr>
              <w:spacing w:after="40" w:before="40"/>
            </w:pPr>
            <w:r/>
            <w:r>
              <w:rPr>
                <w:rFonts w:ascii="Calibri" w:hAnsi="Calibri"/>
                <w:b w:val="0"/>
                <w:i w:val="0"/>
                <w:color w:val="22333B"/>
                <w:sz w:val="18"/>
              </w:rPr>
              <w:t>Automate. SBOM generation and vulnerability matching in the pipeline.</w:t>
            </w:r>
          </w:p>
        </w:tc>
      </w:tr>
      <w:tr>
        <w:trPr>
          <w:cantSplit/>
        </w:trPr>
        <w:tc>
          <w:tcPr>
            <w:tcW w:type="dxa" w:w="1008"/>
          </w:tcPr>
          <w:p>
            <w:pPr>
              <w:spacing w:after="40" w:before="40"/>
            </w:pPr>
            <w:r/>
            <w:r>
              <w:rPr>
                <w:rFonts w:ascii="Calibri" w:hAnsi="Calibri"/>
                <w:b/>
                <w:i w:val="0"/>
                <w:color w:val="0E7C7B"/>
                <w:sz w:val="18"/>
              </w:rPr>
              <w:t>21–24</w:t>
            </w:r>
          </w:p>
        </w:tc>
        <w:tc>
          <w:tcPr>
            <w:tcW w:type="dxa" w:w="4752"/>
          </w:tcPr>
          <w:p>
            <w:pPr>
              <w:spacing w:after="40" w:before="40"/>
            </w:pPr>
            <w:r/>
            <w:r>
              <w:rPr>
                <w:rFonts w:ascii="Calibri" w:hAnsi="Calibri"/>
                <w:b w:val="0"/>
                <w:i w:val="0"/>
                <w:color w:val="22333B"/>
                <w:sz w:val="18"/>
              </w:rPr>
              <w:t>Level 4–5 — Automated to anticipatory. Evidence generated by the pipeline; designing for year ten.</w:t>
            </w:r>
          </w:p>
        </w:tc>
        <w:tc>
          <w:tcPr>
            <w:tcW w:type="dxa" w:w="4032"/>
          </w:tcPr>
          <w:p>
            <w:pPr>
              <w:spacing w:after="40" w:before="40"/>
            </w:pPr>
            <w:r/>
            <w:r>
              <w:rPr>
                <w:rFonts w:ascii="Calibri" w:hAnsi="Calibri"/>
                <w:b w:val="0"/>
                <w:i w:val="0"/>
                <w:color w:val="22333B"/>
                <w:sz w:val="18"/>
              </w:rPr>
              <w:t>Crypto-agility, component support horizons, planned end of support.</w:t>
            </w:r>
          </w:p>
        </w:tc>
      </w:tr>
    </w:tbl>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Reading your score honestly</w:t>
            </w:r>
          </w:p>
          <w:p>
            <w:pPr>
              <w:spacing w:after="80"/>
            </w:pPr>
            <w:r>
              <w:rPr>
                <w:rFonts w:ascii="Calibri" w:hAnsi="Calibri"/>
                <w:color w:val="22333B"/>
                <w:sz w:val="19"/>
              </w:rPr>
              <w:t>Score this twice — once for validation maturity and once for security maturity. The gap between the two is usually the most useful thing you learn. Established manufacturers are often strong on validation and weak on security; newer digital-health companies are frequently the reverse. The remedy differs: if your validation system is mature, you do not need a new system, you need to extend the one you have.</w:t>
            </w:r>
          </w:p>
        </w:tc>
      </w:tr>
    </w:tbl>
    <w:p>
      <w:pPr>
        <w:spacing w:after="100" w:before="0" w:line="240" w:lineRule="auto"/>
      </w:pPr>
      <w:r>
        <w:rPr>
          <w:sz w:val="2"/>
        </w:rPr>
      </w:r>
    </w:p>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Documentation level and safety class</w:t>
      </w:r>
    </w:p>
    <w:p>
      <w:pPr>
        <w:spacing w:before="120" w:after="160"/>
        <w:pBdr>
          <w:bottom w:val="single" w:sz="6" w:space="1" w:color="D7E2E5"/>
        </w:pBdr>
      </w:pPr>
    </w:p>
    <w:p>
      <w:pPr>
        <w:keepNext/>
        <w:spacing w:after="80" w:before="0"/>
      </w:pPr>
      <w:r>
        <w:rPr>
          <w:rFonts w:ascii="Cambria" w:hAnsi="Cambria"/>
          <w:b/>
          <w:color w:val="1B3A4B"/>
          <w:sz w:val="26"/>
        </w:rPr>
        <w:t>FDA documentation level</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0"/>
              </w:rPr>
              <w:t>Enhanced — if ANY of these is true</w:t>
            </w:r>
          </w:p>
          <w:p>
            <w:pPr>
              <w:spacing w:after="80"/>
            </w:pPr>
            <w:r>
              <w:rPr>
                <w:rFonts w:ascii="Calibri" w:hAnsi="Calibri"/>
                <w:color w:val="22333B"/>
                <w:sz w:val="19"/>
              </w:rPr>
              <w:t>·  The device is a constituent part of a combination product.</w:t>
            </w:r>
          </w:p>
          <w:p>
            <w:pPr>
              <w:spacing w:after="80"/>
            </w:pPr>
            <w:r>
              <w:rPr>
                <w:rFonts w:ascii="Calibri" w:hAnsi="Calibri"/>
                <w:color w:val="22333B"/>
                <w:sz w:val="19"/>
              </w:rPr>
              <w:t>·  The device is intended to test blood donations for transfusion-transmitted infections, or to determine donor/recipient compatibility; or it is a blood establishment computer software product.</w:t>
            </w:r>
          </w:p>
          <w:p>
            <w:pPr>
              <w:spacing w:after="80"/>
            </w:pPr>
            <w:r>
              <w:rPr>
                <w:rFonts w:ascii="Calibri" w:hAnsi="Calibri"/>
                <w:color w:val="22333B"/>
                <w:sz w:val="19"/>
              </w:rPr>
              <w:t>·  The device is Class III.</w:t>
            </w:r>
          </w:p>
          <w:p>
            <w:pPr>
              <w:spacing w:after="80"/>
            </w:pPr>
            <w:r>
              <w:rPr>
                <w:rFonts w:ascii="Calibri" w:hAnsi="Calibri"/>
                <w:color w:val="22333B"/>
                <w:sz w:val="19"/>
              </w:rPr>
              <w:t>·  A failure or latent flaw in the device software function could present a probable risk of death or serious injury — to a patient, a user, or anyone else — assessed BEFORE risk control measures are applied.</w:t>
            </w:r>
          </w:p>
        </w:tc>
      </w:tr>
    </w:tbl>
    <w:p>
      <w:pPr>
        <w:spacing w:after="100" w:before="0" w:line="240" w:lineRule="auto"/>
      </w:pPr>
      <w:r>
        <w:rPr>
          <w:sz w:val="2"/>
        </w:rPr>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Basic — everything else</w:t>
            </w:r>
          </w:p>
          <w:p>
            <w:pPr>
              <w:spacing w:after="80"/>
            </w:pPr>
            <w:r>
              <w:rPr>
                <w:rFonts w:ascii="Calibri" w:hAnsi="Calibri"/>
                <w:color w:val="22333B"/>
                <w:sz w:val="19"/>
              </w:rPr>
              <w:t>Basic is the default, not a concession to be argued for. It still requires a genuine documentation package. Enhanced adds depth rather than new categories: fuller design documentation, more detailed V&amp;V evidence including unit and integration results, and a fuller configuration management and maintenance picture.</w:t>
            </w:r>
          </w:p>
          <w:p>
            <w:pPr>
              <w:spacing w:after="80"/>
            </w:pPr>
            <w:r>
              <w:rPr>
                <w:rFonts w:ascii="Calibri" w:hAnsi="Calibri"/>
                <w:color w:val="22333B"/>
                <w:sz w:val="19"/>
              </w:rPr>
              <w:t>The level applies to the device software function. One submission can contain functions at different levels.</w:t>
            </w:r>
          </w:p>
        </w:tc>
      </w:tr>
    </w:tbl>
    <w:p>
      <w:pPr>
        <w:spacing w:after="100" w:before="0" w:line="240" w:lineRule="auto"/>
      </w:pPr>
      <w:r>
        <w:rPr>
          <w:sz w:val="2"/>
        </w:rPr>
      </w:r>
    </w:p>
    <w:p>
      <w:pPr>
        <w:spacing w:after="100"/>
      </w:pPr>
      <w:r>
        <w:rPr>
          <w:rFonts w:ascii="Calibri" w:hAnsi="Calibri"/>
          <w:b w:val="0"/>
          <w:i/>
          <w:color w:val="1B3A4B"/>
          <w:sz w:val="20"/>
        </w:rPr>
        <w:t>Basic/Enhanced and IEC 62304 Class A/B/C are independent frameworks answering different questions. They correlate; they do not map. Record both decisions with independent reasoning — a reviewer who sees “Enhanced because Class C” has learned that you did the analysis once.</w:t>
      </w:r>
    </w:p>
    <w:p>
      <w:pPr>
        <w:keepNext/>
        <w:spacing w:after="80" w:before="180"/>
      </w:pPr>
      <w:r>
        <w:rPr>
          <w:rFonts w:ascii="Cambria" w:hAnsi="Cambria"/>
          <w:b/>
          <w:color w:val="1B3A4B"/>
          <w:sz w:val="26"/>
        </w:rPr>
        <w:t>The premarket software documentation package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024"/>
        <w:gridCol w:w="6768"/>
      </w:tblGrid>
      <w:tr>
        <w:trPr>
          <w:cantSplit/>
        </w:trPr>
        <w:tc>
          <w:tcPr>
            <w:tcW w:type="dxa" w:w="3024"/>
            <w:shd w:val="clear" w:color="auto" w:fill="1B3A4B"/>
          </w:tcPr>
          <w:p>
            <w:pPr>
              <w:spacing w:after="40" w:before="40"/>
            </w:pPr>
            <w:r/>
            <w:r>
              <w:rPr>
                <w:rFonts w:ascii="Calibri" w:hAnsi="Calibri"/>
                <w:b/>
                <w:i w:val="0"/>
                <w:color w:val="FFFFFF"/>
                <w:sz w:val="18"/>
              </w:rPr>
              <w:t>Element</w:t>
            </w:r>
          </w:p>
        </w:tc>
        <w:tc>
          <w:tcPr>
            <w:tcW w:type="dxa" w:w="6768"/>
            <w:shd w:val="clear" w:color="auto" w:fill="1B3A4B"/>
          </w:tcPr>
          <w:p>
            <w:pPr>
              <w:spacing w:after="40" w:before="40"/>
            </w:pPr>
            <w:r/>
            <w:r>
              <w:rPr>
                <w:rFonts w:ascii="Calibri" w:hAnsi="Calibri"/>
                <w:b/>
                <w:i w:val="0"/>
                <w:color w:val="FFFFFF"/>
                <w:sz w:val="18"/>
              </w:rPr>
              <w:t>What makes it adequate — not merely present</w:t>
            </w:r>
          </w:p>
        </w:tc>
      </w:tr>
      <w:tr>
        <w:trPr>
          <w:cantSplit/>
        </w:trPr>
        <w:tc>
          <w:tcPr>
            <w:tcW w:type="dxa" w:w="3024"/>
          </w:tcPr>
          <w:p>
            <w:pPr>
              <w:spacing w:after="40" w:before="40"/>
            </w:pPr>
            <w:r/>
            <w:r>
              <w:rPr>
                <w:rFonts w:ascii="Calibri" w:hAnsi="Calibri"/>
                <w:b/>
                <w:i w:val="0"/>
                <w:color w:val="22333B"/>
                <w:sz w:val="18"/>
              </w:rPr>
              <w:t>Software description and device architecture</w:t>
            </w:r>
          </w:p>
        </w:tc>
        <w:tc>
          <w:tcPr>
            <w:tcW w:type="dxa" w:w="6768"/>
          </w:tcPr>
          <w:p>
            <w:pPr>
              <w:spacing w:after="40" w:before="40"/>
            </w:pPr>
            <w:r/>
            <w:r>
              <w:rPr>
                <w:rFonts w:ascii="Calibri" w:hAnsi="Calibri"/>
                <w:b w:val="0"/>
                <w:i w:val="0"/>
                <w:color w:val="22333B"/>
                <w:sz w:val="18"/>
              </w:rPr>
              <w:t>A reviewer with no prior knowledge can understand what it does, where it runs and what it talks to. Include cloud and mobile components.</w:t>
            </w:r>
          </w:p>
        </w:tc>
      </w:tr>
      <w:tr>
        <w:trPr>
          <w:cantSplit/>
        </w:trPr>
        <w:tc>
          <w:tcPr>
            <w:tcW w:type="dxa" w:w="3024"/>
          </w:tcPr>
          <w:p>
            <w:pPr>
              <w:spacing w:after="40" w:before="40"/>
            </w:pPr>
            <w:r/>
            <w:r>
              <w:rPr>
                <w:rFonts w:ascii="Calibri" w:hAnsi="Calibri"/>
                <w:b/>
                <w:i w:val="0"/>
                <w:color w:val="22333B"/>
                <w:sz w:val="18"/>
              </w:rPr>
              <w:t>Risk management file</w:t>
            </w:r>
          </w:p>
        </w:tc>
        <w:tc>
          <w:tcPr>
            <w:tcW w:type="dxa" w:w="6768"/>
          </w:tcPr>
          <w:p>
            <w:pPr>
              <w:spacing w:after="40" w:before="40"/>
            </w:pPr>
            <w:r/>
            <w:r>
              <w:rPr>
                <w:rFonts w:ascii="Calibri" w:hAnsi="Calibri"/>
                <w:b w:val="0"/>
                <w:i w:val="0"/>
                <w:color w:val="22333B"/>
                <w:sz w:val="18"/>
              </w:rPr>
              <w:t>Hazards, hazardous situations and harms, with risk controls traced to requirements and to the verification that proves each control works.</w:t>
            </w:r>
          </w:p>
        </w:tc>
      </w:tr>
      <w:tr>
        <w:trPr>
          <w:cantSplit/>
        </w:trPr>
        <w:tc>
          <w:tcPr>
            <w:tcW w:type="dxa" w:w="3024"/>
          </w:tcPr>
          <w:p>
            <w:pPr>
              <w:spacing w:after="40" w:before="40"/>
            </w:pPr>
            <w:r/>
            <w:r>
              <w:rPr>
                <w:rFonts w:ascii="Calibri" w:hAnsi="Calibri"/>
                <w:b/>
                <w:i w:val="0"/>
                <w:color w:val="22333B"/>
                <w:sz w:val="18"/>
              </w:rPr>
              <w:t>Software requirements specification</w:t>
            </w:r>
          </w:p>
        </w:tc>
        <w:tc>
          <w:tcPr>
            <w:tcW w:type="dxa" w:w="6768"/>
          </w:tcPr>
          <w:p>
            <w:pPr>
              <w:spacing w:after="40" w:before="40"/>
            </w:pPr>
            <w:r/>
            <w:r>
              <w:rPr>
                <w:rFonts w:ascii="Calibri" w:hAnsi="Calibri"/>
                <w:b w:val="0"/>
                <w:i w:val="0"/>
                <w:color w:val="22333B"/>
                <w:sz w:val="18"/>
              </w:rPr>
              <w:t>Testable, unambiguous, complete — including performance, interface, security and alarm requirements.</w:t>
            </w:r>
          </w:p>
        </w:tc>
      </w:tr>
      <w:tr>
        <w:trPr>
          <w:cantSplit/>
        </w:trPr>
        <w:tc>
          <w:tcPr>
            <w:tcW w:type="dxa" w:w="3024"/>
          </w:tcPr>
          <w:p>
            <w:pPr>
              <w:spacing w:after="40" w:before="40"/>
            </w:pPr>
            <w:r/>
            <w:r>
              <w:rPr>
                <w:rFonts w:ascii="Calibri" w:hAnsi="Calibri"/>
                <w:b/>
                <w:i w:val="0"/>
                <w:color w:val="22333B"/>
                <w:sz w:val="18"/>
              </w:rPr>
              <w:t>Architecture and design documentation</w:t>
            </w:r>
          </w:p>
        </w:tc>
        <w:tc>
          <w:tcPr>
            <w:tcW w:type="dxa" w:w="6768"/>
          </w:tcPr>
          <w:p>
            <w:pPr>
              <w:spacing w:after="40" w:before="40"/>
            </w:pPr>
            <w:r/>
            <w:r>
              <w:rPr>
                <w:rFonts w:ascii="Calibri" w:hAnsi="Calibri"/>
                <w:b w:val="0"/>
                <w:i w:val="0"/>
                <w:color w:val="22333B"/>
                <w:sz w:val="18"/>
              </w:rPr>
              <w:t>Modules, interfaces, data flows, SOUP items and their integration.</w:t>
            </w:r>
          </w:p>
        </w:tc>
      </w:tr>
      <w:tr>
        <w:trPr>
          <w:cantSplit/>
        </w:trPr>
        <w:tc>
          <w:tcPr>
            <w:tcW w:type="dxa" w:w="3024"/>
          </w:tcPr>
          <w:p>
            <w:pPr>
              <w:spacing w:after="40" w:before="40"/>
            </w:pPr>
            <w:r/>
            <w:r>
              <w:rPr>
                <w:rFonts w:ascii="Calibri" w:hAnsi="Calibri"/>
                <w:b/>
                <w:i w:val="0"/>
                <w:color w:val="22333B"/>
                <w:sz w:val="18"/>
              </w:rPr>
              <w:t>Development environment description</w:t>
            </w:r>
          </w:p>
        </w:tc>
        <w:tc>
          <w:tcPr>
            <w:tcW w:type="dxa" w:w="6768"/>
          </w:tcPr>
          <w:p>
            <w:pPr>
              <w:spacing w:after="40" w:before="40"/>
            </w:pPr>
            <w:r/>
            <w:r>
              <w:rPr>
                <w:rFonts w:ascii="Calibri" w:hAnsi="Calibri"/>
                <w:b w:val="0"/>
                <w:i w:val="0"/>
                <w:color w:val="22333B"/>
                <w:sz w:val="18"/>
              </w:rPr>
              <w:t>Lifecycle plan, configuration management and the maintenance process — including how defects and patches are handled after release.</w:t>
            </w:r>
          </w:p>
        </w:tc>
      </w:tr>
      <w:tr>
        <w:trPr>
          <w:cantSplit/>
        </w:trPr>
        <w:tc>
          <w:tcPr>
            <w:tcW w:type="dxa" w:w="3024"/>
          </w:tcPr>
          <w:p>
            <w:pPr>
              <w:spacing w:after="40" w:before="40"/>
            </w:pPr>
            <w:r/>
            <w:r>
              <w:rPr>
                <w:rFonts w:ascii="Calibri" w:hAnsi="Calibri"/>
                <w:b/>
                <w:i w:val="0"/>
                <w:color w:val="22333B"/>
                <w:sz w:val="18"/>
              </w:rPr>
              <w:t>V&amp;V documentation</w:t>
            </w:r>
          </w:p>
        </w:tc>
        <w:tc>
          <w:tcPr>
            <w:tcW w:type="dxa" w:w="6768"/>
          </w:tcPr>
          <w:p>
            <w:pPr>
              <w:spacing w:after="40" w:before="40"/>
            </w:pPr>
            <w:r/>
            <w:r>
              <w:rPr>
                <w:rFonts w:ascii="Calibri" w:hAnsi="Calibri"/>
                <w:b w:val="0"/>
                <w:i w:val="0"/>
                <w:color w:val="22333B"/>
                <w:sz w:val="18"/>
              </w:rPr>
              <w:t>Unit, integration and system level testing traceable to requirements. Enhanced expects the underlying evidence, not only a summary.</w:t>
            </w:r>
          </w:p>
        </w:tc>
      </w:tr>
      <w:tr>
        <w:trPr>
          <w:cantSplit/>
        </w:trPr>
        <w:tc>
          <w:tcPr>
            <w:tcW w:type="dxa" w:w="3024"/>
          </w:tcPr>
          <w:p>
            <w:pPr>
              <w:spacing w:after="40" w:before="40"/>
            </w:pPr>
            <w:r/>
            <w:r>
              <w:rPr>
                <w:rFonts w:ascii="Calibri" w:hAnsi="Calibri"/>
                <w:b/>
                <w:i w:val="0"/>
                <w:color w:val="22333B"/>
                <w:sz w:val="18"/>
              </w:rPr>
              <w:t>Revision history and unresolved anomalies</w:t>
            </w:r>
          </w:p>
        </w:tc>
        <w:tc>
          <w:tcPr>
            <w:tcW w:type="dxa" w:w="6768"/>
          </w:tcPr>
          <w:p>
            <w:pPr>
              <w:spacing w:after="40" w:before="40"/>
            </w:pPr>
            <w:r/>
            <w:r>
              <w:rPr>
                <w:rFonts w:ascii="Calibri" w:hAnsi="Calibri"/>
                <w:b w:val="0"/>
                <w:i w:val="0"/>
                <w:color w:val="22333B"/>
                <w:sz w:val="18"/>
              </w:rPr>
              <w:t>Every open defect with a documented clinical impact assessment. Declaring nothing open is a red flag, not a clean bill of health.</w:t>
            </w:r>
          </w:p>
        </w:tc>
      </w:tr>
    </w:tbl>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Common findings that recur</w:t>
      </w:r>
    </w:p>
    <w:p>
      <w:pPr>
        <w:spacing w:before="120" w:after="120"/>
        <w:pBdr>
          <w:bottom w:val="single" w:sz="6" w:space="1" w:color="D7E2E5"/>
        </w:pBdr>
      </w:pPr>
    </w:p>
    <w:p>
      <w:pPr>
        <w:spacing w:after="100"/>
      </w:pPr>
      <w:r>
        <w:rPr>
          <w:rFonts w:ascii="Calibri" w:hAnsi="Calibri"/>
          <w:b w:val="0"/>
          <w:i/>
          <w:color w:val="4E626D"/>
          <w:sz w:val="20"/>
        </w:rPr>
        <w:t>Recurring themes in software-related observations. None of these are exotic — they are all process discipline.</w:t>
      </w:r>
    </w:p>
    <w:p>
      <w:pPr>
        <w:pStyle w:val="ListBullet"/>
        <w:spacing w:after="30" w:line="254" w:lineRule="auto"/>
        <w:ind w:left="576"/>
      </w:pPr>
      <w:r>
        <w:rPr>
          <w:rFonts w:ascii="Calibri" w:hAnsi="Calibri"/>
          <w:color w:val="22333B"/>
          <w:sz w:val="19"/>
        </w:rPr>
        <w:t>Validation not completed before release, or performed retrospectively.</w:t>
      </w:r>
    </w:p>
    <w:p>
      <w:pPr>
        <w:pStyle w:val="ListBullet"/>
        <w:spacing w:after="30" w:line="254" w:lineRule="auto"/>
        <w:ind w:left="576"/>
      </w:pPr>
      <w:r>
        <w:rPr>
          <w:rFonts w:ascii="Calibri" w:hAnsi="Calibri"/>
          <w:color w:val="22333B"/>
          <w:sz w:val="19"/>
        </w:rPr>
        <w:t>Requirements too vague to be testable.</w:t>
      </w:r>
    </w:p>
    <w:p>
      <w:pPr>
        <w:pStyle w:val="ListBullet"/>
        <w:spacing w:after="30" w:line="254" w:lineRule="auto"/>
        <w:ind w:left="576"/>
      </w:pPr>
      <w:r>
        <w:rPr>
          <w:rFonts w:ascii="Calibri" w:hAnsi="Calibri"/>
          <w:color w:val="22333B"/>
          <w:sz w:val="19"/>
        </w:rPr>
        <w:t>Traceability gaps — requirements with no test, tests with no requirement, risk controls never verified for effectiveness.</w:t>
      </w:r>
    </w:p>
    <w:p>
      <w:pPr>
        <w:pStyle w:val="ListBullet"/>
        <w:spacing w:after="30" w:line="254" w:lineRule="auto"/>
        <w:ind w:left="576"/>
      </w:pPr>
      <w:r>
        <w:rPr>
          <w:rFonts w:ascii="Calibri" w:hAnsi="Calibri"/>
          <w:color w:val="22333B"/>
          <w:sz w:val="19"/>
        </w:rPr>
        <w:t>Changes released with no documented impact assessment.</w:t>
      </w:r>
    </w:p>
    <w:p>
      <w:pPr>
        <w:pStyle w:val="ListBullet"/>
        <w:spacing w:after="30" w:line="254" w:lineRule="auto"/>
        <w:ind w:left="576"/>
      </w:pPr>
      <w:r>
        <w:rPr>
          <w:rFonts w:ascii="Calibri" w:hAnsi="Calibri"/>
          <w:color w:val="22333B"/>
          <w:sz w:val="19"/>
        </w:rPr>
        <w:t>Known anomalies carried forward with no clinical impact evaluation.</w:t>
      </w:r>
    </w:p>
    <w:p>
      <w:pPr>
        <w:pStyle w:val="ListBullet"/>
        <w:spacing w:after="30" w:line="254" w:lineRule="auto"/>
        <w:ind w:left="576"/>
      </w:pPr>
      <w:r>
        <w:rPr>
          <w:rFonts w:ascii="Calibri" w:hAnsi="Calibri"/>
          <w:color w:val="22333B"/>
          <w:sz w:val="19"/>
        </w:rPr>
        <w:t>SOUP unmanaged, and security requirements that live outside the SRS and so are never tested.</w:t>
      </w:r>
    </w:p>
    <w:p>
      <w:pPr>
        <w:spacing w:after="40"/>
      </w:pPr>
      <w:r>
        <w:rPr>
          <w:rFonts w:ascii="Calibri" w:hAnsi="Calibri"/>
          <w:b w:val="0"/>
          <w:i/>
          <w:color w:val="1B3A4B"/>
          <w:sz w:val="20"/>
        </w:rPr>
        <w:t>The pattern: these are failures to maintain something, not to create it. The initial build is usually fine; the lifecycle is where programmes erode.</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0"/>
              </w:rPr>
              <w:t>The one to act on first</w:t>
            </w:r>
          </w:p>
          <w:p>
            <w:pPr>
              <w:spacing w:after="80"/>
            </w:pPr>
            <w:r>
              <w:rPr>
                <w:rFonts w:ascii="Calibri" w:hAnsi="Calibri"/>
                <w:color w:val="22333B"/>
                <w:sz w:val="19"/>
              </w:rPr>
              <w:t>Pick the finding above you would least like an investigator to ask about tomorrow. That is your first agenda item on Monday — carry it to the action plan at the back of this workbook.</w:t>
            </w:r>
          </w:p>
        </w:tc>
      </w:tr>
    </w:tbl>
    <w:p>
      <w:pPr>
        <w:spacing w:after="100" w:before="0" w:line="240" w:lineRule="auto"/>
      </w:pPr>
      <w:r>
        <w:rPr>
          <w:sz w:val="2"/>
        </w:rPr>
      </w:r>
    </w:p>
    <w:p>
      <w:pPr>
        <w:keepNext/>
        <w:spacing w:after="60"/>
      </w:pPr>
      <w:r>
        <w:rPr>
          <w:rFonts w:ascii="Calibri" w:hAnsi="Calibri"/>
          <w:b w:val="0"/>
          <w:i/>
          <w:color w:val="4E626D"/>
          <w:sz w:val="18"/>
        </w:rPr>
        <w:t>Which one, and what will you do about it?</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Security baseline checklist</w:t>
      </w:r>
    </w:p>
    <w:p>
      <w:pPr>
        <w:spacing w:before="120" w:after="160"/>
        <w:pBdr>
          <w:bottom w:val="single" w:sz="6" w:space="1" w:color="D7E2E5"/>
        </w:pBdr>
      </w:pPr>
    </w:p>
    <w:p>
      <w:pPr>
        <w:keepNext/>
        <w:spacing w:after="80" w:before="0"/>
      </w:pPr>
      <w:r>
        <w:rPr>
          <w:rFonts w:ascii="Cambria" w:hAnsi="Cambria"/>
          <w:b/>
          <w:color w:val="1B3A4B"/>
          <w:sz w:val="26"/>
        </w:rPr>
        <w:t>Control categories to design against</w:t>
      </w:r>
    </w:p>
    <w:p>
      <w:pPr>
        <w:spacing w:after="100"/>
      </w:pPr>
      <w:r>
        <w:rPr>
          <w:rFonts w:ascii="Calibri" w:hAnsi="Calibri"/>
          <w:b w:val="0"/>
          <w:i/>
          <w:color w:val="4E626D"/>
          <w:sz w:val="20"/>
        </w:rPr>
        <w:t>Design each against your threat model, not against this list. A control you cannot justify from a specific threat is cost without security — and a threat with no control is the finding.</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160"/>
        <w:gridCol w:w="6912"/>
        <w:gridCol w:w="720"/>
      </w:tblGrid>
      <w:tr>
        <w:trPr>
          <w:cantSplit/>
        </w:trPr>
        <w:tc>
          <w:tcPr>
            <w:tcW w:type="dxa" w:w="2160"/>
            <w:shd w:val="clear" w:color="auto" w:fill="1B3A4B"/>
          </w:tcPr>
          <w:p>
            <w:pPr>
              <w:spacing w:after="40" w:before="40"/>
            </w:pPr>
            <w:r/>
            <w:r>
              <w:rPr>
                <w:rFonts w:ascii="Calibri" w:hAnsi="Calibri"/>
                <w:b/>
                <w:i w:val="0"/>
                <w:color w:val="FFFFFF"/>
                <w:sz w:val="18"/>
              </w:rPr>
              <w:t>Category</w:t>
            </w:r>
          </w:p>
        </w:tc>
        <w:tc>
          <w:tcPr>
            <w:tcW w:type="dxa" w:w="6912"/>
            <w:shd w:val="clear" w:color="auto" w:fill="1B3A4B"/>
          </w:tcPr>
          <w:p>
            <w:pPr>
              <w:spacing w:after="40" w:before="40"/>
            </w:pPr>
            <w:r/>
            <w:r>
              <w:rPr>
                <w:rFonts w:ascii="Calibri" w:hAnsi="Calibri"/>
                <w:b/>
                <w:i w:val="0"/>
                <w:color w:val="FFFFFF"/>
                <w:sz w:val="18"/>
              </w:rPr>
              <w:t>What good looks like</w:t>
            </w:r>
          </w:p>
        </w:tc>
        <w:tc>
          <w:tcPr>
            <w:tcW w:type="dxa" w:w="720"/>
            <w:shd w:val="clear" w:color="auto" w:fill="1B3A4B"/>
          </w:tcPr>
          <w:p>
            <w:pPr>
              <w:spacing w:after="40" w:before="40"/>
            </w:pPr>
            <w:r/>
            <w:r>
              <w:rPr>
                <w:rFonts w:ascii="Calibri" w:hAnsi="Calibri"/>
                <w:b/>
                <w:i w:val="0"/>
                <w:color w:val="FFFFFF"/>
                <w:sz w:val="18"/>
              </w:rPr>
              <w:t>✓</w:t>
            </w:r>
          </w:p>
        </w:tc>
      </w:tr>
      <w:tr>
        <w:trPr>
          <w:cantSplit/>
        </w:trPr>
        <w:tc>
          <w:tcPr>
            <w:tcW w:type="dxa" w:w="2160"/>
          </w:tcPr>
          <w:p>
            <w:pPr>
              <w:spacing w:after="40" w:before="40"/>
            </w:pPr>
            <w:r/>
            <w:r>
              <w:rPr>
                <w:rFonts w:ascii="Calibri" w:hAnsi="Calibri"/>
                <w:b/>
                <w:i w:val="0"/>
                <w:color w:val="22333B"/>
                <w:sz w:val="18"/>
              </w:rPr>
              <w:t>Authentication</w:t>
            </w:r>
          </w:p>
        </w:tc>
        <w:tc>
          <w:tcPr>
            <w:tcW w:type="dxa" w:w="6912"/>
          </w:tcPr>
          <w:p>
            <w:pPr>
              <w:spacing w:after="40" w:before="40"/>
            </w:pPr>
            <w:r/>
            <w:r>
              <w:rPr>
                <w:rFonts w:ascii="Calibri" w:hAnsi="Calibri"/>
                <w:b w:val="0"/>
                <w:i w:val="0"/>
                <w:color w:val="22333B"/>
                <w:sz w:val="18"/>
              </w:rPr>
              <w:t>Identity established for users, services and connected components. No shared or default credentials; no hardcoded secrets.</w:t>
            </w:r>
          </w:p>
        </w:tc>
        <w:tc>
          <w:tcPr>
            <w:tcW w:type="dxa" w:w="720"/>
          </w:tcPr>
          <w:p>
            <w:pPr>
              <w:spacing w:after="40" w:before="40"/>
            </w:pPr>
            <w:r/>
            <w:r>
              <w:rPr>
                <w:rFonts w:ascii="Calibri" w:hAnsi="Calibri"/>
                <w:b w:val="0"/>
                <w:i w:val="0"/>
                <w:color w:val="22333B"/>
                <w:sz w:val="18"/>
              </w:rPr>
            </w:r>
          </w:p>
        </w:tc>
      </w:tr>
      <w:tr>
        <w:trPr>
          <w:cantSplit/>
        </w:trPr>
        <w:tc>
          <w:tcPr>
            <w:tcW w:type="dxa" w:w="2160"/>
          </w:tcPr>
          <w:p>
            <w:pPr>
              <w:spacing w:after="40" w:before="40"/>
            </w:pPr>
            <w:r/>
            <w:r>
              <w:rPr>
                <w:rFonts w:ascii="Calibri" w:hAnsi="Calibri"/>
                <w:b/>
                <w:i w:val="0"/>
                <w:color w:val="22333B"/>
                <w:sz w:val="18"/>
              </w:rPr>
              <w:t>Authorisation</w:t>
            </w:r>
          </w:p>
        </w:tc>
        <w:tc>
          <w:tcPr>
            <w:tcW w:type="dxa" w:w="6912"/>
          </w:tcPr>
          <w:p>
            <w:pPr>
              <w:spacing w:after="40" w:before="40"/>
            </w:pPr>
            <w:r/>
            <w:r>
              <w:rPr>
                <w:rFonts w:ascii="Calibri" w:hAnsi="Calibri"/>
                <w:b w:val="0"/>
                <w:i w:val="0"/>
                <w:color w:val="22333B"/>
                <w:sz w:val="18"/>
              </w:rPr>
              <w:t>Least privilege enforced server-side, not in the UI. Clinical, administrative and service roles separated.</w:t>
            </w:r>
          </w:p>
        </w:tc>
        <w:tc>
          <w:tcPr>
            <w:tcW w:type="dxa" w:w="720"/>
          </w:tcPr>
          <w:p>
            <w:pPr>
              <w:spacing w:after="40" w:before="40"/>
            </w:pPr>
            <w:r/>
            <w:r>
              <w:rPr>
                <w:rFonts w:ascii="Calibri" w:hAnsi="Calibri"/>
                <w:b w:val="0"/>
                <w:i w:val="0"/>
                <w:color w:val="22333B"/>
                <w:sz w:val="18"/>
              </w:rPr>
            </w:r>
          </w:p>
        </w:tc>
      </w:tr>
      <w:tr>
        <w:trPr>
          <w:cantSplit/>
        </w:trPr>
        <w:tc>
          <w:tcPr>
            <w:tcW w:type="dxa" w:w="2160"/>
          </w:tcPr>
          <w:p>
            <w:pPr>
              <w:spacing w:after="40" w:before="40"/>
            </w:pPr>
            <w:r/>
            <w:r>
              <w:rPr>
                <w:rFonts w:ascii="Calibri" w:hAnsi="Calibri"/>
                <w:b/>
                <w:i w:val="0"/>
                <w:color w:val="22333B"/>
                <w:sz w:val="18"/>
              </w:rPr>
              <w:t>Cryptography</w:t>
            </w:r>
          </w:p>
        </w:tc>
        <w:tc>
          <w:tcPr>
            <w:tcW w:type="dxa" w:w="6912"/>
          </w:tcPr>
          <w:p>
            <w:pPr>
              <w:spacing w:after="40" w:before="40"/>
            </w:pPr>
            <w:r/>
            <w:r>
              <w:rPr>
                <w:rFonts w:ascii="Calibri" w:hAnsi="Calibri"/>
                <w:b w:val="0"/>
                <w:i w:val="0"/>
                <w:color w:val="22333B"/>
                <w:sz w:val="18"/>
              </w:rPr>
              <w:t>Current algorithms, correct implementations, real key management. Keys rotatable across the service life.</w:t>
            </w:r>
          </w:p>
        </w:tc>
        <w:tc>
          <w:tcPr>
            <w:tcW w:type="dxa" w:w="720"/>
          </w:tcPr>
          <w:p>
            <w:pPr>
              <w:spacing w:after="40" w:before="40"/>
            </w:pPr>
            <w:r/>
            <w:r>
              <w:rPr>
                <w:rFonts w:ascii="Calibri" w:hAnsi="Calibri"/>
                <w:b w:val="0"/>
                <w:i w:val="0"/>
                <w:color w:val="22333B"/>
                <w:sz w:val="18"/>
              </w:rPr>
            </w:r>
          </w:p>
        </w:tc>
      </w:tr>
      <w:tr>
        <w:trPr>
          <w:cantSplit/>
        </w:trPr>
        <w:tc>
          <w:tcPr>
            <w:tcW w:type="dxa" w:w="2160"/>
          </w:tcPr>
          <w:p>
            <w:pPr>
              <w:spacing w:after="40" w:before="40"/>
            </w:pPr>
            <w:r/>
            <w:r>
              <w:rPr>
                <w:rFonts w:ascii="Calibri" w:hAnsi="Calibri"/>
                <w:b/>
                <w:i w:val="0"/>
                <w:color w:val="22333B"/>
                <w:sz w:val="18"/>
              </w:rPr>
              <w:t>Code and data integrity</w:t>
            </w:r>
          </w:p>
        </w:tc>
        <w:tc>
          <w:tcPr>
            <w:tcW w:type="dxa" w:w="6912"/>
          </w:tcPr>
          <w:p>
            <w:pPr>
              <w:spacing w:after="40" w:before="40"/>
            </w:pPr>
            <w:r/>
            <w:r>
              <w:rPr>
                <w:rFonts w:ascii="Calibri" w:hAnsi="Calibri"/>
                <w:b w:val="0"/>
                <w:i w:val="0"/>
                <w:color w:val="22333B"/>
                <w:sz w:val="18"/>
              </w:rPr>
              <w:t>Signed firmware, verified boot, protected configuration and calibration data. The device refuses code it cannot authenticate.</w:t>
            </w:r>
          </w:p>
        </w:tc>
        <w:tc>
          <w:tcPr>
            <w:tcW w:type="dxa" w:w="720"/>
          </w:tcPr>
          <w:p>
            <w:pPr>
              <w:spacing w:after="40" w:before="40"/>
            </w:pPr>
            <w:r/>
            <w:r>
              <w:rPr>
                <w:rFonts w:ascii="Calibri" w:hAnsi="Calibri"/>
                <w:b w:val="0"/>
                <w:i w:val="0"/>
                <w:color w:val="22333B"/>
                <w:sz w:val="18"/>
              </w:rPr>
            </w:r>
          </w:p>
        </w:tc>
      </w:tr>
      <w:tr>
        <w:trPr>
          <w:cantSplit/>
        </w:trPr>
        <w:tc>
          <w:tcPr>
            <w:tcW w:type="dxa" w:w="2160"/>
          </w:tcPr>
          <w:p>
            <w:pPr>
              <w:spacing w:after="40" w:before="40"/>
            </w:pPr>
            <w:r/>
            <w:r>
              <w:rPr>
                <w:rFonts w:ascii="Calibri" w:hAnsi="Calibri"/>
                <w:b/>
                <w:i w:val="0"/>
                <w:color w:val="22333B"/>
                <w:sz w:val="18"/>
              </w:rPr>
              <w:t>Confidentiality</w:t>
            </w:r>
          </w:p>
        </w:tc>
        <w:tc>
          <w:tcPr>
            <w:tcW w:type="dxa" w:w="6912"/>
          </w:tcPr>
          <w:p>
            <w:pPr>
              <w:spacing w:after="40" w:before="40"/>
            </w:pPr>
            <w:r/>
            <w:r>
              <w:rPr>
                <w:rFonts w:ascii="Calibri" w:hAnsi="Calibri"/>
                <w:b w:val="0"/>
                <w:i w:val="0"/>
                <w:color w:val="22333B"/>
                <w:sz w:val="18"/>
              </w:rPr>
              <w:t>Data protected in transit, at rest, and at end of life — including diagnostic logs and memory.</w:t>
            </w:r>
          </w:p>
        </w:tc>
        <w:tc>
          <w:tcPr>
            <w:tcW w:type="dxa" w:w="720"/>
          </w:tcPr>
          <w:p>
            <w:pPr>
              <w:spacing w:after="40" w:before="40"/>
            </w:pPr>
            <w:r/>
            <w:r>
              <w:rPr>
                <w:rFonts w:ascii="Calibri" w:hAnsi="Calibri"/>
                <w:b w:val="0"/>
                <w:i w:val="0"/>
                <w:color w:val="22333B"/>
                <w:sz w:val="18"/>
              </w:rPr>
            </w:r>
          </w:p>
        </w:tc>
      </w:tr>
      <w:tr>
        <w:trPr>
          <w:cantSplit/>
        </w:trPr>
        <w:tc>
          <w:tcPr>
            <w:tcW w:type="dxa" w:w="2160"/>
          </w:tcPr>
          <w:p>
            <w:pPr>
              <w:spacing w:after="40" w:before="40"/>
            </w:pPr>
            <w:r/>
            <w:r>
              <w:rPr>
                <w:rFonts w:ascii="Calibri" w:hAnsi="Calibri"/>
                <w:b/>
                <w:i w:val="0"/>
                <w:color w:val="22333B"/>
                <w:sz w:val="18"/>
              </w:rPr>
              <w:t>Event detection and logging</w:t>
            </w:r>
          </w:p>
        </w:tc>
        <w:tc>
          <w:tcPr>
            <w:tcW w:type="dxa" w:w="6912"/>
          </w:tcPr>
          <w:p>
            <w:pPr>
              <w:spacing w:after="40" w:before="40"/>
            </w:pPr>
            <w:r/>
            <w:r>
              <w:rPr>
                <w:rFonts w:ascii="Calibri" w:hAnsi="Calibri"/>
                <w:b w:val="0"/>
                <w:i w:val="0"/>
                <w:color w:val="22333B"/>
                <w:sz w:val="18"/>
              </w:rPr>
              <w:t>Security-relevant events recorded, retained and retrievable. An incident can be reconstructed.</w:t>
            </w:r>
          </w:p>
        </w:tc>
        <w:tc>
          <w:tcPr>
            <w:tcW w:type="dxa" w:w="720"/>
          </w:tcPr>
          <w:p>
            <w:pPr>
              <w:spacing w:after="40" w:before="40"/>
            </w:pPr>
            <w:r/>
            <w:r>
              <w:rPr>
                <w:rFonts w:ascii="Calibri" w:hAnsi="Calibri"/>
                <w:b w:val="0"/>
                <w:i w:val="0"/>
                <w:color w:val="22333B"/>
                <w:sz w:val="18"/>
              </w:rPr>
            </w:r>
          </w:p>
        </w:tc>
      </w:tr>
      <w:tr>
        <w:trPr>
          <w:cantSplit/>
        </w:trPr>
        <w:tc>
          <w:tcPr>
            <w:tcW w:type="dxa" w:w="2160"/>
          </w:tcPr>
          <w:p>
            <w:pPr>
              <w:spacing w:after="40" w:before="40"/>
            </w:pPr>
            <w:r/>
            <w:r>
              <w:rPr>
                <w:rFonts w:ascii="Calibri" w:hAnsi="Calibri"/>
                <w:b/>
                <w:i w:val="0"/>
                <w:color w:val="22333B"/>
                <w:sz w:val="18"/>
              </w:rPr>
              <w:t>Resiliency and recovery</w:t>
            </w:r>
          </w:p>
        </w:tc>
        <w:tc>
          <w:tcPr>
            <w:tcW w:type="dxa" w:w="6912"/>
          </w:tcPr>
          <w:p>
            <w:pPr>
              <w:spacing w:after="40" w:before="40"/>
            </w:pPr>
            <w:r/>
            <w:r>
              <w:rPr>
                <w:rFonts w:ascii="Calibri" w:hAnsi="Calibri"/>
                <w:b w:val="0"/>
                <w:i w:val="0"/>
                <w:color w:val="22333B"/>
                <w:sz w:val="18"/>
              </w:rPr>
              <w:t>Clinical function maintained or safely degraded under attack; recovery to a known-good state.</w:t>
            </w:r>
          </w:p>
        </w:tc>
        <w:tc>
          <w:tcPr>
            <w:tcW w:type="dxa" w:w="720"/>
          </w:tcPr>
          <w:p>
            <w:pPr>
              <w:spacing w:after="40" w:before="40"/>
            </w:pPr>
            <w:r/>
            <w:r>
              <w:rPr>
                <w:rFonts w:ascii="Calibri" w:hAnsi="Calibri"/>
                <w:b w:val="0"/>
                <w:i w:val="0"/>
                <w:color w:val="22333B"/>
                <w:sz w:val="18"/>
              </w:rPr>
            </w:r>
          </w:p>
        </w:tc>
      </w:tr>
      <w:tr>
        <w:trPr>
          <w:cantSplit/>
        </w:trPr>
        <w:tc>
          <w:tcPr>
            <w:tcW w:type="dxa" w:w="2160"/>
          </w:tcPr>
          <w:p>
            <w:pPr>
              <w:spacing w:after="40" w:before="40"/>
            </w:pPr>
            <w:r/>
            <w:r>
              <w:rPr>
                <w:rFonts w:ascii="Calibri" w:hAnsi="Calibri"/>
                <w:b/>
                <w:i w:val="0"/>
                <w:color w:val="22333B"/>
                <w:sz w:val="18"/>
              </w:rPr>
              <w:t>Secure updates</w:t>
            </w:r>
          </w:p>
        </w:tc>
        <w:tc>
          <w:tcPr>
            <w:tcW w:type="dxa" w:w="6912"/>
          </w:tcPr>
          <w:p>
            <w:pPr>
              <w:spacing w:after="40" w:before="40"/>
            </w:pPr>
            <w:r/>
            <w:r>
              <w:rPr>
                <w:rFonts w:ascii="Calibri" w:hAnsi="Calibri"/>
                <w:b w:val="0"/>
                <w:i w:val="0"/>
                <w:color w:val="22333B"/>
                <w:sz w:val="18"/>
              </w:rPr>
              <w:t>Authenticated, integrity-checked, rollback-capable — including behaviour on an interrupted update.</w:t>
            </w:r>
          </w:p>
        </w:tc>
        <w:tc>
          <w:tcPr>
            <w:tcW w:type="dxa" w:w="720"/>
          </w:tcPr>
          <w:p>
            <w:pPr>
              <w:spacing w:after="40" w:before="40"/>
            </w:pPr>
            <w:r/>
            <w:r>
              <w:rPr>
                <w:rFonts w:ascii="Calibri" w:hAnsi="Calibri"/>
                <w:b w:val="0"/>
                <w:i w:val="0"/>
                <w:color w:val="22333B"/>
                <w:sz w:val="18"/>
              </w:rPr>
            </w:r>
          </w:p>
        </w:tc>
      </w:tr>
    </w:tbl>
    <w:p>
      <w:pPr>
        <w:keepNext/>
        <w:spacing w:after="80" w:before="180"/>
      </w:pPr>
      <w:r>
        <w:rPr>
          <w:rFonts w:ascii="Cambria" w:hAnsi="Cambria"/>
          <w:b/>
          <w:color w:val="1B3A4B"/>
          <w:sz w:val="26"/>
        </w:rPr>
        <w:t>The four security architecture views</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448"/>
        <w:gridCol w:w="7343"/>
      </w:tblGrid>
      <w:tr>
        <w:trPr>
          <w:cantSplit/>
        </w:trPr>
        <w:tc>
          <w:tcPr>
            <w:tcW w:type="dxa" w:w="2448"/>
            <w:shd w:val="clear" w:color="auto" w:fill="1B3A4B"/>
          </w:tcPr>
          <w:p>
            <w:pPr>
              <w:spacing w:after="40" w:before="40"/>
            </w:pPr>
            <w:r/>
            <w:r>
              <w:rPr>
                <w:rFonts w:ascii="Calibri" w:hAnsi="Calibri"/>
                <w:b/>
                <w:i w:val="0"/>
                <w:color w:val="FFFFFF"/>
                <w:sz w:val="18"/>
              </w:rPr>
              <w:t>View</w:t>
            </w:r>
          </w:p>
        </w:tc>
        <w:tc>
          <w:tcPr>
            <w:tcW w:type="dxa" w:w="7344"/>
            <w:shd w:val="clear" w:color="auto" w:fill="1B3A4B"/>
          </w:tcPr>
          <w:p>
            <w:pPr>
              <w:spacing w:after="40" w:before="40"/>
            </w:pPr>
            <w:r/>
            <w:r>
              <w:rPr>
                <w:rFonts w:ascii="Calibri" w:hAnsi="Calibri"/>
                <w:b/>
                <w:i w:val="0"/>
                <w:color w:val="FFFFFF"/>
                <w:sz w:val="18"/>
              </w:rPr>
              <w:t>The question it answers</w:t>
            </w:r>
          </w:p>
        </w:tc>
      </w:tr>
      <w:tr>
        <w:trPr>
          <w:cantSplit/>
        </w:trPr>
        <w:tc>
          <w:tcPr>
            <w:tcW w:type="dxa" w:w="2448"/>
          </w:tcPr>
          <w:p>
            <w:pPr>
              <w:spacing w:after="40" w:before="40"/>
            </w:pPr>
            <w:r/>
            <w:r>
              <w:rPr>
                <w:rFonts w:ascii="Calibri" w:hAnsi="Calibri"/>
                <w:b/>
                <w:i w:val="0"/>
                <w:color w:val="22333B"/>
                <w:sz w:val="18"/>
              </w:rPr>
              <w:t>Global system</w:t>
            </w:r>
          </w:p>
        </w:tc>
        <w:tc>
          <w:tcPr>
            <w:tcW w:type="dxa" w:w="7344"/>
          </w:tcPr>
          <w:p>
            <w:pPr>
              <w:spacing w:after="40" w:before="40"/>
            </w:pPr>
            <w:r/>
            <w:r>
              <w:rPr>
                <w:rFonts w:ascii="Calibri" w:hAnsi="Calibri"/>
                <w:b w:val="0"/>
                <w:i w:val="0"/>
                <w:color w:val="22333B"/>
                <w:sz w:val="18"/>
              </w:rPr>
              <w:t>What is the whole picture — the device, everything it connects to, every interface and data flow, including cloud services, mobile apps, service tools and update infrastructure? If it is not on this diagram, it was not assessed.</w:t>
            </w:r>
          </w:p>
        </w:tc>
      </w:tr>
      <w:tr>
        <w:trPr>
          <w:cantSplit/>
        </w:trPr>
        <w:tc>
          <w:tcPr>
            <w:tcW w:type="dxa" w:w="2448"/>
          </w:tcPr>
          <w:p>
            <w:pPr>
              <w:spacing w:after="40" w:before="40"/>
            </w:pPr>
            <w:r/>
            <w:r>
              <w:rPr>
                <w:rFonts w:ascii="Calibri" w:hAnsi="Calibri"/>
                <w:b/>
                <w:i w:val="0"/>
                <w:color w:val="22333B"/>
                <w:sz w:val="18"/>
              </w:rPr>
              <w:t>Multi-patient harm</w:t>
            </w:r>
          </w:p>
        </w:tc>
        <w:tc>
          <w:tcPr>
            <w:tcW w:type="dxa" w:w="7344"/>
          </w:tcPr>
          <w:p>
            <w:pPr>
              <w:spacing w:after="40" w:before="40"/>
            </w:pPr>
            <w:r/>
            <w:r>
              <w:rPr>
                <w:rFonts w:ascii="Calibri" w:hAnsi="Calibri"/>
                <w:b w:val="0"/>
                <w:i w:val="0"/>
                <w:color w:val="22333B"/>
                <w:sz w:val="18"/>
              </w:rPr>
              <w:t>How does a compromise propagate beyond one device? What is the largest number of patients one successful attack could affect? Anything shared fleet-wide — a signing key, a default credential, a common server — is a pathway.</w:t>
            </w:r>
          </w:p>
        </w:tc>
      </w:tr>
      <w:tr>
        <w:trPr>
          <w:cantSplit/>
        </w:trPr>
        <w:tc>
          <w:tcPr>
            <w:tcW w:type="dxa" w:w="2448"/>
          </w:tcPr>
          <w:p>
            <w:pPr>
              <w:spacing w:after="40" w:before="40"/>
            </w:pPr>
            <w:r/>
            <w:r>
              <w:rPr>
                <w:rFonts w:ascii="Calibri" w:hAnsi="Calibri"/>
                <w:b/>
                <w:i w:val="0"/>
                <w:color w:val="22333B"/>
                <w:sz w:val="18"/>
              </w:rPr>
              <w:t>Updateability and patchability</w:t>
            </w:r>
          </w:p>
        </w:tc>
        <w:tc>
          <w:tcPr>
            <w:tcW w:type="dxa" w:w="7344"/>
          </w:tcPr>
          <w:p>
            <w:pPr>
              <w:spacing w:after="40" w:before="40"/>
            </w:pPr>
            <w:r/>
            <w:r>
              <w:rPr>
                <w:rFonts w:ascii="Calibri" w:hAnsi="Calibri"/>
                <w:b w:val="0"/>
                <w:i w:val="0"/>
                <w:color w:val="22333B"/>
                <w:sz w:val="18"/>
              </w:rPr>
              <w:t>How does software get into the device, and how would you deploy an emergency fix? Authentication, integrity verification, rollback, and behaviour on interruption.</w:t>
            </w:r>
          </w:p>
        </w:tc>
      </w:tr>
      <w:tr>
        <w:trPr>
          <w:cantSplit/>
        </w:trPr>
        <w:tc>
          <w:tcPr>
            <w:tcW w:type="dxa" w:w="2448"/>
          </w:tcPr>
          <w:p>
            <w:pPr>
              <w:spacing w:after="40" w:before="40"/>
            </w:pPr>
            <w:r/>
            <w:r>
              <w:rPr>
                <w:rFonts w:ascii="Calibri" w:hAnsi="Calibri"/>
                <w:b/>
                <w:i w:val="0"/>
                <w:color w:val="22333B"/>
                <w:sz w:val="18"/>
              </w:rPr>
              <w:t>Security use cases</w:t>
            </w:r>
          </w:p>
        </w:tc>
        <w:tc>
          <w:tcPr>
            <w:tcW w:type="dxa" w:w="7344"/>
          </w:tcPr>
          <w:p>
            <w:pPr>
              <w:spacing w:after="40" w:before="40"/>
            </w:pPr>
            <w:r/>
            <w:r>
              <w:rPr>
                <w:rFonts w:ascii="Calibri" w:hAnsi="Calibri"/>
                <w:b w:val="0"/>
                <w:i w:val="0"/>
                <w:color w:val="22333B"/>
                <w:sz w:val="18"/>
              </w:rPr>
              <w:t>Walk scenarios end to end — clinician login, firmware update, service engineer connection, remote support, decommissioning. Controls fail in sequence, not in isolation.</w:t>
            </w:r>
          </w:p>
        </w:tc>
      </w:tr>
    </w:tbl>
    <w:p>
      <w:pPr>
        <w:keepNext/>
        <w:spacing w:after="80" w:before="180"/>
      </w:pPr>
      <w:r>
        <w:rPr>
          <w:rFonts w:ascii="Cambria" w:hAnsi="Cambria"/>
          <w:b/>
          <w:color w:val="1B3A4B"/>
          <w:sz w:val="26"/>
        </w:rPr>
        <w:t>SBOM — minimum content</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600"/>
        <w:gridCol w:w="6192"/>
      </w:tblGrid>
      <w:tr>
        <w:trPr>
          <w:cantSplit/>
        </w:trPr>
        <w:tc>
          <w:tcPr>
            <w:tcW w:type="dxa" w:w="3600"/>
            <w:shd w:val="clear" w:color="auto" w:fill="1B3A4B"/>
          </w:tcPr>
          <w:p>
            <w:pPr>
              <w:spacing w:after="40" w:before="40"/>
            </w:pPr>
            <w:r/>
            <w:r>
              <w:rPr>
                <w:rFonts w:ascii="Calibri" w:hAnsi="Calibri"/>
                <w:b/>
                <w:i w:val="0"/>
                <w:color w:val="FFFFFF"/>
                <w:sz w:val="18"/>
              </w:rPr>
              <w:t>Field</w:t>
            </w:r>
          </w:p>
        </w:tc>
        <w:tc>
          <w:tcPr>
            <w:tcW w:type="dxa" w:w="6192"/>
            <w:shd w:val="clear" w:color="auto" w:fill="1B3A4B"/>
          </w:tcPr>
          <w:p>
            <w:pPr>
              <w:spacing w:after="40" w:before="40"/>
            </w:pPr>
            <w:r/>
            <w:r>
              <w:rPr>
                <w:rFonts w:ascii="Calibri" w:hAnsi="Calibri"/>
                <w:b/>
                <w:i w:val="0"/>
                <w:color w:val="FFFFFF"/>
                <w:sz w:val="18"/>
              </w:rPr>
              <w:t>Note</w:t>
            </w:r>
          </w:p>
        </w:tc>
      </w:tr>
      <w:tr>
        <w:trPr>
          <w:cantSplit/>
        </w:trPr>
        <w:tc>
          <w:tcPr>
            <w:tcW w:type="dxa" w:w="3600"/>
          </w:tcPr>
          <w:p>
            <w:pPr>
              <w:spacing w:after="40" w:before="40"/>
            </w:pPr>
            <w:r/>
            <w:r>
              <w:rPr>
                <w:rFonts w:ascii="Calibri" w:hAnsi="Calibri"/>
                <w:b/>
                <w:i w:val="0"/>
                <w:color w:val="22333B"/>
                <w:sz w:val="18"/>
              </w:rPr>
              <w:t>Supplier name</w:t>
            </w:r>
          </w:p>
        </w:tc>
        <w:tc>
          <w:tcPr>
            <w:tcW w:type="dxa" w:w="6192"/>
          </w:tcPr>
          <w:p>
            <w:pPr>
              <w:spacing w:after="40" w:before="40"/>
            </w:pPr>
            <w:r/>
            <w:r>
              <w:rPr>
                <w:rFonts w:ascii="Calibri" w:hAnsi="Calibri"/>
                <w:b w:val="0"/>
                <w:i w:val="0"/>
                <w:color w:val="22333B"/>
                <w:sz w:val="18"/>
              </w:rPr>
              <w:t>Who produced the component</w:t>
            </w:r>
          </w:p>
        </w:tc>
      </w:tr>
      <w:tr>
        <w:trPr>
          <w:cantSplit/>
        </w:trPr>
        <w:tc>
          <w:tcPr>
            <w:tcW w:type="dxa" w:w="3600"/>
          </w:tcPr>
          <w:p>
            <w:pPr>
              <w:spacing w:after="40" w:before="40"/>
            </w:pPr>
            <w:r/>
            <w:r>
              <w:rPr>
                <w:rFonts w:ascii="Calibri" w:hAnsi="Calibri"/>
                <w:b/>
                <w:i w:val="0"/>
                <w:color w:val="22333B"/>
                <w:sz w:val="18"/>
              </w:rPr>
              <w:t>Component name and version</w:t>
            </w:r>
          </w:p>
        </w:tc>
        <w:tc>
          <w:tcPr>
            <w:tcW w:type="dxa" w:w="6192"/>
          </w:tcPr>
          <w:p>
            <w:pPr>
              <w:spacing w:after="40" w:before="40"/>
            </w:pPr>
            <w:r/>
            <w:r>
              <w:rPr>
                <w:rFonts w:ascii="Calibri" w:hAnsi="Calibri"/>
                <w:b w:val="0"/>
                <w:i w:val="0"/>
                <w:color w:val="22333B"/>
                <w:sz w:val="18"/>
              </w:rPr>
              <w:t>“Latest” is not a version</w:t>
            </w:r>
          </w:p>
        </w:tc>
      </w:tr>
      <w:tr>
        <w:trPr>
          <w:cantSplit/>
        </w:trPr>
        <w:tc>
          <w:tcPr>
            <w:tcW w:type="dxa" w:w="3600"/>
          </w:tcPr>
          <w:p>
            <w:pPr>
              <w:spacing w:after="40" w:before="40"/>
            </w:pPr>
            <w:r/>
            <w:r>
              <w:rPr>
                <w:rFonts w:ascii="Calibri" w:hAnsi="Calibri"/>
                <w:b/>
                <w:i w:val="0"/>
                <w:color w:val="22333B"/>
                <w:sz w:val="18"/>
              </w:rPr>
              <w:t>Unique identifiers</w:t>
            </w:r>
          </w:p>
        </w:tc>
        <w:tc>
          <w:tcPr>
            <w:tcW w:type="dxa" w:w="6192"/>
          </w:tcPr>
          <w:p>
            <w:pPr>
              <w:spacing w:after="40" w:before="40"/>
            </w:pPr>
            <w:r/>
            <w:r>
              <w:rPr>
                <w:rFonts w:ascii="Calibri" w:hAnsi="Calibri"/>
                <w:b w:val="0"/>
                <w:i w:val="0"/>
                <w:color w:val="22333B"/>
                <w:sz w:val="18"/>
              </w:rPr>
              <w:t>For automated matching against vulnerability feeds</w:t>
            </w:r>
          </w:p>
        </w:tc>
      </w:tr>
      <w:tr>
        <w:trPr>
          <w:cantSplit/>
        </w:trPr>
        <w:tc>
          <w:tcPr>
            <w:tcW w:type="dxa" w:w="3600"/>
          </w:tcPr>
          <w:p>
            <w:pPr>
              <w:spacing w:after="40" w:before="40"/>
            </w:pPr>
            <w:r/>
            <w:r>
              <w:rPr>
                <w:rFonts w:ascii="Calibri" w:hAnsi="Calibri"/>
                <w:b/>
                <w:i w:val="0"/>
                <w:color w:val="22333B"/>
                <w:sz w:val="18"/>
              </w:rPr>
              <w:t>Dependency relationships</w:t>
            </w:r>
          </w:p>
        </w:tc>
        <w:tc>
          <w:tcPr>
            <w:tcW w:type="dxa" w:w="6192"/>
          </w:tcPr>
          <w:p>
            <w:pPr>
              <w:spacing w:after="40" w:before="40"/>
            </w:pPr>
            <w:r/>
            <w:r>
              <w:rPr>
                <w:rFonts w:ascii="Calibri" w:hAnsi="Calibri"/>
                <w:b w:val="0"/>
                <w:i w:val="0"/>
                <w:color w:val="22333B"/>
                <w:sz w:val="18"/>
              </w:rPr>
              <w:t>Including transitive dependencies — this is where URGENT/11 lived</w:t>
            </w:r>
          </w:p>
        </w:tc>
      </w:tr>
      <w:tr>
        <w:trPr>
          <w:cantSplit/>
        </w:trPr>
        <w:tc>
          <w:tcPr>
            <w:tcW w:type="dxa" w:w="3600"/>
          </w:tcPr>
          <w:p>
            <w:pPr>
              <w:spacing w:after="40" w:before="40"/>
            </w:pPr>
            <w:r/>
            <w:r>
              <w:rPr>
                <w:rFonts w:ascii="Calibri" w:hAnsi="Calibri"/>
                <w:b/>
                <w:i w:val="0"/>
                <w:color w:val="22333B"/>
                <w:sz w:val="18"/>
              </w:rPr>
              <w:t>Author of the SBOM data and timestamp</w:t>
            </w:r>
          </w:p>
        </w:tc>
        <w:tc>
          <w:tcPr>
            <w:tcW w:type="dxa" w:w="6192"/>
          </w:tcPr>
          <w:p>
            <w:pPr>
              <w:spacing w:after="40" w:before="40"/>
            </w:pPr>
            <w:r/>
            <w:r>
              <w:rPr>
                <w:rFonts w:ascii="Calibri" w:hAnsi="Calibri"/>
                <w:b w:val="0"/>
                <w:i w:val="0"/>
                <w:color w:val="22333B"/>
                <w:sz w:val="18"/>
              </w:rPr>
              <w:t>Provenance of the inventory itself</w:t>
            </w:r>
          </w:p>
        </w:tc>
      </w:tr>
      <w:tr>
        <w:trPr>
          <w:cantSplit/>
        </w:trPr>
        <w:tc>
          <w:tcPr>
            <w:tcW w:type="dxa" w:w="3600"/>
          </w:tcPr>
          <w:p>
            <w:pPr>
              <w:spacing w:after="40" w:before="40"/>
            </w:pPr>
            <w:r/>
            <w:r>
              <w:rPr>
                <w:rFonts w:ascii="Calibri" w:hAnsi="Calibri"/>
                <w:b/>
                <w:i w:val="0"/>
                <w:color w:val="22333B"/>
                <w:sz w:val="18"/>
              </w:rPr>
              <w:t>Level of support from the supplier</w:t>
            </w:r>
          </w:p>
        </w:tc>
        <w:tc>
          <w:tcPr>
            <w:tcW w:type="dxa" w:w="6192"/>
          </w:tcPr>
          <w:p>
            <w:pPr>
              <w:spacing w:after="40" w:before="40"/>
            </w:pPr>
            <w:r/>
            <w:r>
              <w:rPr>
                <w:rFonts w:ascii="Calibri" w:hAnsi="Calibri"/>
                <w:b/>
                <w:i w:val="0"/>
                <w:color w:val="C77C1E"/>
                <w:sz w:val="18"/>
              </w:rPr>
              <w:t>Expected by FDA in addition to the baseline fields</w:t>
            </w:r>
          </w:p>
        </w:tc>
      </w:tr>
      <w:tr>
        <w:trPr>
          <w:cantSplit/>
        </w:trPr>
        <w:tc>
          <w:tcPr>
            <w:tcW w:type="dxa" w:w="3600"/>
          </w:tcPr>
          <w:p>
            <w:pPr>
              <w:spacing w:after="40" w:before="40"/>
            </w:pPr>
            <w:r/>
            <w:r>
              <w:rPr>
                <w:rFonts w:ascii="Calibri" w:hAnsi="Calibri"/>
                <w:b/>
                <w:i w:val="0"/>
                <w:color w:val="22333B"/>
                <w:sz w:val="18"/>
              </w:rPr>
              <w:t>End-of-support and end-of-life dates</w:t>
            </w:r>
          </w:p>
        </w:tc>
        <w:tc>
          <w:tcPr>
            <w:tcW w:type="dxa" w:w="6192"/>
          </w:tcPr>
          <w:p>
            <w:pPr>
              <w:spacing w:after="40" w:before="40"/>
            </w:pPr>
            <w:r/>
            <w:r>
              <w:rPr>
                <w:rFonts w:ascii="Calibri" w:hAnsi="Calibri"/>
                <w:b/>
                <w:i w:val="0"/>
                <w:color w:val="C77C1E"/>
                <w:sz w:val="18"/>
              </w:rPr>
              <w:t>Expected by FDA. Compare against your device's service life.</w:t>
            </w:r>
          </w:p>
        </w:tc>
      </w:tr>
    </w:tbl>
    <w:p>
      <w:pPr>
        <w:spacing w:after="100"/>
      </w:pPr>
      <w:r>
        <w:rPr>
          <w:rFonts w:ascii="Calibri" w:hAnsi="Calibri"/>
          <w:b w:val="0"/>
          <w:i/>
          <w:color w:val="1B3A4B"/>
          <w:sz w:val="20"/>
        </w:rPr>
        <w:t>Machine-readable — SPDX or CycloneDX. A PDF of a table is not an SBOM: the entire value is automated matching. Generate it from the build, not from a spreadsheet someone maintains.</w:t>
      </w:r>
    </w:p>
    <w:p>
      <w:pPr>
        <w:keepNext/>
        <w:spacing w:after="80" w:before="180"/>
      </w:pPr>
      <w:r>
        <w:rPr>
          <w:rFonts w:ascii="Cambria" w:hAnsi="Cambria"/>
          <w:b/>
          <w:color w:val="1B3A4B"/>
          <w:sz w:val="26"/>
        </w:rPr>
        <w:t>Postmarket — the four obligations that never close</w:t>
      </w:r>
    </w:p>
    <w:p>
      <w:pPr>
        <w:pStyle w:val="ListBullet"/>
        <w:spacing w:after="50" w:line="254" w:lineRule="auto"/>
        <w:ind w:left="576"/>
      </w:pPr>
      <w:r>
        <w:rPr>
          <w:rFonts w:ascii="Calibri" w:hAnsi="Calibri"/>
          <w:b/>
          <w:color w:val="1B3A4B"/>
          <w:sz w:val="20"/>
        </w:rPr>
        <w:t xml:space="preserve">Coordinated vulnerability disclosure: </w:t>
      </w:r>
      <w:r>
        <w:rPr>
          <w:rFonts w:ascii="Calibri" w:hAnsi="Calibri"/>
          <w:color w:val="22333B"/>
          <w:sz w:val="20"/>
        </w:rPr>
        <w:t>a published route for researchers to reach you, a monitored address, and a stated policy on scope and timelines. ISO/IEC 29147 and 30111 are the references. Researchers who cannot reach you publish anyway.</w:t>
      </w:r>
    </w:p>
    <w:p>
      <w:pPr>
        <w:pStyle w:val="ListBullet"/>
        <w:spacing w:after="50" w:line="254" w:lineRule="auto"/>
        <w:ind w:left="576"/>
      </w:pPr>
      <w:r>
        <w:rPr>
          <w:rFonts w:ascii="Calibri" w:hAnsi="Calibri"/>
          <w:b/>
          <w:color w:val="1B3A4B"/>
          <w:sz w:val="20"/>
        </w:rPr>
        <w:t xml:space="preserve">Controlled vs uncontrolled risk: </w:t>
      </w:r>
      <w:r>
        <w:rPr>
          <w:rFonts w:ascii="Calibri" w:hAnsi="Calibri"/>
          <w:color w:val="22333B"/>
          <w:sz w:val="20"/>
        </w:rPr>
        <w:t>controlled means residual risk to health is acceptable; uncontrolled means it is not, and must be remediated. Unlike safety risk, uncontrolled security risk is not something you accept against benefit.</w:t>
      </w:r>
    </w:p>
    <w:p>
      <w:pPr>
        <w:pStyle w:val="ListBullet"/>
        <w:spacing w:after="50" w:line="254" w:lineRule="auto"/>
        <w:ind w:left="576"/>
      </w:pPr>
      <w:r>
        <w:rPr>
          <w:rFonts w:ascii="Calibri" w:hAnsi="Calibri"/>
          <w:b/>
          <w:color w:val="1B3A4B"/>
          <w:sz w:val="20"/>
        </w:rPr>
        <w:t xml:space="preserve">Reporting thresholds: </w:t>
      </w:r>
      <w:r>
        <w:rPr>
          <w:rFonts w:ascii="Calibri" w:hAnsi="Calibri"/>
          <w:color w:val="22333B"/>
          <w:sz w:val="20"/>
        </w:rPr>
        <w:t>routine updates that reduce risk to an acceptable level are treated differently from corrections reportable under 21 CFR 806. Read FDA's 2016 postmarket guidance before you need it, and involve regulatory on day one.</w:t>
      </w:r>
    </w:p>
    <w:p>
      <w:pPr>
        <w:pStyle w:val="ListBullet"/>
        <w:spacing w:after="50" w:line="254" w:lineRule="auto"/>
        <w:ind w:left="576"/>
      </w:pPr>
      <w:r>
        <w:rPr>
          <w:rFonts w:ascii="Calibri" w:hAnsi="Calibri"/>
          <w:b/>
          <w:color w:val="1B3A4B"/>
          <w:sz w:val="20"/>
        </w:rPr>
        <w:t xml:space="preserve">Ecosystem participation: </w:t>
      </w:r>
      <w:r>
        <w:rPr>
          <w:rFonts w:ascii="Calibri" w:hAnsi="Calibri"/>
          <w:color w:val="22333B"/>
          <w:sz w:val="20"/>
        </w:rPr>
        <w:t>information sharing through an ISAO, engagement with CISA advisories, and relationships with the researcher community.</w:t>
      </w:r>
    </w:p>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Glossary</w:t>
      </w:r>
    </w:p>
    <w:p>
      <w:pPr>
        <w:spacing w:before="120" w:after="160"/>
        <w:pBdr>
          <w:bottom w:val="single" w:sz="6" w:space="1" w:color="D7E2E5"/>
        </w:pBdr>
      </w:pP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160"/>
        <w:gridCol w:w="7632"/>
      </w:tblGrid>
      <w:tr>
        <w:trPr>
          <w:cantSplit/>
          <w:tblHeader/>
        </w:trPr>
        <w:tc>
          <w:tcPr>
            <w:tcW w:type="dxa" w:w="2160"/>
            <w:shd w:val="clear" w:color="auto" w:fill="1B3A4B"/>
          </w:tcPr>
          <w:p>
            <w:pPr>
              <w:spacing w:after="40" w:before="40"/>
            </w:pPr>
            <w:r/>
            <w:r>
              <w:rPr>
                <w:rFonts w:ascii="Calibri" w:hAnsi="Calibri"/>
                <w:b/>
                <w:i w:val="0"/>
                <w:color w:val="FFFFFF"/>
                <w:sz w:val="18"/>
              </w:rPr>
              <w:t>Term</w:t>
            </w:r>
          </w:p>
        </w:tc>
        <w:tc>
          <w:tcPr>
            <w:tcW w:type="dxa" w:w="7632"/>
            <w:shd w:val="clear" w:color="auto" w:fill="1B3A4B"/>
          </w:tcPr>
          <w:p>
            <w:pPr>
              <w:spacing w:after="40" w:before="40"/>
            </w:pPr>
            <w:r/>
            <w:r>
              <w:rPr>
                <w:rFonts w:ascii="Calibri" w:hAnsi="Calibri"/>
                <w:b/>
                <w:i w:val="0"/>
                <w:color w:val="FFFFFF"/>
                <w:sz w:val="18"/>
              </w:rPr>
              <w:t>Meaning</w:t>
            </w:r>
          </w:p>
        </w:tc>
      </w:tr>
      <w:tr>
        <w:trPr>
          <w:cantSplit/>
        </w:trPr>
        <w:tc>
          <w:tcPr>
            <w:tcW w:type="dxa" w:w="2160"/>
          </w:tcPr>
          <w:p>
            <w:pPr>
              <w:spacing w:after="40" w:before="40"/>
            </w:pPr>
            <w:r/>
            <w:r>
              <w:rPr>
                <w:rFonts w:ascii="Calibri" w:hAnsi="Calibri"/>
                <w:b/>
                <w:i w:val="0"/>
                <w:color w:val="1B3A4B"/>
                <w:sz w:val="18"/>
              </w:rPr>
              <w:t>524B</w:t>
            </w:r>
          </w:p>
        </w:tc>
        <w:tc>
          <w:tcPr>
            <w:tcW w:type="dxa" w:w="7632"/>
          </w:tcPr>
          <w:p>
            <w:pPr>
              <w:spacing w:after="40" w:before="40"/>
            </w:pPr>
            <w:r/>
            <w:r>
              <w:rPr>
                <w:rFonts w:ascii="Calibri" w:hAnsi="Calibri"/>
                <w:b w:val="0"/>
                <w:i w:val="0"/>
                <w:color w:val="22333B"/>
                <w:sz w:val="18"/>
              </w:rPr>
              <w:t>Section of the US Federal Food, Drug, and Cosmetic Act, added in 2023, imposing statutory cybersecurity requirements on sponsors of “cyber devices.”</w:t>
            </w:r>
          </w:p>
        </w:tc>
      </w:tr>
      <w:tr>
        <w:trPr>
          <w:cantSplit/>
        </w:trPr>
        <w:tc>
          <w:tcPr>
            <w:tcW w:type="dxa" w:w="2160"/>
          </w:tcPr>
          <w:p>
            <w:pPr>
              <w:spacing w:after="40" w:before="40"/>
            </w:pPr>
            <w:r/>
            <w:r>
              <w:rPr>
                <w:rFonts w:ascii="Calibri" w:hAnsi="Calibri"/>
                <w:b/>
                <w:i w:val="0"/>
                <w:color w:val="1B3A4B"/>
                <w:sz w:val="18"/>
              </w:rPr>
              <w:t>AAMI SW96</w:t>
            </w:r>
          </w:p>
        </w:tc>
        <w:tc>
          <w:tcPr>
            <w:tcW w:type="dxa" w:w="7632"/>
          </w:tcPr>
          <w:p>
            <w:pPr>
              <w:spacing w:after="40" w:before="40"/>
            </w:pPr>
            <w:r/>
            <w:r>
              <w:rPr>
                <w:rFonts w:ascii="Calibri" w:hAnsi="Calibri"/>
                <w:b w:val="0"/>
                <w:i w:val="0"/>
                <w:color w:val="22333B"/>
                <w:sz w:val="18"/>
              </w:rPr>
              <w:t>Standard for security risk management by medical device manufacturers; the security counterpart to ISO 14971's safety process.</w:t>
            </w:r>
          </w:p>
        </w:tc>
      </w:tr>
      <w:tr>
        <w:trPr>
          <w:cantSplit/>
        </w:trPr>
        <w:tc>
          <w:tcPr>
            <w:tcW w:type="dxa" w:w="2160"/>
          </w:tcPr>
          <w:p>
            <w:pPr>
              <w:spacing w:after="40" w:before="40"/>
            </w:pPr>
            <w:r/>
            <w:r>
              <w:rPr>
                <w:rFonts w:ascii="Calibri" w:hAnsi="Calibri"/>
                <w:b/>
                <w:i w:val="0"/>
                <w:color w:val="1B3A4B"/>
                <w:sz w:val="18"/>
              </w:rPr>
              <w:t>Basic / Enhanced documentation level</w:t>
            </w:r>
          </w:p>
        </w:tc>
        <w:tc>
          <w:tcPr>
            <w:tcW w:type="dxa" w:w="7632"/>
          </w:tcPr>
          <w:p>
            <w:pPr>
              <w:spacing w:after="40" w:before="40"/>
            </w:pPr>
            <w:r/>
            <w:r>
              <w:rPr>
                <w:rFonts w:ascii="Calibri" w:hAnsi="Calibri"/>
                <w:b w:val="0"/>
                <w:i w:val="0"/>
                <w:color w:val="22333B"/>
                <w:sz w:val="18"/>
              </w:rPr>
              <w:t>FDA's two-tier framework for how much software documentation a premarket submission requires. Replaced Level of Concern in 2023.</w:t>
            </w:r>
          </w:p>
        </w:tc>
      </w:tr>
      <w:tr>
        <w:trPr>
          <w:cantSplit/>
        </w:trPr>
        <w:tc>
          <w:tcPr>
            <w:tcW w:type="dxa" w:w="2160"/>
          </w:tcPr>
          <w:p>
            <w:pPr>
              <w:spacing w:after="40" w:before="40"/>
            </w:pPr>
            <w:r/>
            <w:r>
              <w:rPr>
                <w:rFonts w:ascii="Calibri" w:hAnsi="Calibri"/>
                <w:b/>
                <w:i w:val="0"/>
                <w:color w:val="1B3A4B"/>
                <w:sz w:val="18"/>
              </w:rPr>
              <w:t>CDS</w:t>
            </w:r>
          </w:p>
        </w:tc>
        <w:tc>
          <w:tcPr>
            <w:tcW w:type="dxa" w:w="7632"/>
          </w:tcPr>
          <w:p>
            <w:pPr>
              <w:spacing w:after="40" w:before="40"/>
            </w:pPr>
            <w:r/>
            <w:r>
              <w:rPr>
                <w:rFonts w:ascii="Calibri" w:hAnsi="Calibri"/>
                <w:b w:val="0"/>
                <w:i w:val="0"/>
                <w:color w:val="22333B"/>
                <w:sz w:val="18"/>
              </w:rPr>
              <w:t>Clinical decision support. Certain CDS software is excluded from the device definition by the 21st Century Cures Act, on narrow conditions including that the clinician can independently review the basis for the recommendation.</w:t>
            </w:r>
          </w:p>
        </w:tc>
      </w:tr>
      <w:tr>
        <w:trPr>
          <w:cantSplit/>
        </w:trPr>
        <w:tc>
          <w:tcPr>
            <w:tcW w:type="dxa" w:w="2160"/>
          </w:tcPr>
          <w:p>
            <w:pPr>
              <w:spacing w:after="40" w:before="40"/>
            </w:pPr>
            <w:r/>
            <w:r>
              <w:rPr>
                <w:rFonts w:ascii="Calibri" w:hAnsi="Calibri"/>
                <w:b/>
                <w:i w:val="0"/>
                <w:color w:val="1B3A4B"/>
                <w:sz w:val="18"/>
              </w:rPr>
              <w:t>Controlled / uncontrolled risk</w:t>
            </w:r>
          </w:p>
        </w:tc>
        <w:tc>
          <w:tcPr>
            <w:tcW w:type="dxa" w:w="7632"/>
          </w:tcPr>
          <w:p>
            <w:pPr>
              <w:spacing w:after="40" w:before="40"/>
            </w:pPr>
            <w:r/>
            <w:r>
              <w:rPr>
                <w:rFonts w:ascii="Calibri" w:hAnsi="Calibri"/>
                <w:b w:val="0"/>
                <w:i w:val="0"/>
                <w:color w:val="22333B"/>
                <w:sz w:val="18"/>
              </w:rPr>
              <w:t>FDA postmarket cybersecurity vocabulary. Controlled: residual risk to health is acceptable. Uncontrolled: it is not, and remediation is expected.</w:t>
            </w:r>
          </w:p>
        </w:tc>
      </w:tr>
      <w:tr>
        <w:trPr>
          <w:cantSplit/>
        </w:trPr>
        <w:tc>
          <w:tcPr>
            <w:tcW w:type="dxa" w:w="2160"/>
          </w:tcPr>
          <w:p>
            <w:pPr>
              <w:spacing w:after="40" w:before="40"/>
            </w:pPr>
            <w:r/>
            <w:r>
              <w:rPr>
                <w:rFonts w:ascii="Calibri" w:hAnsi="Calibri"/>
                <w:b/>
                <w:i w:val="0"/>
                <w:color w:val="1B3A4B"/>
                <w:sz w:val="18"/>
              </w:rPr>
              <w:t>CVD</w:t>
            </w:r>
          </w:p>
        </w:tc>
        <w:tc>
          <w:tcPr>
            <w:tcW w:type="dxa" w:w="7632"/>
          </w:tcPr>
          <w:p>
            <w:pPr>
              <w:spacing w:after="40" w:before="40"/>
            </w:pPr>
            <w:r/>
            <w:r>
              <w:rPr>
                <w:rFonts w:ascii="Calibri" w:hAnsi="Calibri"/>
                <w:b w:val="0"/>
                <w:i w:val="0"/>
                <w:color w:val="22333B"/>
                <w:sz w:val="18"/>
              </w:rPr>
              <w:t>Coordinated vulnerability disclosure — the process by which outside researchers report vulnerabilities and manufacturers respond. ISO/IEC 29147 and 30111 refer.</w:t>
            </w:r>
          </w:p>
        </w:tc>
      </w:tr>
      <w:tr>
        <w:trPr>
          <w:cantSplit/>
        </w:trPr>
        <w:tc>
          <w:tcPr>
            <w:tcW w:type="dxa" w:w="2160"/>
          </w:tcPr>
          <w:p>
            <w:pPr>
              <w:spacing w:after="40" w:before="40"/>
            </w:pPr>
            <w:r/>
            <w:r>
              <w:rPr>
                <w:rFonts w:ascii="Calibri" w:hAnsi="Calibri"/>
                <w:b/>
                <w:i w:val="0"/>
                <w:color w:val="1B3A4B"/>
                <w:sz w:val="18"/>
              </w:rPr>
              <w:t>CVSS</w:t>
            </w:r>
          </w:p>
        </w:tc>
        <w:tc>
          <w:tcPr>
            <w:tcW w:type="dxa" w:w="7632"/>
          </w:tcPr>
          <w:p>
            <w:pPr>
              <w:spacing w:after="40" w:before="40"/>
            </w:pPr>
            <w:r/>
            <w:r>
              <w:rPr>
                <w:rFonts w:ascii="Calibri" w:hAnsi="Calibri"/>
                <w:b w:val="0"/>
                <w:i w:val="0"/>
                <w:color w:val="22333B"/>
                <w:sz w:val="18"/>
              </w:rPr>
              <w:t>Common Vulnerability Scoring System. A context-free severity score; an input to triage, not a statement of clinical risk.</w:t>
            </w:r>
          </w:p>
        </w:tc>
      </w:tr>
      <w:tr>
        <w:trPr>
          <w:cantSplit/>
        </w:trPr>
        <w:tc>
          <w:tcPr>
            <w:tcW w:type="dxa" w:w="2160"/>
          </w:tcPr>
          <w:p>
            <w:pPr>
              <w:spacing w:after="40" w:before="40"/>
            </w:pPr>
            <w:r/>
            <w:r>
              <w:rPr>
                <w:rFonts w:ascii="Calibri" w:hAnsi="Calibri"/>
                <w:b/>
                <w:i w:val="0"/>
                <w:color w:val="1B3A4B"/>
                <w:sz w:val="18"/>
              </w:rPr>
              <w:t>Cyber device</w:t>
            </w:r>
          </w:p>
        </w:tc>
        <w:tc>
          <w:tcPr>
            <w:tcW w:type="dxa" w:w="7632"/>
          </w:tcPr>
          <w:p>
            <w:pPr>
              <w:spacing w:after="40" w:before="40"/>
            </w:pPr>
            <w:r/>
            <w:r>
              <w:rPr>
                <w:rFonts w:ascii="Calibri" w:hAnsi="Calibri"/>
                <w:b w:val="0"/>
                <w:i w:val="0"/>
                <w:color w:val="22333B"/>
                <w:sz w:val="18"/>
              </w:rPr>
              <w:t>Under 524B, broadly: a device that includes software validated, installed or authorised by the sponsor; has the ability to connect to the internet; and has technological characteristics that could be vulnerable to cybersecurity threats.</w:t>
            </w:r>
          </w:p>
        </w:tc>
      </w:tr>
      <w:tr>
        <w:trPr>
          <w:cantSplit/>
        </w:trPr>
        <w:tc>
          <w:tcPr>
            <w:tcW w:type="dxa" w:w="2160"/>
          </w:tcPr>
          <w:p>
            <w:pPr>
              <w:spacing w:after="40" w:before="40"/>
            </w:pPr>
            <w:r/>
            <w:r>
              <w:rPr>
                <w:rFonts w:ascii="Calibri" w:hAnsi="Calibri"/>
                <w:b/>
                <w:i w:val="0"/>
                <w:color w:val="1B3A4B"/>
                <w:sz w:val="18"/>
              </w:rPr>
              <w:t>Design controls</w:t>
            </w:r>
          </w:p>
        </w:tc>
        <w:tc>
          <w:tcPr>
            <w:tcW w:type="dxa" w:w="7632"/>
          </w:tcPr>
          <w:p>
            <w:pPr>
              <w:spacing w:after="40" w:before="40"/>
            </w:pPr>
            <w:r/>
            <w:r>
              <w:rPr>
                <w:rFonts w:ascii="Calibri" w:hAnsi="Calibri"/>
                <w:b w:val="0"/>
                <w:i w:val="0"/>
                <w:color w:val="22333B"/>
                <w:sz w:val="18"/>
              </w:rPr>
              <w:t>The systematic design process required by the quality system regulation — planning, inputs, outputs, review, verification, validation, transfer, changes, and the design history file.</w:t>
            </w:r>
          </w:p>
        </w:tc>
      </w:tr>
      <w:tr>
        <w:trPr>
          <w:cantSplit/>
        </w:trPr>
        <w:tc>
          <w:tcPr>
            <w:tcW w:type="dxa" w:w="2160"/>
          </w:tcPr>
          <w:p>
            <w:pPr>
              <w:spacing w:after="40" w:before="40"/>
            </w:pPr>
            <w:r/>
            <w:r>
              <w:rPr>
                <w:rFonts w:ascii="Calibri" w:hAnsi="Calibri"/>
                <w:b/>
                <w:i w:val="0"/>
                <w:color w:val="1B3A4B"/>
                <w:sz w:val="18"/>
              </w:rPr>
              <w:t>DHF</w:t>
            </w:r>
          </w:p>
        </w:tc>
        <w:tc>
          <w:tcPr>
            <w:tcW w:type="dxa" w:w="7632"/>
          </w:tcPr>
          <w:p>
            <w:pPr>
              <w:spacing w:after="40" w:before="40"/>
            </w:pPr>
            <w:r/>
            <w:r>
              <w:rPr>
                <w:rFonts w:ascii="Calibri" w:hAnsi="Calibri"/>
                <w:b w:val="0"/>
                <w:i w:val="0"/>
                <w:color w:val="22333B"/>
                <w:sz w:val="18"/>
              </w:rPr>
              <w:t>Design history file. The compilation of records describing the design history of a finished device.</w:t>
            </w:r>
          </w:p>
        </w:tc>
      </w:tr>
      <w:tr>
        <w:trPr>
          <w:cantSplit/>
        </w:trPr>
        <w:tc>
          <w:tcPr>
            <w:tcW w:type="dxa" w:w="2160"/>
          </w:tcPr>
          <w:p>
            <w:pPr>
              <w:spacing w:after="40" w:before="40"/>
            </w:pPr>
            <w:r/>
            <w:r>
              <w:rPr>
                <w:rFonts w:ascii="Calibri" w:hAnsi="Calibri"/>
                <w:b/>
                <w:i w:val="0"/>
                <w:color w:val="1B3A4B"/>
                <w:sz w:val="18"/>
              </w:rPr>
              <w:t>Exploitability</w:t>
            </w:r>
          </w:p>
        </w:tc>
        <w:tc>
          <w:tcPr>
            <w:tcW w:type="dxa" w:w="7632"/>
          </w:tcPr>
          <w:p>
            <w:pPr>
              <w:spacing w:after="40" w:before="40"/>
            </w:pPr>
            <w:r/>
            <w:r>
              <w:rPr>
                <w:rFonts w:ascii="Calibri" w:hAnsi="Calibri"/>
                <w:b w:val="0"/>
                <w:i w:val="0"/>
                <w:color w:val="22333B"/>
                <w:sz w:val="18"/>
              </w:rPr>
              <w:t>The feasibility of an attack given required access, skill, equipment and window of opportunity. Used in security risk assessment in place of probability.</w:t>
            </w:r>
          </w:p>
        </w:tc>
      </w:tr>
      <w:tr>
        <w:trPr>
          <w:cantSplit/>
        </w:trPr>
        <w:tc>
          <w:tcPr>
            <w:tcW w:type="dxa" w:w="2160"/>
          </w:tcPr>
          <w:p>
            <w:pPr>
              <w:spacing w:after="40" w:before="40"/>
            </w:pPr>
            <w:r/>
            <w:r>
              <w:rPr>
                <w:rFonts w:ascii="Calibri" w:hAnsi="Calibri"/>
                <w:b/>
                <w:i w:val="0"/>
                <w:color w:val="1B3A4B"/>
                <w:sz w:val="18"/>
              </w:rPr>
              <w:t>GPSV</w:t>
            </w:r>
          </w:p>
        </w:tc>
        <w:tc>
          <w:tcPr>
            <w:tcW w:type="dxa" w:w="7632"/>
          </w:tcPr>
          <w:p>
            <w:pPr>
              <w:spacing w:after="40" w:before="40"/>
            </w:pPr>
            <w:r/>
            <w:r>
              <w:rPr>
                <w:rFonts w:ascii="Calibri" w:hAnsi="Calibri"/>
                <w:b w:val="0"/>
                <w:i w:val="0"/>
                <w:color w:val="22333B"/>
                <w:sz w:val="18"/>
              </w:rPr>
              <w:t>FDA's General Principles of Software Validation (2002). Still the foundational FDA statement of what software validation means.</w:t>
            </w:r>
          </w:p>
        </w:tc>
      </w:tr>
      <w:tr>
        <w:trPr>
          <w:cantSplit/>
        </w:trPr>
        <w:tc>
          <w:tcPr>
            <w:tcW w:type="dxa" w:w="2160"/>
          </w:tcPr>
          <w:p>
            <w:pPr>
              <w:spacing w:after="40" w:before="40"/>
            </w:pPr>
            <w:r/>
            <w:r>
              <w:rPr>
                <w:rFonts w:ascii="Calibri" w:hAnsi="Calibri"/>
                <w:b/>
                <w:i w:val="0"/>
                <w:color w:val="1B3A4B"/>
                <w:sz w:val="18"/>
              </w:rPr>
              <w:t>IEC 62304</w:t>
            </w:r>
          </w:p>
        </w:tc>
        <w:tc>
          <w:tcPr>
            <w:tcW w:type="dxa" w:w="7632"/>
          </w:tcPr>
          <w:p>
            <w:pPr>
              <w:spacing w:after="40" w:before="40"/>
            </w:pPr>
            <w:r/>
            <w:r>
              <w:rPr>
                <w:rFonts w:ascii="Calibri" w:hAnsi="Calibri"/>
                <w:b w:val="0"/>
                <w:i w:val="0"/>
                <w:color w:val="22333B"/>
                <w:sz w:val="18"/>
              </w:rPr>
              <w:t>The medical device software lifecycle standard. Defines processes and outputs; method-agnostic. Safety classes A, B and C.</w:t>
            </w:r>
          </w:p>
        </w:tc>
      </w:tr>
      <w:tr>
        <w:trPr>
          <w:cantSplit/>
        </w:trPr>
        <w:tc>
          <w:tcPr>
            <w:tcW w:type="dxa" w:w="2160"/>
          </w:tcPr>
          <w:p>
            <w:pPr>
              <w:spacing w:after="40" w:before="40"/>
            </w:pPr>
            <w:r/>
            <w:r>
              <w:rPr>
                <w:rFonts w:ascii="Calibri" w:hAnsi="Calibri"/>
                <w:b/>
                <w:i w:val="0"/>
                <w:color w:val="1B3A4B"/>
                <w:sz w:val="18"/>
              </w:rPr>
              <w:t>IEC 81001-5-1</w:t>
            </w:r>
          </w:p>
        </w:tc>
        <w:tc>
          <w:tcPr>
            <w:tcW w:type="dxa" w:w="7632"/>
          </w:tcPr>
          <w:p>
            <w:pPr>
              <w:spacing w:after="40" w:before="40"/>
            </w:pPr>
            <w:r/>
            <w:r>
              <w:rPr>
                <w:rFonts w:ascii="Calibri" w:hAnsi="Calibri"/>
                <w:b w:val="0"/>
                <w:i w:val="0"/>
                <w:color w:val="22333B"/>
                <w:sz w:val="18"/>
              </w:rPr>
              <w:t>Security activities in the health software product lifecycle. Operationalises security within a 62304-shaped lifecycle.</w:t>
            </w:r>
          </w:p>
        </w:tc>
      </w:tr>
      <w:tr>
        <w:trPr>
          <w:cantSplit/>
        </w:trPr>
        <w:tc>
          <w:tcPr>
            <w:tcW w:type="dxa" w:w="2160"/>
          </w:tcPr>
          <w:p>
            <w:pPr>
              <w:spacing w:after="40" w:before="40"/>
            </w:pPr>
            <w:r/>
            <w:r>
              <w:rPr>
                <w:rFonts w:ascii="Calibri" w:hAnsi="Calibri"/>
                <w:b/>
                <w:i w:val="0"/>
                <w:color w:val="1B3A4B"/>
                <w:sz w:val="18"/>
              </w:rPr>
              <w:t>IMDRF</w:t>
            </w:r>
          </w:p>
        </w:tc>
        <w:tc>
          <w:tcPr>
            <w:tcW w:type="dxa" w:w="7632"/>
          </w:tcPr>
          <w:p>
            <w:pPr>
              <w:spacing w:after="40" w:before="40"/>
            </w:pPr>
            <w:r/>
            <w:r>
              <w:rPr>
                <w:rFonts w:ascii="Calibri" w:hAnsi="Calibri"/>
                <w:b w:val="0"/>
                <w:i w:val="0"/>
                <w:color w:val="22333B"/>
                <w:sz w:val="18"/>
              </w:rPr>
              <w:t>International Medical Device Regulators Forum. Publisher of the SaMD framework documents (N10, N12, N23, N41) and guidance on cybersecurity and legacy devices.</w:t>
            </w:r>
          </w:p>
        </w:tc>
      </w:tr>
      <w:tr>
        <w:trPr>
          <w:cantSplit/>
        </w:trPr>
        <w:tc>
          <w:tcPr>
            <w:tcW w:type="dxa" w:w="2160"/>
          </w:tcPr>
          <w:p>
            <w:pPr>
              <w:spacing w:after="40" w:before="40"/>
            </w:pPr>
            <w:r/>
            <w:r>
              <w:rPr>
                <w:rFonts w:ascii="Calibri" w:hAnsi="Calibri"/>
                <w:b/>
                <w:i w:val="0"/>
                <w:color w:val="1B3A4B"/>
                <w:sz w:val="18"/>
              </w:rPr>
              <w:t>ISAO</w:t>
            </w:r>
          </w:p>
        </w:tc>
        <w:tc>
          <w:tcPr>
            <w:tcW w:type="dxa" w:w="7632"/>
          </w:tcPr>
          <w:p>
            <w:pPr>
              <w:spacing w:after="40" w:before="40"/>
            </w:pPr>
            <w:r/>
            <w:r>
              <w:rPr>
                <w:rFonts w:ascii="Calibri" w:hAnsi="Calibri"/>
                <w:b w:val="0"/>
                <w:i w:val="0"/>
                <w:color w:val="22333B"/>
                <w:sz w:val="18"/>
              </w:rPr>
              <w:t>Information Sharing and Analysis Organization. Participation is explicitly contemplated in FDA's postmarket cybersecurity guidance.</w:t>
            </w:r>
          </w:p>
        </w:tc>
      </w:tr>
      <w:tr>
        <w:trPr>
          <w:cantSplit/>
        </w:trPr>
        <w:tc>
          <w:tcPr>
            <w:tcW w:type="dxa" w:w="2160"/>
          </w:tcPr>
          <w:p>
            <w:pPr>
              <w:spacing w:after="40" w:before="40"/>
            </w:pPr>
            <w:r/>
            <w:r>
              <w:rPr>
                <w:rFonts w:ascii="Calibri" w:hAnsi="Calibri"/>
                <w:b/>
                <w:i w:val="0"/>
                <w:color w:val="1B3A4B"/>
                <w:sz w:val="18"/>
              </w:rPr>
              <w:t>ISO 13485</w:t>
            </w:r>
          </w:p>
        </w:tc>
        <w:tc>
          <w:tcPr>
            <w:tcW w:type="dxa" w:w="7632"/>
          </w:tcPr>
          <w:p>
            <w:pPr>
              <w:spacing w:after="40" w:before="40"/>
            </w:pPr>
            <w:r/>
            <w:r>
              <w:rPr>
                <w:rFonts w:ascii="Calibri" w:hAnsi="Calibri"/>
                <w:b w:val="0"/>
                <w:i w:val="0"/>
                <w:color w:val="22333B"/>
                <w:sz w:val="18"/>
              </w:rPr>
              <w:t>Quality management systems for medical devices. Incorporated by reference into 21 CFR 820 under the QMSR.</w:t>
            </w:r>
          </w:p>
        </w:tc>
      </w:tr>
      <w:tr>
        <w:trPr>
          <w:cantSplit/>
        </w:trPr>
        <w:tc>
          <w:tcPr>
            <w:tcW w:type="dxa" w:w="2160"/>
          </w:tcPr>
          <w:p>
            <w:pPr>
              <w:spacing w:after="40" w:before="40"/>
            </w:pPr>
            <w:r/>
            <w:r>
              <w:rPr>
                <w:rFonts w:ascii="Calibri" w:hAnsi="Calibri"/>
                <w:b/>
                <w:i w:val="0"/>
                <w:color w:val="1B3A4B"/>
                <w:sz w:val="18"/>
              </w:rPr>
              <w:t>ISO 14971</w:t>
            </w:r>
          </w:p>
        </w:tc>
        <w:tc>
          <w:tcPr>
            <w:tcW w:type="dxa" w:w="7632"/>
          </w:tcPr>
          <w:p>
            <w:pPr>
              <w:spacing w:after="40" w:before="40"/>
            </w:pPr>
            <w:r/>
            <w:r>
              <w:rPr>
                <w:rFonts w:ascii="Calibri" w:hAnsi="Calibri"/>
                <w:b w:val="0"/>
                <w:i w:val="0"/>
                <w:color w:val="22333B"/>
                <w:sz w:val="18"/>
              </w:rPr>
              <w:t>Application of risk management to medical devices. The safety risk process; ISO/TR 24971 provides guidance on applying it.</w:t>
            </w:r>
          </w:p>
        </w:tc>
      </w:tr>
      <w:tr>
        <w:trPr>
          <w:cantSplit/>
        </w:trPr>
        <w:tc>
          <w:tcPr>
            <w:tcW w:type="dxa" w:w="2160"/>
          </w:tcPr>
          <w:p>
            <w:pPr>
              <w:spacing w:after="40" w:before="40"/>
            </w:pPr>
            <w:r/>
            <w:r>
              <w:rPr>
                <w:rFonts w:ascii="Calibri" w:hAnsi="Calibri"/>
                <w:b/>
                <w:i w:val="0"/>
                <w:color w:val="1B3A4B"/>
                <w:sz w:val="18"/>
              </w:rPr>
              <w:t>Level of Concern</w:t>
            </w:r>
          </w:p>
        </w:tc>
        <w:tc>
          <w:tcPr>
            <w:tcW w:type="dxa" w:w="7632"/>
          </w:tcPr>
          <w:p>
            <w:pPr>
              <w:spacing w:after="40" w:before="40"/>
            </w:pPr>
            <w:r/>
            <w:r>
              <w:rPr>
                <w:rFonts w:ascii="Calibri" w:hAnsi="Calibri"/>
                <w:b w:val="0"/>
                <w:i w:val="0"/>
                <w:color w:val="22333B"/>
                <w:sz w:val="18"/>
              </w:rPr>
              <w:t>Retired FDA framework (Minor / Moderate / Major) superseded in 2023 by Basic and Enhanced documentation levels. If your templates still use it, they are out of date.</w:t>
            </w:r>
          </w:p>
        </w:tc>
      </w:tr>
      <w:tr>
        <w:trPr>
          <w:cantSplit/>
        </w:trPr>
        <w:tc>
          <w:tcPr>
            <w:tcW w:type="dxa" w:w="2160"/>
          </w:tcPr>
          <w:p>
            <w:pPr>
              <w:spacing w:after="40" w:before="40"/>
            </w:pPr>
            <w:r/>
            <w:r>
              <w:rPr>
                <w:rFonts w:ascii="Calibri" w:hAnsi="Calibri"/>
                <w:b/>
                <w:i w:val="0"/>
                <w:color w:val="1B3A4B"/>
                <w:sz w:val="18"/>
              </w:rPr>
              <w:t>MDS2</w:t>
            </w:r>
          </w:p>
        </w:tc>
        <w:tc>
          <w:tcPr>
            <w:tcW w:type="dxa" w:w="7632"/>
          </w:tcPr>
          <w:p>
            <w:pPr>
              <w:spacing w:after="40" w:before="40"/>
            </w:pPr>
            <w:r/>
            <w:r>
              <w:rPr>
                <w:rFonts w:ascii="Calibri" w:hAnsi="Calibri"/>
                <w:b w:val="0"/>
                <w:i w:val="0"/>
                <w:color w:val="22333B"/>
                <w:sz w:val="18"/>
              </w:rPr>
              <w:t>Manufacturer Disclosure Statement for Medical Device Security. The established vehicle for disclosing security characteristics to purchasers.</w:t>
            </w:r>
          </w:p>
        </w:tc>
      </w:tr>
      <w:tr>
        <w:trPr>
          <w:cantSplit/>
        </w:trPr>
        <w:tc>
          <w:tcPr>
            <w:tcW w:type="dxa" w:w="2160"/>
          </w:tcPr>
          <w:p>
            <w:pPr>
              <w:spacing w:after="40" w:before="40"/>
            </w:pPr>
            <w:r/>
            <w:r>
              <w:rPr>
                <w:rFonts w:ascii="Calibri" w:hAnsi="Calibri"/>
                <w:b/>
                <w:i w:val="0"/>
                <w:color w:val="1B3A4B"/>
                <w:sz w:val="18"/>
              </w:rPr>
              <w:t>PCCP</w:t>
            </w:r>
          </w:p>
        </w:tc>
        <w:tc>
          <w:tcPr>
            <w:tcW w:type="dxa" w:w="7632"/>
          </w:tcPr>
          <w:p>
            <w:pPr>
              <w:spacing w:after="40" w:before="40"/>
            </w:pPr>
            <w:r/>
            <w:r>
              <w:rPr>
                <w:rFonts w:ascii="Calibri" w:hAnsi="Calibri"/>
                <w:b w:val="0"/>
                <w:i w:val="0"/>
                <w:color w:val="22333B"/>
                <w:sz w:val="18"/>
              </w:rPr>
              <w:t>Predetermined Change Control Plan. Pre-authorisation of specified future changes, their validation protocol and their impact assessment.</w:t>
            </w:r>
          </w:p>
        </w:tc>
      </w:tr>
      <w:tr>
        <w:trPr>
          <w:cantSplit/>
        </w:trPr>
        <w:tc>
          <w:tcPr>
            <w:tcW w:type="dxa" w:w="2160"/>
          </w:tcPr>
          <w:p>
            <w:pPr>
              <w:spacing w:after="40" w:before="40"/>
            </w:pPr>
            <w:r/>
            <w:r>
              <w:rPr>
                <w:rFonts w:ascii="Calibri" w:hAnsi="Calibri"/>
                <w:b/>
                <w:i w:val="0"/>
                <w:color w:val="1B3A4B"/>
                <w:sz w:val="18"/>
              </w:rPr>
              <w:t>QMSR</w:t>
            </w:r>
          </w:p>
        </w:tc>
        <w:tc>
          <w:tcPr>
            <w:tcW w:type="dxa" w:w="7632"/>
          </w:tcPr>
          <w:p>
            <w:pPr>
              <w:spacing w:after="40" w:before="40"/>
            </w:pPr>
            <w:r/>
            <w:r>
              <w:rPr>
                <w:rFonts w:ascii="Calibri" w:hAnsi="Calibri"/>
                <w:b w:val="0"/>
                <w:i w:val="0"/>
                <w:color w:val="22333B"/>
                <w:sz w:val="18"/>
              </w:rPr>
              <w:t>FDA's Quality Management System Regulation. Amends 21 CFR 820 to incorporate ISO 13485:2016; in force from February 2026.</w:t>
            </w:r>
          </w:p>
        </w:tc>
      </w:tr>
      <w:tr>
        <w:trPr>
          <w:cantSplit/>
        </w:trPr>
        <w:tc>
          <w:tcPr>
            <w:tcW w:type="dxa" w:w="2160"/>
          </w:tcPr>
          <w:p>
            <w:pPr>
              <w:spacing w:after="40" w:before="40"/>
            </w:pPr>
            <w:r/>
            <w:r>
              <w:rPr>
                <w:rFonts w:ascii="Calibri" w:hAnsi="Calibri"/>
                <w:b/>
                <w:i w:val="0"/>
                <w:color w:val="1B3A4B"/>
                <w:sz w:val="18"/>
              </w:rPr>
              <w:t>SaMD</w:t>
            </w:r>
          </w:p>
        </w:tc>
        <w:tc>
          <w:tcPr>
            <w:tcW w:type="dxa" w:w="7632"/>
          </w:tcPr>
          <w:p>
            <w:pPr>
              <w:spacing w:after="40" w:before="40"/>
            </w:pPr>
            <w:r/>
            <w:r>
              <w:rPr>
                <w:rFonts w:ascii="Calibri" w:hAnsi="Calibri"/>
                <w:b w:val="0"/>
                <w:i w:val="0"/>
                <w:color w:val="22333B"/>
                <w:sz w:val="18"/>
              </w:rPr>
              <w:t>Software as a Medical Device — software intended for a medical purpose that performs that purpose without being part of a hardware medical device.</w:t>
            </w:r>
          </w:p>
        </w:tc>
      </w:tr>
      <w:tr>
        <w:trPr>
          <w:cantSplit/>
        </w:trPr>
        <w:tc>
          <w:tcPr>
            <w:tcW w:type="dxa" w:w="2160"/>
          </w:tcPr>
          <w:p>
            <w:pPr>
              <w:spacing w:after="40" w:before="40"/>
            </w:pPr>
            <w:r/>
            <w:r>
              <w:rPr>
                <w:rFonts w:ascii="Calibri" w:hAnsi="Calibri"/>
                <w:b/>
                <w:i w:val="0"/>
                <w:color w:val="1B3A4B"/>
                <w:sz w:val="18"/>
              </w:rPr>
              <w:t>SBOM</w:t>
            </w:r>
          </w:p>
        </w:tc>
        <w:tc>
          <w:tcPr>
            <w:tcW w:type="dxa" w:w="7632"/>
          </w:tcPr>
          <w:p>
            <w:pPr>
              <w:spacing w:after="40" w:before="40"/>
            </w:pPr>
            <w:r/>
            <w:r>
              <w:rPr>
                <w:rFonts w:ascii="Calibri" w:hAnsi="Calibri"/>
                <w:b w:val="0"/>
                <w:i w:val="0"/>
                <w:color w:val="22333B"/>
                <w:sz w:val="18"/>
              </w:rPr>
              <w:t>Software bill of materials. A machine-readable inventory of software components and their relationships. Required under 524B.</w:t>
            </w:r>
          </w:p>
        </w:tc>
      </w:tr>
      <w:tr>
        <w:trPr>
          <w:cantSplit/>
        </w:trPr>
        <w:tc>
          <w:tcPr>
            <w:tcW w:type="dxa" w:w="2160"/>
          </w:tcPr>
          <w:p>
            <w:pPr>
              <w:spacing w:after="40" w:before="40"/>
            </w:pPr>
            <w:r/>
            <w:r>
              <w:rPr>
                <w:rFonts w:ascii="Calibri" w:hAnsi="Calibri"/>
                <w:b/>
                <w:i w:val="0"/>
                <w:color w:val="1B3A4B"/>
                <w:sz w:val="18"/>
              </w:rPr>
              <w:t>SiMD</w:t>
            </w:r>
          </w:p>
        </w:tc>
        <w:tc>
          <w:tcPr>
            <w:tcW w:type="dxa" w:w="7632"/>
          </w:tcPr>
          <w:p>
            <w:pPr>
              <w:spacing w:after="40" w:before="40"/>
            </w:pPr>
            <w:r/>
            <w:r>
              <w:rPr>
                <w:rFonts w:ascii="Calibri" w:hAnsi="Calibri"/>
                <w:b w:val="0"/>
                <w:i w:val="0"/>
                <w:color w:val="22333B"/>
                <w:sz w:val="18"/>
              </w:rPr>
              <w:t>Software in a medical device — software embedded in, or driving, a hardware medical device.</w:t>
            </w:r>
          </w:p>
        </w:tc>
      </w:tr>
      <w:tr>
        <w:trPr>
          <w:cantSplit/>
        </w:trPr>
        <w:tc>
          <w:tcPr>
            <w:tcW w:type="dxa" w:w="2160"/>
          </w:tcPr>
          <w:p>
            <w:pPr>
              <w:spacing w:after="40" w:before="40"/>
            </w:pPr>
            <w:r/>
            <w:r>
              <w:rPr>
                <w:rFonts w:ascii="Calibri" w:hAnsi="Calibri"/>
                <w:b/>
                <w:i w:val="0"/>
                <w:color w:val="1B3A4B"/>
                <w:sz w:val="18"/>
              </w:rPr>
              <w:t>SOUP</w:t>
            </w:r>
          </w:p>
        </w:tc>
        <w:tc>
          <w:tcPr>
            <w:tcW w:type="dxa" w:w="7632"/>
          </w:tcPr>
          <w:p>
            <w:pPr>
              <w:spacing w:after="40" w:before="40"/>
            </w:pPr>
            <w:r/>
            <w:r>
              <w:rPr>
                <w:rFonts w:ascii="Calibri" w:hAnsi="Calibri"/>
                <w:b w:val="0"/>
                <w:i w:val="0"/>
                <w:color w:val="22333B"/>
                <w:sz w:val="18"/>
              </w:rPr>
              <w:t>Software of unknown provenance. Software you did not develop and cannot fully characterise, but remain responsible for.</w:t>
            </w:r>
          </w:p>
        </w:tc>
      </w:tr>
      <w:tr>
        <w:trPr>
          <w:cantSplit/>
        </w:trPr>
        <w:tc>
          <w:tcPr>
            <w:tcW w:type="dxa" w:w="2160"/>
          </w:tcPr>
          <w:p>
            <w:pPr>
              <w:spacing w:after="40" w:before="40"/>
            </w:pPr>
            <w:r/>
            <w:r>
              <w:rPr>
                <w:rFonts w:ascii="Calibri" w:hAnsi="Calibri"/>
                <w:b/>
                <w:i w:val="0"/>
                <w:color w:val="1B3A4B"/>
                <w:sz w:val="18"/>
              </w:rPr>
              <w:t>SPDF</w:t>
            </w:r>
          </w:p>
        </w:tc>
        <w:tc>
          <w:tcPr>
            <w:tcW w:type="dxa" w:w="7632"/>
          </w:tcPr>
          <w:p>
            <w:pPr>
              <w:spacing w:after="40" w:before="40"/>
            </w:pPr>
            <w:r/>
            <w:r>
              <w:rPr>
                <w:rFonts w:ascii="Calibri" w:hAnsi="Calibri"/>
                <w:b w:val="0"/>
                <w:i w:val="0"/>
                <w:color w:val="22333B"/>
                <w:sz w:val="18"/>
              </w:rPr>
              <w:t>Secure Product Development Framework. FDA's organising concept: security risk management, security architecture, and cybersecurity testing.</w:t>
            </w:r>
          </w:p>
        </w:tc>
      </w:tr>
      <w:tr>
        <w:trPr>
          <w:cantSplit/>
        </w:trPr>
        <w:tc>
          <w:tcPr>
            <w:tcW w:type="dxa" w:w="2160"/>
          </w:tcPr>
          <w:p>
            <w:pPr>
              <w:spacing w:after="40" w:before="40"/>
            </w:pPr>
            <w:r/>
            <w:r>
              <w:rPr>
                <w:rFonts w:ascii="Calibri" w:hAnsi="Calibri"/>
                <w:b/>
                <w:i w:val="0"/>
                <w:color w:val="1B3A4B"/>
                <w:sz w:val="18"/>
              </w:rPr>
              <w:t>SPDX / CycloneDX</w:t>
            </w:r>
          </w:p>
        </w:tc>
        <w:tc>
          <w:tcPr>
            <w:tcW w:type="dxa" w:w="7632"/>
          </w:tcPr>
          <w:p>
            <w:pPr>
              <w:spacing w:after="40" w:before="40"/>
            </w:pPr>
            <w:r/>
            <w:r>
              <w:rPr>
                <w:rFonts w:ascii="Calibri" w:hAnsi="Calibri"/>
                <w:b w:val="0"/>
                <w:i w:val="0"/>
                <w:color w:val="22333B"/>
                <w:sz w:val="18"/>
              </w:rPr>
              <w:t>The two widely used machine-readable SBOM formats.</w:t>
            </w:r>
          </w:p>
        </w:tc>
      </w:tr>
      <w:tr>
        <w:trPr>
          <w:cantSplit/>
        </w:trPr>
        <w:tc>
          <w:tcPr>
            <w:tcW w:type="dxa" w:w="2160"/>
          </w:tcPr>
          <w:p>
            <w:pPr>
              <w:spacing w:after="40" w:before="40"/>
            </w:pPr>
            <w:r/>
            <w:r>
              <w:rPr>
                <w:rFonts w:ascii="Calibri" w:hAnsi="Calibri"/>
                <w:b/>
                <w:i w:val="0"/>
                <w:color w:val="1B3A4B"/>
                <w:sz w:val="18"/>
              </w:rPr>
              <w:t>STRIDE</w:t>
            </w:r>
          </w:p>
        </w:tc>
        <w:tc>
          <w:tcPr>
            <w:tcW w:type="dxa" w:w="7632"/>
          </w:tcPr>
          <w:p>
            <w:pPr>
              <w:spacing w:after="40" w:before="40"/>
            </w:pPr>
            <w:r/>
            <w:r>
              <w:rPr>
                <w:rFonts w:ascii="Calibri" w:hAnsi="Calibri"/>
                <w:b w:val="0"/>
                <w:i w:val="0"/>
                <w:color w:val="22333B"/>
                <w:sz w:val="18"/>
              </w:rPr>
              <w:t>A threat classification mnemonic: Spoofing, Tampering, Repudiation, Information disclosure, Denial of service, Elevation of privilege.</w:t>
            </w:r>
          </w:p>
        </w:tc>
      </w:tr>
      <w:tr>
        <w:trPr>
          <w:cantSplit/>
        </w:trPr>
        <w:tc>
          <w:tcPr>
            <w:tcW w:type="dxa" w:w="2160"/>
          </w:tcPr>
          <w:p>
            <w:pPr>
              <w:spacing w:after="40" w:before="40"/>
            </w:pPr>
            <w:r/>
            <w:r>
              <w:rPr>
                <w:rFonts w:ascii="Calibri" w:hAnsi="Calibri"/>
                <w:b/>
                <w:i w:val="0"/>
                <w:color w:val="1B3A4B"/>
                <w:sz w:val="18"/>
              </w:rPr>
              <w:t>Trust boundary</w:t>
            </w:r>
          </w:p>
        </w:tc>
        <w:tc>
          <w:tcPr>
            <w:tcW w:type="dxa" w:w="7632"/>
          </w:tcPr>
          <w:p>
            <w:pPr>
              <w:spacing w:after="40" w:before="40"/>
            </w:pPr>
            <w:r/>
            <w:r>
              <w:rPr>
                <w:rFonts w:ascii="Calibri" w:hAnsi="Calibri"/>
                <w:b w:val="0"/>
                <w:i w:val="0"/>
                <w:color w:val="22333B"/>
                <w:sz w:val="18"/>
              </w:rPr>
              <w:t>A point in a system where data or control crosses between components with different levels of trust. Where threat modelling concentrates.</w:t>
            </w:r>
          </w:p>
        </w:tc>
      </w:tr>
      <w:tr>
        <w:trPr>
          <w:cantSplit/>
        </w:trPr>
        <w:tc>
          <w:tcPr>
            <w:tcW w:type="dxa" w:w="2160"/>
          </w:tcPr>
          <w:p>
            <w:pPr>
              <w:spacing w:after="40" w:before="40"/>
            </w:pPr>
            <w:r/>
            <w:r>
              <w:rPr>
                <w:rFonts w:ascii="Calibri" w:hAnsi="Calibri"/>
                <w:b/>
                <w:i w:val="0"/>
                <w:color w:val="1B3A4B"/>
                <w:sz w:val="18"/>
              </w:rPr>
              <w:t>VEX</w:t>
            </w:r>
          </w:p>
        </w:tc>
        <w:tc>
          <w:tcPr>
            <w:tcW w:type="dxa" w:w="7632"/>
          </w:tcPr>
          <w:p>
            <w:pPr>
              <w:spacing w:after="40" w:before="40"/>
            </w:pPr>
            <w:r/>
            <w:r>
              <w:rPr>
                <w:rFonts w:ascii="Calibri" w:hAnsi="Calibri"/>
                <w:b w:val="0"/>
                <w:i w:val="0"/>
                <w:color w:val="22333B"/>
                <w:sz w:val="18"/>
              </w:rPr>
              <w:t>Vulnerability Exploitability eXchange. A machine-readable statement that a component is present but the vulnerability is not exploitable in your product, and why.</w:t>
            </w:r>
          </w:p>
        </w:tc>
      </w:tr>
    </w:tbl>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Standards and guidance — and what each is for</w:t>
      </w:r>
    </w:p>
    <w:p>
      <w:pPr>
        <w:spacing w:before="120" w:after="120"/>
        <w:pBdr>
          <w:bottom w:val="single" w:sz="6" w:space="1" w:color="D7E2E5"/>
        </w:pBdr>
      </w:pPr>
    </w:p>
    <w:p>
      <w:pPr>
        <w:spacing w:after="100"/>
      </w:pPr>
      <w:r>
        <w:rPr>
          <w:rFonts w:ascii="Calibri" w:hAnsi="Calibri"/>
          <w:b w:val="0"/>
          <w:i/>
          <w:color w:val="C77C1E"/>
          <w:sz w:val="20"/>
        </w:rPr>
        <w:t>Dates are stated as at preparation. Confirm current versions before relying on any of these, particularly for a submission.</w:t>
      </w:r>
    </w:p>
    <w:p>
      <w:pPr>
        <w:keepNext/>
        <w:spacing w:after="80" w:before="120"/>
      </w:pPr>
      <w:r>
        <w:rPr>
          <w:rFonts w:ascii="Cambria" w:hAnsi="Cambria"/>
          <w:b/>
          <w:color w:val="1B3A4B"/>
          <w:sz w:val="26"/>
        </w:rPr>
        <w:t>FDA guidance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4464"/>
        <w:gridCol w:w="5328"/>
      </w:tblGrid>
      <w:tr>
        <w:trPr>
          <w:cantSplit/>
        </w:trPr>
        <w:tc>
          <w:tcPr>
            <w:tcW w:type="dxa" w:w="4464"/>
            <w:shd w:val="clear" w:color="auto" w:fill="1B3A4B"/>
          </w:tcPr>
          <w:p>
            <w:pPr>
              <w:spacing w:after="40" w:before="40"/>
            </w:pPr>
            <w:r/>
            <w:r>
              <w:rPr>
                <w:rFonts w:ascii="Calibri" w:hAnsi="Calibri"/>
                <w:b/>
                <w:i w:val="0"/>
                <w:color w:val="FFFFFF"/>
                <w:sz w:val="17"/>
              </w:rPr>
              <w:t>Document</w:t>
            </w:r>
          </w:p>
        </w:tc>
        <w:tc>
          <w:tcPr>
            <w:tcW w:type="dxa" w:w="5328"/>
            <w:shd w:val="clear" w:color="auto" w:fill="1B3A4B"/>
          </w:tcPr>
          <w:p>
            <w:pPr>
              <w:spacing w:after="40" w:before="40"/>
            </w:pPr>
            <w:r/>
            <w:r>
              <w:rPr>
                <w:rFonts w:ascii="Calibri" w:hAnsi="Calibri"/>
                <w:b/>
                <w:i w:val="0"/>
                <w:color w:val="FFFFFF"/>
                <w:sz w:val="17"/>
              </w:rPr>
              <w:t>Read it for</w:t>
            </w:r>
          </w:p>
        </w:tc>
      </w:tr>
      <w:tr>
        <w:trPr>
          <w:cantSplit/>
        </w:trPr>
        <w:tc>
          <w:tcPr>
            <w:tcW w:type="dxa" w:w="4464"/>
          </w:tcPr>
          <w:p>
            <w:pPr>
              <w:spacing w:after="40" w:before="40"/>
            </w:pPr>
            <w:r/>
            <w:r>
              <w:rPr>
                <w:rFonts w:ascii="Calibri" w:hAnsi="Calibri"/>
                <w:b/>
                <w:i w:val="0"/>
                <w:color w:val="22333B"/>
                <w:sz w:val="17"/>
              </w:rPr>
              <w:t>Content of Premarket Submissions for Device Software Functions (June 2023)</w:t>
            </w:r>
          </w:p>
        </w:tc>
        <w:tc>
          <w:tcPr>
            <w:tcW w:type="dxa" w:w="5328"/>
          </w:tcPr>
          <w:p>
            <w:pPr>
              <w:spacing w:after="40" w:before="40"/>
            </w:pPr>
            <w:r/>
            <w:r>
              <w:rPr>
                <w:rFonts w:ascii="Calibri" w:hAnsi="Calibri"/>
                <w:b w:val="0"/>
                <w:i w:val="0"/>
                <w:color w:val="22333B"/>
                <w:sz w:val="17"/>
              </w:rPr>
              <w:t>What goes in the submission, and the Basic / Enhanced documentation level framework. Start here.</w:t>
            </w:r>
          </w:p>
        </w:tc>
      </w:tr>
      <w:tr>
        <w:trPr>
          <w:cantSplit/>
        </w:trPr>
        <w:tc>
          <w:tcPr>
            <w:tcW w:type="dxa" w:w="4464"/>
          </w:tcPr>
          <w:p>
            <w:pPr>
              <w:spacing w:after="40" w:before="40"/>
            </w:pPr>
            <w:r/>
            <w:r>
              <w:rPr>
                <w:rFonts w:ascii="Calibri" w:hAnsi="Calibri"/>
                <w:b/>
                <w:i w:val="0"/>
                <w:color w:val="22333B"/>
                <w:sz w:val="17"/>
              </w:rPr>
              <w:t>Cybersecurity in Medical Devices: Quality Management System Considerations and Content of Premarket Submissions (June 2025)</w:t>
            </w:r>
          </w:p>
        </w:tc>
        <w:tc>
          <w:tcPr>
            <w:tcW w:type="dxa" w:w="5328"/>
          </w:tcPr>
          <w:p>
            <w:pPr>
              <w:spacing w:after="40" w:before="40"/>
            </w:pPr>
            <w:r/>
            <w:r>
              <w:rPr>
                <w:rFonts w:ascii="Calibri" w:hAnsi="Calibri"/>
                <w:b w:val="0"/>
                <w:i w:val="0"/>
                <w:color w:val="22333B"/>
                <w:sz w:val="17"/>
              </w:rPr>
              <w:t>The SPDF, security architecture views, SBOM expectations, and the four categories of security testing. Supersedes the September 2023 edition and adds a section on s.524B.</w:t>
            </w:r>
          </w:p>
        </w:tc>
      </w:tr>
      <w:tr>
        <w:trPr>
          <w:cantSplit/>
        </w:trPr>
        <w:tc>
          <w:tcPr>
            <w:tcW w:type="dxa" w:w="4464"/>
          </w:tcPr>
          <w:p>
            <w:pPr>
              <w:spacing w:after="40" w:before="40"/>
            </w:pPr>
            <w:r/>
            <w:r>
              <w:rPr>
                <w:rFonts w:ascii="Calibri" w:hAnsi="Calibri"/>
                <w:b/>
                <w:i w:val="0"/>
                <w:color w:val="22333B"/>
                <w:sz w:val="17"/>
              </w:rPr>
              <w:t>Postmarket Management of Cybersecurity in Medical Devices (Dec 2016)</w:t>
            </w:r>
          </w:p>
        </w:tc>
        <w:tc>
          <w:tcPr>
            <w:tcW w:type="dxa" w:w="5328"/>
          </w:tcPr>
          <w:p>
            <w:pPr>
              <w:spacing w:after="40" w:before="40"/>
            </w:pPr>
            <w:r/>
            <w:r>
              <w:rPr>
                <w:rFonts w:ascii="Calibri" w:hAnsi="Calibri"/>
                <w:b w:val="0"/>
                <w:i w:val="0"/>
                <w:color w:val="22333B"/>
                <w:sz w:val="17"/>
              </w:rPr>
              <w:t>Controlled vs uncontrolled risk, and the circumstances bearing on reporting obligations. Read before you need it.</w:t>
            </w:r>
          </w:p>
        </w:tc>
      </w:tr>
      <w:tr>
        <w:trPr>
          <w:cantSplit/>
        </w:trPr>
        <w:tc>
          <w:tcPr>
            <w:tcW w:type="dxa" w:w="4464"/>
          </w:tcPr>
          <w:p>
            <w:pPr>
              <w:spacing w:after="40" w:before="40"/>
            </w:pPr>
            <w:r/>
            <w:r>
              <w:rPr>
                <w:rFonts w:ascii="Calibri" w:hAnsi="Calibri"/>
                <w:b/>
                <w:i w:val="0"/>
                <w:color w:val="22333B"/>
                <w:sz w:val="17"/>
              </w:rPr>
              <w:t>General Principles of Software Validation (Jan 2002)</w:t>
            </w:r>
          </w:p>
        </w:tc>
        <w:tc>
          <w:tcPr>
            <w:tcW w:type="dxa" w:w="5328"/>
          </w:tcPr>
          <w:p>
            <w:pPr>
              <w:spacing w:after="40" w:before="40"/>
            </w:pPr>
            <w:r/>
            <w:r>
              <w:rPr>
                <w:rFonts w:ascii="Calibri" w:hAnsi="Calibri"/>
                <w:b w:val="0"/>
                <w:i w:val="0"/>
                <w:color w:val="22333B"/>
                <w:sz w:val="17"/>
              </w:rPr>
              <w:t>The foundational statement of what validation means. Old, not withdrawn.</w:t>
            </w:r>
          </w:p>
        </w:tc>
      </w:tr>
      <w:tr>
        <w:trPr>
          <w:cantSplit/>
        </w:trPr>
        <w:tc>
          <w:tcPr>
            <w:tcW w:type="dxa" w:w="4464"/>
          </w:tcPr>
          <w:p>
            <w:pPr>
              <w:spacing w:after="40" w:before="40"/>
            </w:pPr>
            <w:r/>
            <w:r>
              <w:rPr>
                <w:rFonts w:ascii="Calibri" w:hAnsi="Calibri"/>
                <w:b/>
                <w:i w:val="0"/>
                <w:color w:val="22333B"/>
                <w:sz w:val="17"/>
              </w:rPr>
              <w:t>Off-The-Shelf Software Use in Medical Devices; Deciding When to Submit a 510(k) for a Software Change (Oct 2017)</w:t>
            </w:r>
          </w:p>
        </w:tc>
        <w:tc>
          <w:tcPr>
            <w:tcW w:type="dxa" w:w="5328"/>
          </w:tcPr>
          <w:p>
            <w:pPr>
              <w:spacing w:after="40" w:before="40"/>
            </w:pPr>
            <w:r/>
            <w:r>
              <w:rPr>
                <w:rFonts w:ascii="Calibri" w:hAnsi="Calibri"/>
                <w:b w:val="0"/>
                <w:i w:val="0"/>
                <w:color w:val="22333B"/>
                <w:sz w:val="17"/>
              </w:rPr>
              <w:t>Obligations for third-party software you incorporate, and the decision logic for whether a change needs a new submission.</w:t>
            </w:r>
          </w:p>
        </w:tc>
      </w:tr>
      <w:tr>
        <w:trPr>
          <w:cantSplit/>
        </w:trPr>
        <w:tc>
          <w:tcPr>
            <w:tcW w:type="dxa" w:w="4464"/>
          </w:tcPr>
          <w:p>
            <w:pPr>
              <w:spacing w:after="40" w:before="40"/>
            </w:pPr>
            <w:r/>
            <w:r>
              <w:rPr>
                <w:rFonts w:ascii="Calibri" w:hAnsi="Calibri"/>
                <w:b/>
                <w:i w:val="0"/>
                <w:color w:val="22333B"/>
                <w:sz w:val="17"/>
              </w:rPr>
              <w:t>Marketing Submission Recommendations for a PCCP for AI-Enabled Device Software Functions (final, Dec 2024)</w:t>
            </w:r>
          </w:p>
        </w:tc>
        <w:tc>
          <w:tcPr>
            <w:tcW w:type="dxa" w:w="5328"/>
          </w:tcPr>
          <w:p>
            <w:pPr>
              <w:spacing w:after="40" w:before="40"/>
            </w:pPr>
            <w:r/>
            <w:r>
              <w:rPr>
                <w:rFonts w:ascii="Calibri" w:hAnsi="Calibri"/>
                <w:b w:val="0"/>
                <w:i w:val="0"/>
                <w:color w:val="22333B"/>
                <w:sz w:val="17"/>
              </w:rPr>
              <w:t>Pre-authorising future changes: description, modification protocol, impact assessment.</w:t>
            </w:r>
          </w:p>
        </w:tc>
      </w:tr>
      <w:tr>
        <w:trPr>
          <w:cantSplit/>
        </w:trPr>
        <w:tc>
          <w:tcPr>
            <w:tcW w:type="dxa" w:w="4464"/>
          </w:tcPr>
          <w:p>
            <w:pPr>
              <w:spacing w:after="40" w:before="40"/>
            </w:pPr>
            <w:r/>
            <w:r>
              <w:rPr>
                <w:rFonts w:ascii="Calibri" w:hAnsi="Calibri"/>
                <w:b/>
                <w:i w:val="0"/>
                <w:color w:val="22333B"/>
                <w:sz w:val="17"/>
              </w:rPr>
              <w:t>Computer Software Assurance for Production and Quality Management System Software (final, Sept 2025)</w:t>
            </w:r>
          </w:p>
        </w:tc>
        <w:tc>
          <w:tcPr>
            <w:tcW w:type="dxa" w:w="5328"/>
          </w:tcPr>
          <w:p>
            <w:pPr>
              <w:spacing w:after="40" w:before="40"/>
            </w:pPr>
            <w:r/>
            <w:r>
              <w:rPr>
                <w:rFonts w:ascii="Calibri" w:hAnsi="Calibri"/>
                <w:b w:val="0"/>
                <w:i w:val="0"/>
                <w:color w:val="22333B"/>
                <w:sz w:val="17"/>
              </w:rPr>
              <w:t>Risk-based assurance for production and QMS software. Supersedes Section 6 of the General Principles of Software Validation.</w:t>
            </w:r>
          </w:p>
        </w:tc>
      </w:tr>
      <w:tr>
        <w:trPr>
          <w:cantSplit/>
        </w:trPr>
        <w:tc>
          <w:tcPr>
            <w:tcW w:type="dxa" w:w="4464"/>
          </w:tcPr>
          <w:p>
            <w:pPr>
              <w:spacing w:after="40" w:before="40"/>
            </w:pPr>
            <w:r/>
            <w:r>
              <w:rPr>
                <w:rFonts w:ascii="Calibri" w:hAnsi="Calibri"/>
                <w:b/>
                <w:i w:val="0"/>
                <w:color w:val="22333B"/>
                <w:sz w:val="17"/>
              </w:rPr>
              <w:t>Clinical Decision Support Software (Sept 2022)</w:t>
            </w:r>
          </w:p>
        </w:tc>
        <w:tc>
          <w:tcPr>
            <w:tcW w:type="dxa" w:w="5328"/>
          </w:tcPr>
          <w:p>
            <w:pPr>
              <w:spacing w:after="40" w:before="40"/>
            </w:pPr>
            <w:r/>
            <w:r>
              <w:rPr>
                <w:rFonts w:ascii="Calibri" w:hAnsi="Calibri"/>
                <w:b w:val="0"/>
                <w:i w:val="0"/>
                <w:color w:val="22333B"/>
                <w:sz w:val="17"/>
              </w:rPr>
              <w:t>Where the Cures Act CDS exclusion begins and ends.</w:t>
            </w:r>
          </w:p>
        </w:tc>
      </w:tr>
    </w:tbl>
    <w:p>
      <w:pPr>
        <w:keepNext/>
        <w:spacing w:after="80" w:before="180"/>
      </w:pPr>
      <w:r>
        <w:rPr>
          <w:rFonts w:ascii="Cambria" w:hAnsi="Cambria"/>
          <w:b/>
          <w:color w:val="1B3A4B"/>
          <w:sz w:val="26"/>
        </w:rPr>
        <w:t>Standards and technical reports</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168"/>
        <w:gridCol w:w="6623"/>
      </w:tblGrid>
      <w:tr>
        <w:trPr>
          <w:cantSplit/>
        </w:trPr>
        <w:tc>
          <w:tcPr>
            <w:tcW w:type="dxa" w:w="3168"/>
            <w:shd w:val="clear" w:color="auto" w:fill="1B3A4B"/>
          </w:tcPr>
          <w:p>
            <w:pPr>
              <w:spacing w:after="40" w:before="40"/>
            </w:pPr>
            <w:r/>
            <w:r>
              <w:rPr>
                <w:rFonts w:ascii="Calibri" w:hAnsi="Calibri"/>
                <w:b/>
                <w:i w:val="0"/>
                <w:color w:val="FFFFFF"/>
                <w:sz w:val="17"/>
              </w:rPr>
              <w:t>Document</w:t>
            </w:r>
          </w:p>
        </w:tc>
        <w:tc>
          <w:tcPr>
            <w:tcW w:type="dxa" w:w="6624"/>
            <w:shd w:val="clear" w:color="auto" w:fill="1B3A4B"/>
          </w:tcPr>
          <w:p>
            <w:pPr>
              <w:spacing w:after="40" w:before="40"/>
            </w:pPr>
            <w:r/>
            <w:r>
              <w:rPr>
                <w:rFonts w:ascii="Calibri" w:hAnsi="Calibri"/>
                <w:b/>
                <w:i w:val="0"/>
                <w:color w:val="FFFFFF"/>
                <w:sz w:val="17"/>
              </w:rPr>
              <w:t>Read it for</w:t>
            </w:r>
          </w:p>
        </w:tc>
      </w:tr>
      <w:tr>
        <w:trPr>
          <w:cantSplit/>
        </w:trPr>
        <w:tc>
          <w:tcPr>
            <w:tcW w:type="dxa" w:w="3168"/>
          </w:tcPr>
          <w:p>
            <w:pPr>
              <w:spacing w:after="40" w:before="40"/>
            </w:pPr>
            <w:r/>
            <w:r>
              <w:rPr>
                <w:rFonts w:ascii="Calibri" w:hAnsi="Calibri"/>
                <w:b/>
                <w:i w:val="0"/>
                <w:color w:val="22333B"/>
                <w:sz w:val="17"/>
              </w:rPr>
              <w:t>IEC 62304</w:t>
            </w:r>
          </w:p>
        </w:tc>
        <w:tc>
          <w:tcPr>
            <w:tcW w:type="dxa" w:w="6624"/>
          </w:tcPr>
          <w:p>
            <w:pPr>
              <w:spacing w:after="40" w:before="40"/>
            </w:pPr>
            <w:r/>
            <w:r>
              <w:rPr>
                <w:rFonts w:ascii="Calibri" w:hAnsi="Calibri"/>
                <w:b w:val="0"/>
                <w:i w:val="0"/>
                <w:color w:val="22333B"/>
                <w:sz w:val="17"/>
              </w:rPr>
              <w:t>The software lifecycle: processes, outputs, safety classes, SOUP obligations, maintenance.</w:t>
            </w:r>
          </w:p>
        </w:tc>
      </w:tr>
      <w:tr>
        <w:trPr>
          <w:cantSplit/>
        </w:trPr>
        <w:tc>
          <w:tcPr>
            <w:tcW w:type="dxa" w:w="3168"/>
          </w:tcPr>
          <w:p>
            <w:pPr>
              <w:spacing w:after="40" w:before="40"/>
            </w:pPr>
            <w:r/>
            <w:r>
              <w:rPr>
                <w:rFonts w:ascii="Calibri" w:hAnsi="Calibri"/>
                <w:b/>
                <w:i w:val="0"/>
                <w:color w:val="22333B"/>
                <w:sz w:val="17"/>
              </w:rPr>
              <w:t>IEC 81001-5-1</w:t>
            </w:r>
          </w:p>
        </w:tc>
        <w:tc>
          <w:tcPr>
            <w:tcW w:type="dxa" w:w="6624"/>
          </w:tcPr>
          <w:p>
            <w:pPr>
              <w:spacing w:after="40" w:before="40"/>
            </w:pPr>
            <w:r/>
            <w:r>
              <w:rPr>
                <w:rFonts w:ascii="Calibri" w:hAnsi="Calibri"/>
                <w:b w:val="0"/>
                <w:i w:val="0"/>
                <w:color w:val="22333B"/>
                <w:sz w:val="17"/>
              </w:rPr>
              <w:t>How to put security activities inside a 62304-shaped lifecycle rather than alongside it. The best implementation reference.</w:t>
            </w:r>
          </w:p>
        </w:tc>
      </w:tr>
      <w:tr>
        <w:trPr>
          <w:cantSplit/>
        </w:trPr>
        <w:tc>
          <w:tcPr>
            <w:tcW w:type="dxa" w:w="3168"/>
          </w:tcPr>
          <w:p>
            <w:pPr>
              <w:spacing w:after="40" w:before="40"/>
            </w:pPr>
            <w:r/>
            <w:r>
              <w:rPr>
                <w:rFonts w:ascii="Calibri" w:hAnsi="Calibri"/>
                <w:b/>
                <w:i w:val="0"/>
                <w:color w:val="22333B"/>
                <w:sz w:val="17"/>
              </w:rPr>
              <w:t>ISO 14971 + ISO/TR 24971</w:t>
            </w:r>
          </w:p>
        </w:tc>
        <w:tc>
          <w:tcPr>
            <w:tcW w:type="dxa" w:w="6624"/>
          </w:tcPr>
          <w:p>
            <w:pPr>
              <w:spacing w:after="40" w:before="40"/>
            </w:pPr>
            <w:r/>
            <w:r>
              <w:rPr>
                <w:rFonts w:ascii="Calibri" w:hAnsi="Calibri"/>
                <w:b w:val="0"/>
                <w:i w:val="0"/>
                <w:color w:val="22333B"/>
                <w:sz w:val="17"/>
              </w:rPr>
              <w:t>Safety risk management, and practical guidance on applying it.</w:t>
            </w:r>
          </w:p>
        </w:tc>
      </w:tr>
      <w:tr>
        <w:trPr>
          <w:cantSplit/>
        </w:trPr>
        <w:tc>
          <w:tcPr>
            <w:tcW w:type="dxa" w:w="3168"/>
          </w:tcPr>
          <w:p>
            <w:pPr>
              <w:spacing w:after="40" w:before="40"/>
            </w:pPr>
            <w:r/>
            <w:r>
              <w:rPr>
                <w:rFonts w:ascii="Calibri" w:hAnsi="Calibri"/>
                <w:b/>
                <w:i w:val="0"/>
                <w:color w:val="22333B"/>
                <w:sz w:val="17"/>
              </w:rPr>
              <w:t>ISO 13485</w:t>
            </w:r>
          </w:p>
        </w:tc>
        <w:tc>
          <w:tcPr>
            <w:tcW w:type="dxa" w:w="6624"/>
          </w:tcPr>
          <w:p>
            <w:pPr>
              <w:spacing w:after="40" w:before="40"/>
            </w:pPr>
            <w:r/>
            <w:r>
              <w:rPr>
                <w:rFonts w:ascii="Calibri" w:hAnsi="Calibri"/>
                <w:b w:val="0"/>
                <w:i w:val="0"/>
                <w:color w:val="22333B"/>
                <w:sz w:val="17"/>
              </w:rPr>
              <w:t>The QMS, now incorporated into 21 CFR 820 via the QMSR.</w:t>
            </w:r>
          </w:p>
        </w:tc>
      </w:tr>
      <w:tr>
        <w:trPr>
          <w:cantSplit/>
        </w:trPr>
        <w:tc>
          <w:tcPr>
            <w:tcW w:type="dxa" w:w="3168"/>
          </w:tcPr>
          <w:p>
            <w:pPr>
              <w:spacing w:after="40" w:before="40"/>
            </w:pPr>
            <w:r/>
            <w:r>
              <w:rPr>
                <w:rFonts w:ascii="Calibri" w:hAnsi="Calibri"/>
                <w:b/>
                <w:i w:val="0"/>
                <w:color w:val="22333B"/>
                <w:sz w:val="17"/>
              </w:rPr>
              <w:t>AAMI SW96</w:t>
            </w:r>
          </w:p>
        </w:tc>
        <w:tc>
          <w:tcPr>
            <w:tcW w:type="dxa" w:w="6624"/>
          </w:tcPr>
          <w:p>
            <w:pPr>
              <w:spacing w:after="40" w:before="40"/>
            </w:pPr>
            <w:r/>
            <w:r>
              <w:rPr>
                <w:rFonts w:ascii="Calibri" w:hAnsi="Calibri"/>
                <w:b w:val="0"/>
                <w:i w:val="0"/>
                <w:color w:val="22333B"/>
                <w:sz w:val="17"/>
              </w:rPr>
              <w:t>Security risk management as a distinct process that interfaces with 14971.</w:t>
            </w:r>
          </w:p>
        </w:tc>
      </w:tr>
      <w:tr>
        <w:trPr>
          <w:cantSplit/>
        </w:trPr>
        <w:tc>
          <w:tcPr>
            <w:tcW w:type="dxa" w:w="3168"/>
          </w:tcPr>
          <w:p>
            <w:pPr>
              <w:spacing w:after="40" w:before="40"/>
            </w:pPr>
            <w:r/>
            <w:r>
              <w:rPr>
                <w:rFonts w:ascii="Calibri" w:hAnsi="Calibri"/>
                <w:b/>
                <w:i w:val="0"/>
                <w:color w:val="22333B"/>
                <w:sz w:val="17"/>
              </w:rPr>
              <w:t>AAMI TIR57 / TIR97 / TIR45</w:t>
            </w:r>
          </w:p>
        </w:tc>
        <w:tc>
          <w:tcPr>
            <w:tcW w:type="dxa" w:w="6624"/>
          </w:tcPr>
          <w:p>
            <w:pPr>
              <w:spacing w:after="40" w:before="40"/>
            </w:pPr>
            <w:r/>
            <w:r>
              <w:rPr>
                <w:rFonts w:ascii="Calibri" w:hAnsi="Calibri"/>
                <w:b w:val="0"/>
                <w:i w:val="0"/>
                <w:color w:val="22333B"/>
                <w:sz w:val="17"/>
              </w:rPr>
              <w:t>Security risk management principles, postmarket security management, and agile practice within a regulated lifecycle.</w:t>
            </w:r>
          </w:p>
        </w:tc>
      </w:tr>
      <w:tr>
        <w:trPr>
          <w:cantSplit/>
        </w:trPr>
        <w:tc>
          <w:tcPr>
            <w:tcW w:type="dxa" w:w="3168"/>
          </w:tcPr>
          <w:p>
            <w:pPr>
              <w:spacing w:after="40" w:before="40"/>
            </w:pPr>
            <w:r/>
            <w:r>
              <w:rPr>
                <w:rFonts w:ascii="Calibri" w:hAnsi="Calibri"/>
                <w:b/>
                <w:i w:val="0"/>
                <w:color w:val="22333B"/>
                <w:sz w:val="17"/>
              </w:rPr>
              <w:t>ISO/IEC 29147 / 30111</w:t>
            </w:r>
          </w:p>
        </w:tc>
        <w:tc>
          <w:tcPr>
            <w:tcW w:type="dxa" w:w="6624"/>
          </w:tcPr>
          <w:p>
            <w:pPr>
              <w:spacing w:after="40" w:before="40"/>
            </w:pPr>
            <w:r/>
            <w:r>
              <w:rPr>
                <w:rFonts w:ascii="Calibri" w:hAnsi="Calibri"/>
                <w:b w:val="0"/>
                <w:i w:val="0"/>
                <w:color w:val="22333B"/>
                <w:sz w:val="17"/>
              </w:rPr>
              <w:t>Vulnerability disclosure and vulnerability handling processes.</w:t>
            </w:r>
          </w:p>
        </w:tc>
      </w:tr>
    </w:tbl>
    <w:p>
      <w:pPr>
        <w:keepNext/>
        <w:spacing w:after="80" w:before="180"/>
      </w:pPr>
      <w:r>
        <w:rPr>
          <w:rFonts w:ascii="Cambria" w:hAnsi="Cambria"/>
          <w:b/>
          <w:color w:val="1B3A4B"/>
          <w:sz w:val="26"/>
        </w:rPr>
        <w:t>International and community resources</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744"/>
        <w:gridCol w:w="6048"/>
      </w:tblGrid>
      <w:tr>
        <w:trPr>
          <w:cantSplit/>
        </w:trPr>
        <w:tc>
          <w:tcPr>
            <w:tcW w:type="dxa" w:w="3744"/>
            <w:shd w:val="clear" w:color="auto" w:fill="1B3A4B"/>
          </w:tcPr>
          <w:p>
            <w:pPr>
              <w:spacing w:after="40" w:before="40"/>
            </w:pPr>
            <w:r/>
            <w:r>
              <w:rPr>
                <w:rFonts w:ascii="Calibri" w:hAnsi="Calibri"/>
                <w:b/>
                <w:i w:val="0"/>
                <w:color w:val="FFFFFF"/>
                <w:sz w:val="17"/>
              </w:rPr>
              <w:t>Document</w:t>
            </w:r>
          </w:p>
        </w:tc>
        <w:tc>
          <w:tcPr>
            <w:tcW w:type="dxa" w:w="6048"/>
            <w:shd w:val="clear" w:color="auto" w:fill="1B3A4B"/>
          </w:tcPr>
          <w:p>
            <w:pPr>
              <w:spacing w:after="40" w:before="40"/>
            </w:pPr>
            <w:r/>
            <w:r>
              <w:rPr>
                <w:rFonts w:ascii="Calibri" w:hAnsi="Calibri"/>
                <w:b/>
                <w:i w:val="0"/>
                <w:color w:val="FFFFFF"/>
                <w:sz w:val="17"/>
              </w:rPr>
              <w:t>Read it for</w:t>
            </w:r>
          </w:p>
        </w:tc>
      </w:tr>
      <w:tr>
        <w:trPr>
          <w:cantSplit/>
        </w:trPr>
        <w:tc>
          <w:tcPr>
            <w:tcW w:type="dxa" w:w="3744"/>
          </w:tcPr>
          <w:p>
            <w:pPr>
              <w:spacing w:after="40" w:before="40"/>
            </w:pPr>
            <w:r/>
            <w:r>
              <w:rPr>
                <w:rFonts w:ascii="Calibri" w:hAnsi="Calibri"/>
                <w:b/>
                <w:i w:val="0"/>
                <w:color w:val="22333B"/>
                <w:sz w:val="17"/>
              </w:rPr>
              <w:t>IMDRF SaMD series — N10, N12, N23, N41</w:t>
            </w:r>
          </w:p>
        </w:tc>
        <w:tc>
          <w:tcPr>
            <w:tcW w:type="dxa" w:w="6048"/>
          </w:tcPr>
          <w:p>
            <w:pPr>
              <w:spacing w:after="40" w:before="40"/>
            </w:pPr>
            <w:r/>
            <w:r>
              <w:rPr>
                <w:rFonts w:ascii="Calibri" w:hAnsi="Calibri"/>
                <w:b w:val="0"/>
                <w:i w:val="0"/>
                <w:color w:val="22333B"/>
                <w:sz w:val="17"/>
              </w:rPr>
              <w:t>Definitions, risk categorisation, QMS and clinical evaluation for SaMD.</w:t>
            </w:r>
          </w:p>
        </w:tc>
      </w:tr>
      <w:tr>
        <w:trPr>
          <w:cantSplit/>
        </w:trPr>
        <w:tc>
          <w:tcPr>
            <w:tcW w:type="dxa" w:w="3744"/>
          </w:tcPr>
          <w:p>
            <w:pPr>
              <w:spacing w:after="40" w:before="40"/>
            </w:pPr>
            <w:r/>
            <w:r>
              <w:rPr>
                <w:rFonts w:ascii="Calibri" w:hAnsi="Calibri"/>
                <w:b/>
                <w:i w:val="0"/>
                <w:color w:val="22333B"/>
                <w:sz w:val="17"/>
              </w:rPr>
              <w:t>IMDRF N60 (cybersecurity) and N73 (legacy)</w:t>
            </w:r>
          </w:p>
        </w:tc>
        <w:tc>
          <w:tcPr>
            <w:tcW w:type="dxa" w:w="6048"/>
          </w:tcPr>
          <w:p>
            <w:pPr>
              <w:spacing w:after="40" w:before="40"/>
            </w:pPr>
            <w:r/>
            <w:r>
              <w:rPr>
                <w:rFonts w:ascii="Calibri" w:hAnsi="Calibri"/>
                <w:b w:val="0"/>
                <w:i w:val="0"/>
                <w:color w:val="22333B"/>
                <w:sz w:val="17"/>
              </w:rPr>
              <w:t>International principles, and what is expected for devices already in the field.</w:t>
            </w:r>
          </w:p>
        </w:tc>
      </w:tr>
      <w:tr>
        <w:trPr>
          <w:cantSplit/>
        </w:trPr>
        <w:tc>
          <w:tcPr>
            <w:tcW w:type="dxa" w:w="3744"/>
          </w:tcPr>
          <w:p>
            <w:pPr>
              <w:spacing w:after="40" w:before="40"/>
            </w:pPr>
            <w:r/>
            <w:r>
              <w:rPr>
                <w:rFonts w:ascii="Calibri" w:hAnsi="Calibri"/>
                <w:b/>
                <w:i w:val="0"/>
                <w:color w:val="22333B"/>
                <w:sz w:val="17"/>
              </w:rPr>
              <w:t>MITRE / MDIC Medical Device Threat Modeling Playbook</w:t>
            </w:r>
          </w:p>
        </w:tc>
        <w:tc>
          <w:tcPr>
            <w:tcW w:type="dxa" w:w="6048"/>
          </w:tcPr>
          <w:p>
            <w:pPr>
              <w:spacing w:after="40" w:before="40"/>
            </w:pPr>
            <w:r/>
            <w:r>
              <w:rPr>
                <w:rFonts w:ascii="Calibri" w:hAnsi="Calibri"/>
                <w:b w:val="0"/>
                <w:i w:val="0"/>
                <w:color w:val="22333B"/>
                <w:sz w:val="17"/>
              </w:rPr>
              <w:t>Free and genuinely practical. The best first document for a team that has never run a threat model.</w:t>
            </w:r>
          </w:p>
        </w:tc>
      </w:tr>
      <w:tr>
        <w:trPr>
          <w:cantSplit/>
        </w:trPr>
        <w:tc>
          <w:tcPr>
            <w:tcW w:type="dxa" w:w="3744"/>
          </w:tcPr>
          <w:p>
            <w:pPr>
              <w:spacing w:after="40" w:before="40"/>
            </w:pPr>
            <w:r/>
            <w:r>
              <w:rPr>
                <w:rFonts w:ascii="Calibri" w:hAnsi="Calibri"/>
                <w:b/>
                <w:i w:val="0"/>
                <w:color w:val="22333B"/>
                <w:sz w:val="17"/>
              </w:rPr>
              <w:t>MITRE / MDIC rubric for applying CVSS to medical devices</w:t>
            </w:r>
          </w:p>
        </w:tc>
        <w:tc>
          <w:tcPr>
            <w:tcW w:type="dxa" w:w="6048"/>
          </w:tcPr>
          <w:p>
            <w:pPr>
              <w:spacing w:after="40" w:before="40"/>
            </w:pPr>
            <w:r/>
            <w:r>
              <w:rPr>
                <w:rFonts w:ascii="Calibri" w:hAnsi="Calibri"/>
                <w:b w:val="0"/>
                <w:i w:val="0"/>
                <w:color w:val="22333B"/>
                <w:sz w:val="17"/>
              </w:rPr>
              <w:t>Why generic severity scoring misleads in a clinical context, and what to do instead.</w:t>
            </w:r>
          </w:p>
        </w:tc>
      </w:tr>
      <w:tr>
        <w:trPr>
          <w:cantSplit/>
        </w:trPr>
        <w:tc>
          <w:tcPr>
            <w:tcW w:type="dxa" w:w="3744"/>
          </w:tcPr>
          <w:p>
            <w:pPr>
              <w:spacing w:after="40" w:before="40"/>
            </w:pPr>
            <w:r/>
            <w:r>
              <w:rPr>
                <w:rFonts w:ascii="Calibri" w:hAnsi="Calibri"/>
                <w:b/>
                <w:i w:val="0"/>
                <w:color w:val="22333B"/>
                <w:sz w:val="17"/>
              </w:rPr>
              <w:t>MDCG 2019-11 and 2019-16; CISA advisories</w:t>
            </w:r>
          </w:p>
        </w:tc>
        <w:tc>
          <w:tcPr>
            <w:tcW w:type="dxa" w:w="6048"/>
          </w:tcPr>
          <w:p>
            <w:pPr>
              <w:spacing w:after="40" w:before="40"/>
            </w:pPr>
            <w:r/>
            <w:r>
              <w:rPr>
                <w:rFonts w:ascii="Calibri" w:hAnsi="Calibri"/>
                <w:b w:val="0"/>
                <w:i w:val="0"/>
                <w:color w:val="22333B"/>
                <w:sz w:val="17"/>
              </w:rPr>
              <w:t>EU software qualification and classification, EU cybersecurity guidance, and live advisories affecting medical and industrial devices.</w:t>
            </w:r>
          </w:p>
        </w:tc>
      </w:tr>
    </w:tbl>
    <w:p>
      <w:pPr>
        <w:pageBreakBefore/>
        <w:spacing w:after="40" w:before="0"/>
      </w:pPr>
      <w:r>
        <w:rPr>
          <w:rFonts w:ascii="Calibri" w:hAnsi="Calibri"/>
          <w:b/>
          <w:color w:val="A83A3C"/>
          <w:sz w:val="17"/>
          <w:spacing w:val="30"/>
        </w:rPr>
        <w:t>THE PAGE THAT MATTERS</w:t>
      </w:r>
    </w:p>
    <w:p>
      <w:pPr>
        <w:spacing w:after="80" w:before="0"/>
      </w:pPr>
      <w:r>
        <w:rPr>
          <w:rFonts w:ascii="Cambria" w:hAnsi="Cambria"/>
          <w:b/>
          <w:color w:val="1B3A4B"/>
          <w:sz w:val="36"/>
        </w:rPr>
        <w:t>Your action plan</w:t>
      </w:r>
    </w:p>
    <w:p>
      <w:pPr>
        <w:spacing w:before="120" w:after="120"/>
        <w:pBdr>
          <w:bottom w:val="single" w:sz="6" w:space="1" w:color="D7E2E5"/>
        </w:pBdr>
      </w:pPr>
    </w:p>
    <w:p>
      <w:pPr>
        <w:spacing w:after="100"/>
      </w:pPr>
      <w:r>
        <w:rPr>
          <w:rFonts w:ascii="Calibri" w:hAnsi="Calibri"/>
          <w:b w:val="0"/>
          <w:i/>
          <w:color w:val="1B3A4B"/>
          <w:sz w:val="20"/>
        </w:rPr>
        <w:t>Fill in at least three rows before you leave the room. A commitment made here is the only part of a seminar that reliably survives the journey back to the office.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5616"/>
        <w:gridCol w:w="2304"/>
        <w:gridCol w:w="1872"/>
      </w:tblGrid>
      <w:tr>
        <w:trPr>
          <w:cantSplit/>
        </w:trPr>
        <w:tc>
          <w:tcPr>
            <w:tcW w:type="dxa" w:w="5616"/>
            <w:shd w:val="clear" w:color="auto" w:fill="1B3A4B"/>
          </w:tcPr>
          <w:p>
            <w:pPr>
              <w:spacing w:after="40" w:before="40"/>
            </w:pPr>
            <w:r/>
            <w:r>
              <w:rPr>
                <w:rFonts w:ascii="Calibri" w:hAnsi="Calibri"/>
                <w:b/>
                <w:i w:val="0"/>
                <w:color w:val="FFFFFF"/>
                <w:sz w:val="20"/>
              </w:rPr>
              <w:t>What I will do</w:t>
            </w:r>
          </w:p>
        </w:tc>
        <w:tc>
          <w:tcPr>
            <w:tcW w:type="dxa" w:w="2304"/>
            <w:shd w:val="clear" w:color="auto" w:fill="1B3A4B"/>
          </w:tcPr>
          <w:p>
            <w:pPr>
              <w:spacing w:after="40" w:before="40"/>
            </w:pPr>
            <w:r/>
            <w:r>
              <w:rPr>
                <w:rFonts w:ascii="Calibri" w:hAnsi="Calibri"/>
                <w:b/>
                <w:i w:val="0"/>
                <w:color w:val="FFFFFF"/>
                <w:sz w:val="20"/>
              </w:rPr>
              <w:t>Who owns it</w:t>
            </w:r>
          </w:p>
        </w:tc>
        <w:tc>
          <w:tcPr>
            <w:tcW w:type="dxa" w:w="1872"/>
            <w:shd w:val="clear" w:color="auto" w:fill="1B3A4B"/>
          </w:tcPr>
          <w:p>
            <w:pPr>
              <w:spacing w:after="40" w:before="40"/>
            </w:pPr>
            <w:r/>
            <w:r>
              <w:rPr>
                <w:rFonts w:ascii="Calibri" w:hAnsi="Calibri"/>
                <w:b/>
                <w:i w:val="0"/>
                <w:color w:val="FFFFFF"/>
                <w:sz w:val="20"/>
              </w:rPr>
              <w:t>By when</w:t>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bl>
    <w:p>
      <w:pPr>
        <w:keepNext/>
        <w:spacing w:after="80" w:before="180"/>
      </w:pPr>
      <w:r>
        <w:rPr>
          <w:rFonts w:ascii="Cambria" w:hAnsi="Cambria"/>
          <w:b/>
          <w:color w:val="1B3A4B"/>
          <w:sz w:val="26"/>
        </w:rPr>
        <w:t>Ten questions to ask your team on Monday</w:t>
      </w:r>
    </w:p>
    <w:p>
      <w:pPr>
        <w:spacing w:after="50" w:line="254" w:lineRule="auto"/>
        <w:ind w:left="792" w:hanging="432"/>
      </w:pPr>
      <w:r>
        <w:rPr>
          <w:rFonts w:ascii="Calibri" w:hAnsi="Calibri"/>
          <w:b/>
          <w:color w:val="0E7C7B"/>
          <w:sz w:val="20"/>
        </w:rPr>
        <w:t xml:space="preserve">1.  </w:t>
      </w:r>
      <w:r>
        <w:rPr>
          <w:rFonts w:ascii="Calibri" w:hAnsi="Calibri"/>
          <w:color w:val="22333B"/>
          <w:sz w:val="20"/>
        </w:rPr>
        <w:t>Is this product a cyber device under 524B — and where is that determination written down?</w:t>
      </w:r>
    </w:p>
    <w:p>
      <w:pPr>
        <w:spacing w:after="50" w:line="254" w:lineRule="auto"/>
        <w:ind w:left="792" w:hanging="432"/>
      </w:pPr>
      <w:r>
        <w:rPr>
          <w:rFonts w:ascii="Calibri" w:hAnsi="Calibri"/>
          <w:b/>
          <w:color w:val="0E7C7B"/>
          <w:sz w:val="20"/>
        </w:rPr>
        <w:t xml:space="preserve">2.  </w:t>
      </w:r>
      <w:r>
        <w:rPr>
          <w:rFonts w:ascii="Calibri" w:hAnsi="Calibri"/>
          <w:color w:val="22333B"/>
          <w:sz w:val="20"/>
        </w:rPr>
        <w:t>Could we produce a complete, versioned component inventory for it this week?</w:t>
      </w:r>
    </w:p>
    <w:p>
      <w:pPr>
        <w:spacing w:after="50" w:line="254" w:lineRule="auto"/>
        <w:ind w:left="792" w:hanging="432"/>
      </w:pPr>
      <w:r>
        <w:rPr>
          <w:rFonts w:ascii="Calibri" w:hAnsi="Calibri"/>
          <w:b/>
          <w:color w:val="0E7C7B"/>
          <w:sz w:val="20"/>
        </w:rPr>
        <w:t xml:space="preserve">3.  </w:t>
      </w:r>
      <w:r>
        <w:rPr>
          <w:rFonts w:ascii="Calibri" w:hAnsi="Calibri"/>
          <w:color w:val="22333B"/>
          <w:sz w:val="20"/>
        </w:rPr>
        <w:t>Who receives a vulnerability report from outside, and what happens in the first hour?</w:t>
      </w:r>
    </w:p>
    <w:p>
      <w:pPr>
        <w:spacing w:after="50" w:line="254" w:lineRule="auto"/>
        <w:ind w:left="792" w:hanging="432"/>
      </w:pPr>
      <w:r>
        <w:rPr>
          <w:rFonts w:ascii="Calibri" w:hAnsi="Calibri"/>
          <w:b/>
          <w:color w:val="0E7C7B"/>
          <w:sz w:val="20"/>
        </w:rPr>
        <w:t xml:space="preserve">4.  </w:t>
      </w:r>
      <w:r>
        <w:rPr>
          <w:rFonts w:ascii="Calibri" w:hAnsi="Calibri"/>
          <w:color w:val="22333B"/>
          <w:sz w:val="20"/>
        </w:rPr>
        <w:t>What is our device's IEC 62304 safety class, and would the reasoning survive a challenge?</w:t>
      </w:r>
    </w:p>
    <w:p>
      <w:pPr>
        <w:spacing w:after="50" w:line="254" w:lineRule="auto"/>
        <w:ind w:left="792" w:hanging="432"/>
      </w:pPr>
      <w:r>
        <w:rPr>
          <w:rFonts w:ascii="Calibri" w:hAnsi="Calibri"/>
          <w:b/>
          <w:color w:val="0E7C7B"/>
          <w:sz w:val="20"/>
        </w:rPr>
        <w:t xml:space="preserve">5.  </w:t>
      </w:r>
      <w:r>
        <w:rPr>
          <w:rFonts w:ascii="Calibri" w:hAnsi="Calibri"/>
          <w:color w:val="22333B"/>
          <w:sz w:val="20"/>
        </w:rPr>
        <w:t>Do our templates still say “Level of Concern” or cite 21 CFR 820 clauses superseded by the QMSR?</w:t>
      </w:r>
    </w:p>
    <w:p>
      <w:pPr>
        <w:spacing w:after="50" w:line="254" w:lineRule="auto"/>
        <w:ind w:left="792" w:hanging="432"/>
      </w:pPr>
      <w:r>
        <w:rPr>
          <w:rFonts w:ascii="Calibri" w:hAnsi="Calibri"/>
          <w:b/>
          <w:color w:val="0E7C7B"/>
          <w:sz w:val="20"/>
        </w:rPr>
        <w:t xml:space="preserve">6.  </w:t>
      </w:r>
      <w:r>
        <w:rPr>
          <w:rFonts w:ascii="Calibri" w:hAnsi="Calibri"/>
          <w:color w:val="22333B"/>
          <w:sz w:val="20"/>
        </w:rPr>
        <w:t>Where do our security requirements live — and are they traced to tests?</w:t>
      </w:r>
    </w:p>
    <w:p>
      <w:pPr>
        <w:spacing w:after="50" w:line="254" w:lineRule="auto"/>
        <w:ind w:left="792" w:hanging="432"/>
      </w:pPr>
      <w:r>
        <w:rPr>
          <w:rFonts w:ascii="Calibri" w:hAnsi="Calibri"/>
          <w:b/>
          <w:color w:val="0E7C7B"/>
          <w:sz w:val="20"/>
        </w:rPr>
        <w:t xml:space="preserve">7.  </w:t>
      </w:r>
      <w:r>
        <w:rPr>
          <w:rFonts w:ascii="Calibri" w:hAnsi="Calibri"/>
          <w:color w:val="22333B"/>
          <w:sz w:val="20"/>
        </w:rPr>
        <w:t>If a cloud provider deprecated a runtime with 90 days' notice, whose change control handles it?</w:t>
      </w:r>
    </w:p>
    <w:p>
      <w:pPr>
        <w:spacing w:after="50" w:line="254" w:lineRule="auto"/>
        <w:ind w:left="792" w:hanging="432"/>
      </w:pPr>
      <w:r>
        <w:rPr>
          <w:rFonts w:ascii="Calibri" w:hAnsi="Calibri"/>
          <w:b/>
          <w:color w:val="0E7C7B"/>
          <w:sz w:val="20"/>
        </w:rPr>
        <w:t xml:space="preserve">8.  </w:t>
      </w:r>
      <w:r>
        <w:rPr>
          <w:rFonts w:ascii="Calibri" w:hAnsi="Calibri"/>
          <w:color w:val="22333B"/>
          <w:sz w:val="20"/>
        </w:rPr>
        <w:t>Can every fielded unit accept an authenticated update, and have we ever exercised the emergency path?</w:t>
      </w:r>
    </w:p>
    <w:p>
      <w:pPr>
        <w:spacing w:after="50" w:line="254" w:lineRule="auto"/>
        <w:ind w:left="792" w:hanging="432"/>
      </w:pPr>
      <w:r>
        <w:rPr>
          <w:rFonts w:ascii="Calibri" w:hAnsi="Calibri"/>
          <w:b/>
          <w:color w:val="0E7C7B"/>
          <w:sz w:val="20"/>
        </w:rPr>
        <w:t xml:space="preserve">9.  </w:t>
      </w:r>
      <w:r>
        <w:rPr>
          <w:rFonts w:ascii="Calibri" w:hAnsi="Calibri"/>
          <w:color w:val="22333B"/>
          <w:sz w:val="20"/>
        </w:rPr>
        <w:t>What is our end-of-support date, and have we told our customers?</w:t>
      </w:r>
    </w:p>
    <w:p>
      <w:pPr>
        <w:spacing w:after="50" w:line="254" w:lineRule="auto"/>
        <w:ind w:left="792" w:hanging="432"/>
      </w:pPr>
      <w:r>
        <w:rPr>
          <w:rFonts w:ascii="Calibri" w:hAnsi="Calibri"/>
          <w:b/>
          <w:color w:val="0E7C7B"/>
          <w:sz w:val="20"/>
        </w:rPr>
        <w:t xml:space="preserve">10.  </w:t>
      </w:r>
      <w:r>
        <w:rPr>
          <w:rFonts w:ascii="Calibri" w:hAnsi="Calibri"/>
          <w:color w:val="22333B"/>
          <w:sz w:val="20"/>
        </w:rPr>
        <w:t>Where are validation and security duplicating each other's work right now?</w:t>
      </w:r>
    </w:p>
    <w:p>
      <w:pPr>
        <w:spacing w:after="120"/>
      </w:pPr>
      <w:r>
        <w:rPr>
          <w:rFonts w:ascii="Calibri" w:hAnsi="Calibri"/>
          <w:b w:val="0"/>
          <w:i w:val="0"/>
          <w:color w:val="22333B"/>
          <w:sz w:val="20"/>
        </w:rPr>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0"/>
              </w:rPr>
              <w:t>If you do only one thing</w:t>
            </w:r>
          </w:p>
          <w:p>
            <w:pPr>
              <w:spacing w:after="80"/>
            </w:pPr>
            <w:r>
              <w:rPr>
                <w:rFonts w:ascii="Calibri" w:hAnsi="Calibri"/>
                <w:color w:val="22333B"/>
                <w:sz w:val="19"/>
              </w:rPr>
              <w:t>Publish a security contact and a disclosure policy, and name the person who monitors it. It is days of work, it costs almost nothing, it is a statutory expectation under 524B, and it changes what happens on the day a researcher finds something in your product.</w:t>
            </w:r>
          </w:p>
        </w:tc>
      </w:tr>
    </w:tbl>
    <w:p>
      <w:pPr>
        <w:spacing w:after="100" w:before="0" w:line="240" w:lineRule="auto"/>
      </w:pPr>
      <w:r>
        <w:rPr>
          <w:sz w:val="2"/>
        </w:rPr>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4E626D"/>
        <w:sz w:val="16"/>
      </w:rPr>
      <w:t xml:space="preserve">Software Validation &amp; Cybersecurity  ·  Participant Workbook  ·  Page </w:t>
    </w:r>
    <w:r>
      <w:rPr>
        <w:rFonts w:ascii="Calibri" w:hAnsi="Calibri"/>
        <w:color w:val="4E626D"/>
        <w:sz w:val="16"/>
      </w:rPr>
      <w:fldChar w:fldCharType="begin"/>
    </w:r>
    <w:r>
      <w:rPr>
        <w:rFonts w:ascii="Calibri" w:hAnsi="Calibri"/>
        <w:color w:val="4E626D"/>
        <w:sz w:val="16"/>
      </w:rPr>
      <w:instrText xml:space="preserve"> PAGE </w:instrText>
    </w:r>
    <w:r>
      <w:rPr>
        <w:rFonts w:ascii="Calibri" w:hAnsi="Calibri"/>
        <w:color w:val="4E626D"/>
        <w:sz w:val="16"/>
      </w:rPr>
      <w:fldChar w:fldCharType="separate"/>
    </w:r>
    <w:r>
      <w:rPr>
        <w:rFonts w:ascii="Calibri" w:hAnsi="Calibri"/>
        <w:color w:val="4E626D"/>
        <w:sz w:val="16"/>
      </w:rPr>
      <w:t>1</w:t>
    </w:r>
    <w:r>
      <w:rPr>
        <w:rFonts w:ascii="Calibri" w:hAnsi="Calibri"/>
        <w:color w:val="4E626D"/>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color w:val="2233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