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Calibri" w:hAnsi="Calibri"/>
          <w:b/>
          <w:color w:val="0E7C7B"/>
          <w:sz w:val="17"/>
          <w:spacing w:val="30"/>
        </w:rPr>
        <w:t>QUICK REFERENCE  ·  SIDE 1  ·  SOFTWARE VALIDATION</w:t>
      </w:r>
    </w:p>
    <w:p>
      <w:pPr>
        <w:spacing w:after="40" w:before="0"/>
      </w:pPr>
      <w:r>
        <w:rPr>
          <w:rFonts w:ascii="Cambria" w:hAnsi="Cambria"/>
          <w:b/>
          <w:color w:val="1B3A4B"/>
          <w:sz w:val="30"/>
        </w:rPr>
        <w:t>Scoping and classifying</w:t>
      </w:r>
    </w:p>
    <w:p>
      <w:pPr>
        <w:spacing w:after="80"/>
      </w:pPr>
      <w:r>
        <w:rPr>
          <w:rFonts w:ascii="Calibri" w:hAnsi="Calibri"/>
          <w:b w:val="0"/>
          <w:i/>
          <w:color w:val="4E626D"/>
          <w:sz w:val="17"/>
        </w:rPr>
        <w:t>Four independent decisions. Make each on its own terms and write down the reasoning for each.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1.  Is it a device at all?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2E5"/>
          <w:left w:val="single" w:sz="6" w:space="0" w:color="D7E2E5"/>
          <w:bottom w:val="single" w:sz="6" w:space="0" w:color="D7E2E5"/>
          <w:right w:val="single" w:sz="6" w:space="0" w:color="D7E2E5"/>
          <w:insideH w:val="single" w:sz="6" w:space="0" w:color="D7E2E5"/>
          <w:insideV w:val="single" w:sz="6" w:space="0" w:color="D7E2E5"/>
        </w:tblBorders>
        <w:tblLayout w:type="fixed"/>
        <w:tblW w:w="10800" w:type="dxa"/>
      </w:tblPr>
      <w:tblGrid>
        <w:gridCol w:w="3600"/>
        <w:gridCol w:w="3600"/>
        <w:gridCol w:w="3600"/>
      </w:tblGrid>
      <w:tr>
        <w:trPr>
          <w:cantSplit/>
        </w:trPr>
        <w:tc>
          <w:tcPr>
            <w:tcW w:type="dxa" w:w="3600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SaMD</w:t>
            </w:r>
          </w:p>
        </w:tc>
        <w:tc>
          <w:tcPr>
            <w:tcW w:type="dxa" w:w="3600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SiMD</w:t>
            </w:r>
          </w:p>
        </w:tc>
        <w:tc>
          <w:tcPr>
            <w:tcW w:type="dxa" w:w="3600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Not a device</w:t>
            </w:r>
          </w:p>
        </w:tc>
      </w:tr>
      <w:tr>
        <w:trPr>
          <w:cantSplit/>
        </w:trPr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Software intended for a medical purpose that performs that purpose WITHOUT being part of a hardware device.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Algorithm, diagnostic platform, dosing app.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Software embedded in, or driving, a hardware medical device.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Pump firmware, ventilator control, imaging acquisition.</w:t>
            </w:r>
          </w:p>
        </w:tc>
        <w:tc>
          <w:tcPr>
            <w:tcW w:type="dxa" w:w="360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Excluded by the 21st Century Cures Act: administrative support, general wellness, record-keeping, and certain CDS where the clinician can independently review the basis.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A83A3C"/>
          <w:sz w:val="17"/>
        </w:rPr>
        <w:t>Classify at the level of the software FUNCTION, not the product. One product routinely contains all three.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2.  IEC 62304 safety class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2E5"/>
          <w:left w:val="single" w:sz="6" w:space="0" w:color="D7E2E5"/>
          <w:bottom w:val="single" w:sz="6" w:space="0" w:color="D7E2E5"/>
          <w:right w:val="single" w:sz="6" w:space="0" w:color="D7E2E5"/>
          <w:insideH w:val="single" w:sz="6" w:space="0" w:color="D7E2E5"/>
          <w:insideV w:val="single" w:sz="6" w:space="0" w:color="D7E2E5"/>
        </w:tblBorders>
        <w:tblLayout w:type="fixed"/>
        <w:tblW w:w="10800" w:type="dxa"/>
      </w:tblPr>
      <w:tblGrid>
        <w:gridCol w:w="864"/>
        <w:gridCol w:w="3384"/>
        <w:gridCol w:w="6552"/>
      </w:tblGrid>
      <w:tr>
        <w:trPr>
          <w:cantSplit/>
        </w:trPr>
        <w:tc>
          <w:tcPr>
            <w:tcW w:type="dxa" w:w="864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Class</w:t>
            </w:r>
          </w:p>
        </w:tc>
        <w:tc>
          <w:tcPr>
            <w:tcW w:type="dxa" w:w="3384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Can contribute to</w:t>
            </w:r>
          </w:p>
        </w:tc>
        <w:tc>
          <w:tcPr>
            <w:tcW w:type="dxa" w:w="6552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Adds to the process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0E7C7B"/>
                <w:sz w:val="16"/>
              </w:rPr>
              <w:t>A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No injury or damage to health</w:t>
            </w:r>
          </w:p>
        </w:tc>
        <w:tc>
          <w:tcPr>
            <w:tcW w:type="dxa" w:w="65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Planning, requirements, system test, release, plus the continuous processes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C77C1E"/>
                <w:sz w:val="16"/>
              </w:rPr>
              <w:t>B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Non-serious injury</w:t>
            </w:r>
          </w:p>
        </w:tc>
        <w:tc>
          <w:tcPr>
            <w:tcW w:type="dxa" w:w="65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Architectural design, integration testing, unit verification</w:t>
            </w:r>
          </w:p>
        </w:tc>
      </w:tr>
      <w:tr>
        <w:trPr>
          <w:cantSplit/>
        </w:trPr>
        <w:tc>
          <w:tcPr>
            <w:tcW w:type="dxa" w:w="864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A83A3C"/>
                <w:sz w:val="16"/>
              </w:rPr>
              <w:t>C</w:t>
            </w:r>
          </w:p>
        </w:tc>
        <w:tc>
          <w:tcPr>
            <w:tcW w:type="dxa" w:w="338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Death or serious injury</w:t>
            </w:r>
          </w:p>
        </w:tc>
        <w:tc>
          <w:tcPr>
            <w:tcW w:type="dxa" w:w="65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Detailed design to unit level, fullest verification and documentation</w:t>
            </w:r>
          </w:p>
        </w:tc>
      </w:tr>
    </w:tbl>
    <w:p>
      <w:pPr>
        <w:spacing w:after="60"/>
      </w:pPr>
      <w:r>
        <w:rPr>
          <w:rFonts w:ascii="Calibri" w:hAnsi="Calibri"/>
          <w:b/>
          <w:i w:val="0"/>
          <w:color w:val="A83A3C"/>
          <w:sz w:val="17"/>
        </w:rPr>
        <w:t>Classify BEFORE risk controls. Crediting your own mitigations to argue a lower class is circular. Segregation to a lower class is legitimate only where the architecture genuinely prevents interference — and is documented and verified.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3.  FDA documentation level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2E5"/>
          <w:left w:val="single" w:sz="6" w:space="0" w:color="D7E2E5"/>
          <w:bottom w:val="single" w:sz="6" w:space="0" w:color="D7E2E5"/>
          <w:right w:val="single" w:sz="6" w:space="0" w:color="D7E2E5"/>
          <w:insideH w:val="single" w:sz="6" w:space="0" w:color="D7E2E5"/>
          <w:insideV w:val="single" w:sz="6" w:space="0" w:color="D7E2E5"/>
        </w:tblBorders>
        <w:tblLayout w:type="fixed"/>
        <w:tblW w:w="10800" w:type="dxa"/>
      </w:tblPr>
      <w:tblGrid>
        <w:gridCol w:w="5400"/>
        <w:gridCol w:w="5400"/>
      </w:tblGrid>
      <w:tr>
        <w:trPr>
          <w:cantSplit/>
        </w:trPr>
        <w:tc>
          <w:tcPr>
            <w:tcW w:type="dxa" w:w="5400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ENHANCED — if ANY is true</w:t>
            </w:r>
          </w:p>
        </w:tc>
        <w:tc>
          <w:tcPr>
            <w:tcW w:type="dxa" w:w="5400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BASIC — everything else</w:t>
            </w:r>
          </w:p>
        </w:tc>
      </w:tr>
      <w:tr>
        <w:trPr>
          <w:cantSplit/>
        </w:trPr>
        <w:tc>
          <w:tcPr>
            <w:tcW w:type="dxa" w:w="5400"/>
            <w:shd w:val="clear" w:color="auto" w:fill="FB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·  Constituent part of a combination product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·  Intended to test blood donations for transfusion-transmitted infections or determine donor/recipient compatibility; or blood establishment computer software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·  Class III device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·  A failure or latent flaw could present a probable risk of death or serious injury — to a patient, user or anyone else — assessed BEFORE risk controls</w:t>
            </w:r>
          </w:p>
        </w:tc>
        <w:tc>
          <w:tcPr>
            <w:tcW w:type="dxa" w:w="5400"/>
            <w:shd w:val="clear" w:color="auto" w:fill="EAF3F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Basic is the default, not a concession.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It still requires a real package: description, risk file, requirements, architecture, development environment, V&amp;V summary, unresolved anomalies.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Enhanced adds depth, not new categories.</w:t>
            </w:r>
          </w:p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The level applies per software function — one submission can contain both.</w:t>
            </w:r>
          </w:p>
        </w:tc>
      </w:tr>
    </w:tbl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4.  Is it a cyber device under 524B?</w:t>
      </w:r>
    </w:p>
    <w:p>
      <w:pPr>
        <w:spacing w:after="60"/>
      </w:pPr>
      <w:r>
        <w:rPr>
          <w:rFonts w:ascii="Calibri" w:hAnsi="Calibri"/>
          <w:b w:val="0"/>
          <w:i w:val="0"/>
          <w:color w:val="22333B"/>
          <w:sz w:val="17"/>
        </w:rPr>
        <w:t>Broadly: includes software validated, installed or authorised by the sponsor  +  has the ABILITY to connect to the internet  +  has technological characteristics that could be vulnerable. Ability, not intention — a service port or a disabled radio still counts.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Requirements test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CFDFDE"/>
          <w:left w:val="single" w:sz="6" w:space="0" w:color="CFDFDE"/>
          <w:bottom w:val="single" w:sz="6" w:space="0" w:color="CFDFDE"/>
          <w:right w:val="single" w:sz="6" w:space="0" w:color="CFDFDE"/>
          <w:insideH w:val="single" w:sz="6" w:space="0" w:color="CFDFDE"/>
          <w:insideV w:val="single" w:sz="6" w:space="0" w:color="CFDFDE"/>
        </w:tblBorders>
        <w:tblLayout w:type="fixed"/>
        <w:tblW w:w="10800" w:type="dxa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EAF3F2"/>
          </w:tcPr>
          <w:p>
            <w:pPr>
              <w:spacing w:after="60" w:before="80"/>
            </w:pPr>
            <w:r/>
            <w:r>
              <w:rPr>
                <w:rFonts w:ascii="Calibri" w:hAnsi="Calibri"/>
                <w:color w:val="22333B"/>
                <w:sz w:val="17"/>
              </w:rPr>
              <w:t>Could two competent engineers, working independently from this requirement, build things that both pass and behave differently in a clinical setting? If yes, it is not a requirement yet. “Promptly”, “securely”, “reliably” and “robustly” are not requirements — decompose or delete.</w:t>
            </w:r>
          </w:p>
        </w:tc>
      </w:tr>
    </w:tbl>
    <w:p>
      <w:pPr>
        <w:spacing w:after="100" w:before="0" w:line="240" w:lineRule="auto"/>
      </w:pPr>
      <w:r>
        <w:rPr>
          <w:sz w:val="2"/>
        </w:rPr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Traceability chain</w:t>
      </w:r>
    </w:p>
    <w:p>
      <w:pPr>
        <w:spacing w:after="40"/>
      </w:pPr>
      <w:r>
        <w:rPr>
          <w:rFonts w:ascii="Calibri" w:hAnsi="Calibri"/>
          <w:b/>
          <w:i w:val="0"/>
          <w:color w:val="1B3A4B"/>
          <w:sz w:val="19"/>
        </w:rPr>
        <w:t>User need  →  System requirement  →  Software requirement  →  Design element  →  Test case  →  Result</w:t>
      </w:r>
    </w:p>
    <w:p>
      <w:pPr>
        <w:spacing w:after="40"/>
      </w:pPr>
      <w:r>
        <w:rPr>
          <w:rFonts w:ascii="Calibri" w:hAnsi="Calibri"/>
          <w:b w:val="0"/>
          <w:i w:val="0"/>
          <w:color w:val="22333B"/>
          <w:sz w:val="17"/>
        </w:rPr>
        <w:t>Forwards: every user need reaches a verified test.  Backwards: every test and every piece of functionality traces to a requirement — orphans are undocumented features, which are undocumented risk. Risk controls attach to the chain: verify implementation AND effectiveness, separately.</w:t>
      </w:r>
    </w:p>
    <w:p>
      <w:pPr>
        <w:pageBreakBefore/>
        <w:spacing w:after="40" w:before="0"/>
      </w:pPr>
      <w:r>
        <w:rPr>
          <w:rFonts w:ascii="Calibri" w:hAnsi="Calibri"/>
          <w:b/>
          <w:color w:val="A83A3C"/>
          <w:sz w:val="17"/>
          <w:spacing w:val="30"/>
        </w:rPr>
        <w:t>QUICK REFERENCE  ·  SIDE 2  ·  CYBERSECURITY</w:t>
      </w:r>
    </w:p>
    <w:p>
      <w:pPr>
        <w:spacing w:after="40" w:before="0"/>
      </w:pPr>
      <w:r>
        <w:rPr>
          <w:rFonts w:ascii="Cambria" w:hAnsi="Cambria"/>
          <w:b/>
          <w:color w:val="1B3A4B"/>
          <w:sz w:val="30"/>
        </w:rPr>
        <w:t>Securing and maintaining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Section 524B — four statutory obligations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2E5"/>
          <w:left w:val="single" w:sz="6" w:space="0" w:color="D7E2E5"/>
          <w:bottom w:val="single" w:sz="6" w:space="0" w:color="D7E2E5"/>
          <w:right w:val="single" w:sz="6" w:space="0" w:color="D7E2E5"/>
          <w:insideH w:val="single" w:sz="6" w:space="0" w:color="D7E2E5"/>
          <w:insideV w:val="single" w:sz="6" w:space="0" w:color="D7E2E5"/>
        </w:tblBorders>
        <w:tblLayout w:type="fixed"/>
        <w:tblW w:w="10800" w:type="dxa"/>
      </w:tblPr>
      <w:tblGrid>
        <w:gridCol w:w="503"/>
        <w:gridCol w:w="10296"/>
      </w:tblGrid>
      <w:tr>
        <w:trPr>
          <w:cantSplit/>
        </w:trPr>
        <w:tc>
          <w:tcPr>
            <w:tcW w:type="dxa" w:w="504"/>
            <w:shd w:val="clear" w:color="auto" w:fill="FB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1</w:t>
            </w:r>
          </w:p>
        </w:tc>
        <w:tc>
          <w:tcPr>
            <w:tcW w:type="dxa" w:w="10296"/>
            <w:shd w:val="clear" w:color="auto" w:fill="FB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Plan to monitor, identify and address postmarket vulnerabilities and exploits, including coordinated vulnerability disclosure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B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2</w:t>
            </w:r>
          </w:p>
        </w:tc>
        <w:tc>
          <w:tcPr>
            <w:tcW w:type="dxa" w:w="10296"/>
            <w:shd w:val="clear" w:color="auto" w:fill="FB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Processes giving reasonable assurance the device and related systems are cybersecure; make updates and patches available on a reasonably justified regular cycle, and out-of-cycle for critical vulnerabilities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B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3</w:t>
            </w:r>
          </w:p>
        </w:tc>
        <w:tc>
          <w:tcPr>
            <w:tcW w:type="dxa" w:w="10296"/>
            <w:shd w:val="clear" w:color="auto" w:fill="FB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Provide an SBOM covering commercial, open-source and off-the-shelf components</w:t>
            </w:r>
          </w:p>
        </w:tc>
      </w:tr>
      <w:tr>
        <w:trPr>
          <w:cantSplit/>
        </w:trPr>
        <w:tc>
          <w:tcPr>
            <w:tcW w:type="dxa" w:w="504"/>
            <w:shd w:val="clear" w:color="auto" w:fill="FB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4</w:t>
            </w:r>
          </w:p>
        </w:tc>
        <w:tc>
          <w:tcPr>
            <w:tcW w:type="dxa" w:w="10296"/>
            <w:shd w:val="clear" w:color="auto" w:fill="FBEDED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5"/>
              </w:rPr>
              <w:t>Comply with such other requirements as FDA may establish by regulation</w:t>
            </w:r>
          </w:p>
        </w:tc>
      </w:tr>
    </w:tbl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Threat modelling starter — four questions, one afternoon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2E5"/>
          <w:left w:val="single" w:sz="6" w:space="0" w:color="D7E2E5"/>
          <w:bottom w:val="single" w:sz="6" w:space="0" w:color="D7E2E5"/>
          <w:right w:val="single" w:sz="6" w:space="0" w:color="D7E2E5"/>
          <w:insideH w:val="single" w:sz="6" w:space="0" w:color="D7E2E5"/>
          <w:insideV w:val="single" w:sz="6" w:space="0" w:color="D7E2E5"/>
        </w:tblBorders>
        <w:tblLayout w:type="fixed"/>
        <w:tblW w:w="10800" w:type="dxa"/>
      </w:tblPr>
      <w:tblGrid>
        <w:gridCol w:w="503"/>
        <w:gridCol w:w="3744"/>
        <w:gridCol w:w="6552"/>
      </w:tblGrid>
      <w:tr>
        <w:trPr>
          <w:cantSplit/>
        </w:trPr>
        <w:tc>
          <w:tcPr>
            <w:tcW w:type="dxa" w:w="504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#</w:t>
            </w:r>
          </w:p>
        </w:tc>
        <w:tc>
          <w:tcPr>
            <w:tcW w:type="dxa" w:w="3744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Question</w:t>
            </w:r>
          </w:p>
        </w:tc>
        <w:tc>
          <w:tcPr>
            <w:tcW w:type="dxa" w:w="6552"/>
            <w:shd w:val="clear" w:color="auto" w:fill="1B3A4B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FFFFFF"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1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What are we building?</w:t>
            </w:r>
          </w:p>
        </w:tc>
        <w:tc>
          <w:tcPr>
            <w:tcW w:type="dxa" w:w="65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Data flow diagram with trust boundaries drawn explicitly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2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What can go wrong?</w:t>
            </w:r>
          </w:p>
        </w:tc>
        <w:tc>
          <w:tcPr>
            <w:tcW w:type="dxa" w:w="65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STRIDE walked across every element and every boundary crossing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3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What are we doing about it?</w:t>
            </w:r>
          </w:p>
        </w:tc>
        <w:tc>
          <w:tcPr>
            <w:tcW w:type="dxa" w:w="65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Controls, traced to requirements and to tests</w:t>
            </w:r>
          </w:p>
        </w:tc>
      </w:tr>
      <w:tr>
        <w:trPr>
          <w:cantSplit/>
        </w:trPr>
        <w:tc>
          <w:tcPr>
            <w:tcW w:type="dxa" w:w="504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4</w:t>
            </w:r>
          </w:p>
        </w:tc>
        <w:tc>
          <w:tcPr>
            <w:tcW w:type="dxa" w:w="3744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Did we do a good enough job?</w:t>
            </w:r>
          </w:p>
        </w:tc>
        <w:tc>
          <w:tcPr>
            <w:tcW w:type="dxa" w:w="6552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Review, and revisit whenever the architecture changes</w:t>
            </w:r>
          </w:p>
        </w:tc>
      </w:tr>
    </w:tbl>
    <w:p>
      <w:pPr>
        <w:spacing w:after="60"/>
      </w:pPr>
      <w:r>
        <w:rPr>
          <w:rFonts w:ascii="Calibri" w:hAnsi="Calibri"/>
          <w:b w:val="0"/>
          <w:i/>
          <w:color w:val="4E626D"/>
          <w:sz w:val="16"/>
        </w:rPr>
        <w:t>STRIDE:  Spoofing · Tampering · Repudiation · Information disclosure · Denial of service · Elevation of privilege.  In clinical settings denial of service is often the highest patient risk.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Security control baseline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2E5"/>
          <w:left w:val="single" w:sz="6" w:space="0" w:color="D7E2E5"/>
          <w:bottom w:val="single" w:sz="6" w:space="0" w:color="D7E2E5"/>
          <w:right w:val="single" w:sz="6" w:space="0" w:color="D7E2E5"/>
          <w:insideH w:val="single" w:sz="6" w:space="0" w:color="D7E2E5"/>
          <w:insideV w:val="single" w:sz="6" w:space="0" w:color="D7E2E5"/>
        </w:tblBorders>
        <w:tblLayout w:type="fixed"/>
        <w:tblW w:w="10800" w:type="dxa"/>
      </w:tblPr>
      <w:tblGrid>
        <w:gridCol w:w="1900"/>
        <w:gridCol w:w="3499"/>
        <w:gridCol w:w="1900"/>
        <w:gridCol w:w="3499"/>
      </w:tblGrid>
      <w:tr>
        <w:trPr>
          <w:cantSplit/>
        </w:trPr>
        <w:tc>
          <w:tcPr>
            <w:tcW w:type="dxa" w:w="19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Authentication</w:t>
            </w:r>
          </w:p>
        </w:tc>
        <w:tc>
          <w:tcPr>
            <w:tcW w:type="dxa" w:w="349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5"/>
              </w:rPr>
              <w:t>No shared or default credentials; no hardcoded secrets</w:t>
            </w:r>
          </w:p>
        </w:tc>
        <w:tc>
          <w:tcPr>
            <w:tcW w:type="dxa" w:w="19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Confidentiality</w:t>
            </w:r>
          </w:p>
        </w:tc>
        <w:tc>
          <w:tcPr>
            <w:tcW w:type="dxa" w:w="349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5"/>
              </w:rPr>
              <w:t>In transit, at rest, and at end of life — including logs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Authorisation</w:t>
            </w:r>
          </w:p>
        </w:tc>
        <w:tc>
          <w:tcPr>
            <w:tcW w:type="dxa" w:w="349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5"/>
              </w:rPr>
              <w:t>Least privilege, enforced server-side not in the UI</w:t>
            </w:r>
          </w:p>
        </w:tc>
        <w:tc>
          <w:tcPr>
            <w:tcW w:type="dxa" w:w="19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Detection &amp; logging</w:t>
            </w:r>
          </w:p>
        </w:tc>
        <w:tc>
          <w:tcPr>
            <w:tcW w:type="dxa" w:w="349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5"/>
              </w:rPr>
              <w:t>Security events recorded, retained, retrievable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Cryptography</w:t>
            </w:r>
          </w:p>
        </w:tc>
        <w:tc>
          <w:tcPr>
            <w:tcW w:type="dxa" w:w="349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5"/>
              </w:rPr>
              <w:t>Current algorithms; keys rotatable across service life</w:t>
            </w:r>
          </w:p>
        </w:tc>
        <w:tc>
          <w:tcPr>
            <w:tcW w:type="dxa" w:w="19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Resiliency &amp; recovery</w:t>
            </w:r>
          </w:p>
        </w:tc>
        <w:tc>
          <w:tcPr>
            <w:tcW w:type="dxa" w:w="349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5"/>
              </w:rPr>
              <w:t>Maintain or safely degrade; recover to known-good</w:t>
            </w:r>
          </w:p>
        </w:tc>
      </w:tr>
      <w:tr>
        <w:trPr>
          <w:cantSplit/>
        </w:trPr>
        <w:tc>
          <w:tcPr>
            <w:tcW w:type="dxa" w:w="19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Code &amp; data integrity</w:t>
            </w:r>
          </w:p>
        </w:tc>
        <w:tc>
          <w:tcPr>
            <w:tcW w:type="dxa" w:w="349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5"/>
              </w:rPr>
              <w:t>Signed firmware, verified boot, protected config</w:t>
            </w:r>
          </w:p>
        </w:tc>
        <w:tc>
          <w:tcPr>
            <w:tcW w:type="dxa" w:w="1901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Secure updates</w:t>
            </w:r>
          </w:p>
        </w:tc>
        <w:tc>
          <w:tcPr>
            <w:tcW w:type="dxa" w:w="3499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5"/>
              </w:rPr>
              <w:t>Authenticated, integrity-checked, rollback-capable</w:t>
            </w:r>
          </w:p>
        </w:tc>
      </w:tr>
    </w:tbl>
    <w:p>
      <w:pPr>
        <w:spacing w:after="60"/>
      </w:pPr>
      <w:r>
        <w:rPr>
          <w:rFonts w:ascii="Calibri" w:hAnsi="Calibri"/>
          <w:b w:val="0"/>
          <w:i/>
          <w:color w:val="4E626D"/>
          <w:sz w:val="16"/>
        </w:rPr>
        <w:t>Design each against your threat model. A threat with no control is the finding; a control with no threat is cost without security.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The four architecture views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7E2E5"/>
          <w:left w:val="single" w:sz="6" w:space="0" w:color="D7E2E5"/>
          <w:bottom w:val="single" w:sz="6" w:space="0" w:color="D7E2E5"/>
          <w:right w:val="single" w:sz="6" w:space="0" w:color="D7E2E5"/>
          <w:insideH w:val="single" w:sz="6" w:space="0" w:color="D7E2E5"/>
          <w:insideV w:val="single" w:sz="6" w:space="0" w:color="D7E2E5"/>
        </w:tblBorders>
        <w:tblLayout w:type="fixed"/>
        <w:tblW w:w="10800" w:type="dxa"/>
      </w:tblPr>
      <w:tblGrid>
        <w:gridCol w:w="2160"/>
        <w:gridCol w:w="8640"/>
      </w:tblGrid>
      <w:tr>
        <w:trPr>
          <w:cantSplit/>
        </w:trP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Global system</w:t>
            </w:r>
          </w:p>
        </w:tc>
        <w:tc>
          <w:tcPr>
            <w:tcW w:type="dxa" w:w="86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Everything it connects to — including your own update servers, telemetry and service tools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Multi-patient harm</w:t>
            </w:r>
          </w:p>
        </w:tc>
        <w:tc>
          <w:tcPr>
            <w:tcW w:type="dxa" w:w="86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A83A3C"/>
                <w:sz w:val="16"/>
              </w:rPr>
              <w:t>Largest number of patients one attack could affect? Anything shared fleet-wide is a pathway.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Updateability</w:t>
            </w:r>
          </w:p>
        </w:tc>
        <w:tc>
          <w:tcPr>
            <w:tcW w:type="dxa" w:w="86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How would you ship an emergency fix? What if an update is interrupted at 60%?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40" w:before="40"/>
            </w:pPr>
            <w:r/>
            <w:r>
              <w:rPr>
                <w:rFonts w:ascii="Calibri" w:hAnsi="Calibri"/>
                <w:b/>
                <w:i w:val="0"/>
                <w:color w:val="22333B"/>
                <w:sz w:val="16"/>
              </w:rPr>
              <w:t>Security use cases</w:t>
            </w:r>
          </w:p>
        </w:tc>
        <w:tc>
          <w:tcPr>
            <w:tcW w:type="dxa" w:w="8640"/>
          </w:tcPr>
          <w:p>
            <w:pPr>
              <w:spacing w:after="40" w:before="40"/>
            </w:pPr>
            <w:r/>
            <w:r>
              <w:rPr>
                <w:rFonts w:ascii="Calibri" w:hAnsi="Calibri"/>
                <w:b w:val="0"/>
                <w:i w:val="0"/>
                <w:color w:val="22333B"/>
                <w:sz w:val="16"/>
              </w:rPr>
              <w:t>Login, update, service access, remote support, decommissioning — controls fail in sequence</w:t>
            </w:r>
          </w:p>
        </w:tc>
      </w:tr>
    </w:tbl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SBOM minimum content</w:t>
      </w:r>
    </w:p>
    <w:p>
      <w:pPr>
        <w:spacing w:after="40"/>
      </w:pPr>
      <w:r>
        <w:rPr>
          <w:rFonts w:ascii="Calibri" w:hAnsi="Calibri"/>
          <w:b w:val="0"/>
          <w:i w:val="0"/>
          <w:color w:val="22333B"/>
          <w:sz w:val="16"/>
        </w:rPr>
        <w:t>Supplier  ·  component name  ·  version  ·  unique identifiers  ·  dependency relationships  ·  author of the SBOM data  ·  timestamp  —  plus, expected by FDA:  level of supplier support  ·  end-of-support and end-of-life dates.</w:t>
      </w:r>
    </w:p>
    <w:p>
      <w:pPr>
        <w:spacing w:after="40"/>
      </w:pPr>
      <w:r>
        <w:rPr>
          <w:rFonts w:ascii="Calibri" w:hAnsi="Calibri"/>
          <w:b w:val="0"/>
          <w:i/>
          <w:color w:val="A83A3C"/>
          <w:sz w:val="16"/>
        </w:rPr>
        <w:t>Machine-readable (SPDX or CycloneDX), generated from the build, including transitive dependencies. A PDF of a table is not an SBOM.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Vulnerability response — the loop</w:t>
      </w:r>
    </w:p>
    <w:p>
      <w:pPr>
        <w:spacing w:after="40"/>
      </w:pPr>
      <w:r>
        <w:rPr>
          <w:rFonts w:ascii="Calibri" w:hAnsi="Calibri"/>
          <w:b w:val="0"/>
          <w:i w:val="0"/>
          <w:color w:val="22333B"/>
          <w:sz w:val="17"/>
        </w:rPr>
        <w:t>Monitor  →  Triage (present, reachable, exploitable in YOUR product?)  →  Assess (CVSS as an input; clinical consequence as the output)  →  Decide (controlled or uncontrolled? patch now, on cycle, compensating control, or no action)  →  Act and communicate (deploy, tell customers, publish VEX).  Every match gets a recorded disposition — including “not exploitable”, with the reason.</w:t>
      </w:r>
    </w:p>
    <w:p>
      <w:pPr>
        <w:keepNext/>
        <w:spacing w:after="40" w:before="60"/>
      </w:pPr>
      <w:r>
        <w:rPr>
          <w:rFonts w:ascii="Calibri" w:hAnsi="Calibri"/>
          <w:b/>
          <w:color w:val="0E7C7B"/>
          <w:sz w:val="21"/>
        </w:rPr>
        <w:t>Four kinds of security testing</w:t>
      </w:r>
    </w:p>
    <w:p>
      <w:pPr>
        <w:spacing w:after="40"/>
      </w:pPr>
      <w:r>
        <w:rPr>
          <w:rFonts w:ascii="Calibri" w:hAnsi="Calibri"/>
          <w:b/>
          <w:i w:val="0"/>
          <w:color w:val="1B3A4B"/>
          <w:sz w:val="16"/>
        </w:rPr>
        <w:t>Requirements</w:t>
      </w:r>
      <w:r>
        <w:rPr>
          <w:rFonts w:ascii="Calibri" w:hAnsi="Calibri"/>
          <w:b w:val="0"/>
          <w:i w:val="0"/>
          <w:color w:val="22333B"/>
          <w:sz w:val="16"/>
        </w:rPr>
        <w:t xml:space="preserve"> — does each security requirement behave as specified, including correctly refusing?   </w:t>
      </w:r>
      <w:r>
        <w:rPr>
          <w:rFonts w:ascii="Calibri" w:hAnsi="Calibri"/>
          <w:b/>
          <w:i w:val="0"/>
          <w:color w:val="1B3A4B"/>
          <w:sz w:val="16"/>
        </w:rPr>
        <w:t>Threat mitigation</w:t>
      </w:r>
      <w:r>
        <w:rPr>
          <w:rFonts w:ascii="Calibri" w:hAnsi="Calibri"/>
          <w:b w:val="0"/>
          <w:i w:val="0"/>
          <w:color w:val="22333B"/>
          <w:sz w:val="16"/>
        </w:rPr>
        <w:t xml:space="preserve"> — do the controls defeat the specific attacks in your threat model, in the assembled system?   </w:t>
      </w:r>
      <w:r>
        <w:rPr>
          <w:rFonts w:ascii="Calibri" w:hAnsi="Calibri"/>
          <w:b/>
          <w:i w:val="0"/>
          <w:color w:val="1B3A4B"/>
          <w:sz w:val="16"/>
        </w:rPr>
        <w:t>Vulnerability</w:t>
      </w:r>
      <w:r>
        <w:rPr>
          <w:rFonts w:ascii="Calibri" w:hAnsi="Calibri"/>
          <w:b w:val="0"/>
          <w:i w:val="0"/>
          <w:color w:val="22333B"/>
          <w:sz w:val="16"/>
        </w:rPr>
        <w:t xml:space="preserve"> — abuse cases, malformed input, fuzzing, attack surface analysis, chaining, SAST/DAST, known-vuln scans.  </w:t>
      </w:r>
      <w:r>
        <w:rPr>
          <w:rFonts w:ascii="Calibri" w:hAnsi="Calibri"/>
          <w:b/>
          <w:i w:val="0"/>
          <w:color w:val="1B3A4B"/>
          <w:sz w:val="16"/>
        </w:rPr>
        <w:t>Penetration</w:t>
      </w:r>
      <w:r>
        <w:rPr>
          <w:rFonts w:ascii="Calibri" w:hAnsi="Calibri"/>
          <w:b w:val="0"/>
          <w:i w:val="0"/>
          <w:color w:val="22333B"/>
          <w:sz w:val="16"/>
        </w:rPr>
        <w:t xml:space="preserve"> — skilled adversarial testing, defined scope, every finding dispositioned.</w:t>
      </w:r>
    </w:p>
    <w:p>
      <w:pPr>
        <w:spacing w:after="40"/>
      </w:pPr>
      <w:r>
        <w:rPr>
          <w:rFonts w:ascii="Calibri" w:hAnsi="Calibri"/>
          <w:b/>
          <w:i w:val="0"/>
          <w:color w:val="A83A3C"/>
          <w:sz w:val="16"/>
        </w:rPr>
        <w:t>A penetration test report with no remediation record is worse than no test: you documented that you knew.</w:t>
      </w:r>
    </w:p>
    <w:sectPr w:rsidR="00FC693F" w:rsidRPr="0006063C" w:rsidSect="00034616"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Calibri" w:hAnsi="Calibri" w:cs="Calibri"/>
      <w:color w:val="22333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