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A8730F"/>
          <w:spacing w:val="40"/>
          <w:sz w:val="20"/>
          <w:szCs w:val="20"/>
        </w:rPr>
        <w:t xml:space="preserve">MEDICAL DEVICE SEMINAR  ·  PARTICIPANT HANDOUT</w:t>
      </w:r>
    </w:p>
    <w:p>
      <w:pPr>
        <w:spacing w:after="120"/>
      </w:pPr>
      <w:r>
        <w:rPr>
          <w:rFonts w:ascii="Cambria" w:cs="Cambria" w:eastAsia="Cambria" w:hAnsi="Cambria"/>
          <w:b/>
          <w:bCs/>
          <w:color w:val="0F2A4A"/>
          <w:sz w:val="52"/>
          <w:szCs w:val="52"/>
        </w:rPr>
        <w:t xml:space="preserve">QMSR Transition</w:t>
      </w:r>
    </w:p>
    <w:p>
      <w:pPr>
        <w:spacing w:after="240"/>
      </w:pPr>
      <w:r>
        <w:rPr>
          <w:color w:val="5A6B7B"/>
          <w:sz w:val="26"/>
          <w:szCs w:val="26"/>
        </w:rPr>
        <w:t xml:space="preserve">A strategic roadmap for shifting from FDA Part 820 to the Quality Management System Regulation</w:t>
      </w:r>
    </w:p>
    <w:p>
      <w:pPr>
        <w:spacing w:after="60"/>
      </w:pPr>
      <w:r>
        <w:rPr>
          <w:b/>
          <w:bCs/>
          <w:i w:val="false"/>
          <w:iCs w:val="false"/>
          <w:sz w:val="21"/>
          <w:szCs w:val="21"/>
        </w:rPr>
        <w:t xml:space="preserve">Format:</w:t>
      </w:r>
      <w:r>
        <w:rPr>
          <w:b w:val="false"/>
          <w:bCs w:val="false"/>
          <w:i w:val="false"/>
          <w:iCs w:val="false"/>
          <w:sz w:val="21"/>
          <w:szCs w:val="21"/>
        </w:rPr>
        <w:t xml:space="preserve"> 90-minute seminar with table exercises</w:t>
      </w:r>
    </w:p>
    <w:p>
      <w:pPr>
        <w:spacing w:after="60"/>
      </w:pPr>
      <w:r>
        <w:rPr>
          <w:b/>
          <w:bCs/>
          <w:i w:val="false"/>
          <w:iCs w:val="false"/>
          <w:sz w:val="21"/>
          <w:szCs w:val="21"/>
        </w:rPr>
        <w:t xml:space="preserve">Presented by:</w:t>
      </w:r>
      <w:r>
        <w:rPr>
          <w:b w:val="false"/>
          <w:bCs w:val="false"/>
          <w:i w:val="false"/>
          <w:iCs w:val="false"/>
          <w:sz w:val="21"/>
          <w:szCs w:val="21"/>
        </w:rPr>
        <w:t xml:space="preserve"> Elder Consulting, LLC   ·   </w:t>
      </w:r>
      <w:r>
        <w:rPr>
          <w:b/>
          <w:bCs/>
          <w:i w:val="false"/>
          <w:iCs w:val="false"/>
          <w:sz w:val="21"/>
          <w:szCs w:val="21"/>
        </w:rPr>
        <w:t xml:space="preserve">Speaker:</w:t>
      </w:r>
      <w:r>
        <w:rPr>
          <w:b w:val="false"/>
          <w:bCs w:val="false"/>
          <w:i w:val="false"/>
          <w:iCs w:val="false"/>
          <w:sz w:val="21"/>
          <w:szCs w:val="21"/>
        </w:rPr>
        <w:t xml:space="preserve"> ____________________   ·   </w:t>
      </w:r>
      <w:r>
        <w:rPr>
          <w:b/>
          <w:bCs/>
          <w:i w:val="false"/>
          <w:iCs w:val="false"/>
          <w:sz w:val="21"/>
          <w:szCs w:val="21"/>
        </w:rPr>
        <w:t xml:space="preserve">Date:</w:t>
      </w:r>
      <w:r>
        <w:rPr>
          <w:b w:val="false"/>
          <w:bCs w:val="false"/>
          <w:i w:val="false"/>
          <w:iCs w:val="false"/>
          <w:sz w:val="21"/>
          <w:szCs w:val="21"/>
        </w:rPr>
        <w:t xml:space="preserve"> ____________</w:t>
      </w:r>
    </w:p>
    <w:p>
      <w:pPr>
        <w:spacing w:after="60"/>
      </w:pPr>
      <w:r>
        <w:rPr>
          <w:b/>
          <w:bCs/>
          <w:i w:val="false"/>
          <w:iCs w:val="false"/>
          <w:sz w:val="21"/>
          <w:szCs w:val="21"/>
        </w:rPr>
        <w:t xml:space="preserve">Companion documents:</w:t>
      </w:r>
      <w:r>
        <w:rPr>
          <w:b w:val="false"/>
          <w:bCs w:val="false"/>
          <w:i w:val="false"/>
          <w:iCs w:val="false"/>
          <w:sz w:val="21"/>
          <w:szCs w:val="21"/>
        </w:rPr>
        <w:t xml:space="preserve"> Workshop Exercise Pack; Gap Assessment Workbook (spreadsheet)</w:t>
      </w:r>
    </w:p>
    <w:p>
      <w:pPr>
        <w:pBdr>
          <w:bottom w:val="single" w:color="A8730F" w:sz="8" w:space="8"/>
        </w:pBdr>
        <w:spacing w:after="240"/>
      </w:pPr>
      <w:r>
        <w:t xml:space="preserve"/>
      </w:r>
    </w:p>
    <w:p>
      <w:pPr>
        <w:pStyle w:val="Heading1"/>
      </w:pPr>
      <w:r>
        <w:t xml:space="preserve">1. About this session</w:t>
      </w:r>
    </w:p>
    <w:p>
      <w:pPr>
        <w:spacing w:after="120" w:before="0"/>
      </w:pPr>
      <w:r>
        <w:rPr>
          <w:b w:val="false"/>
          <w:bCs w:val="false"/>
          <w:i w:val="false"/>
          <w:iCs w:val="false"/>
          <w:sz w:val="21"/>
          <w:szCs w:val="21"/>
        </w:rPr>
        <w:t xml:space="preserve">The Quality Management System Regulation took effect on 2 February 2026. It replaced the Quality System Regulation, incorporated ISO 13485:2016 by reference, and reduced Part 820 to six operative sections. On the same day FDA withdrew the Quality System Inspection Technique and began inspecting under Compliance Program 7382.850. FDA has said the transition period has ended and that it will enforce the QMSR; there is no phase-in and no announced enforcement discretion.</w:t>
      </w:r>
    </w:p>
    <w:p>
      <w:pPr>
        <w:spacing w:after="120" w:before="0"/>
      </w:pPr>
      <w:r>
        <w:rPr>
          <w:b w:val="false"/>
          <w:bCs w:val="false"/>
          <w:i w:val="false"/>
          <w:iCs w:val="false"/>
          <w:sz w:val="21"/>
          <w:szCs w:val="21"/>
        </w:rPr>
        <w:t xml:space="preserve">This seminar is therefore not about what is coming. It is about finishing the transition where it is unfinished and proving it on the first inspection under the new process. The first Warning Letters from QMSR inspections were issued in May and July 2026, and every one of them cites ISO 13485:2016 Clause 7.1, risk management in product realization.</w:t>
      </w:r>
    </w:p>
    <w:p>
      <w:pPr>
        <w:pStyle w:val="Heading3"/>
      </w:pPr>
      <w:r>
        <w:t xml:space="preserve">By the end of the session you will be able to</w:t>
      </w:r>
    </w:p>
    <w:p>
      <w:pPr>
        <w:pStyle w:val="ListParagraph"/>
        <w:numPr>
          <w:ilvl w:val="0"/>
          <w:numId w:val="2"/>
        </w:numPr>
        <w:spacing w:after="60"/>
      </w:pPr>
      <w:r>
        <w:rPr>
          <w:b w:val="false"/>
          <w:bCs w:val="false"/>
          <w:i w:val="false"/>
          <w:iCs w:val="false"/>
          <w:sz w:val="21"/>
          <w:szCs w:val="21"/>
        </w:rPr>
        <w:t xml:space="preserve">State precisely what changed in the regulation, what did not, and which widely repeated claims are wrong.</w:t>
      </w:r>
    </w:p>
    <w:p>
      <w:pPr>
        <w:pStyle w:val="ListParagraph"/>
        <w:numPr>
          <w:ilvl w:val="0"/>
          <w:numId w:val="2"/>
        </w:numPr>
        <w:spacing w:after="60"/>
      </w:pPr>
      <w:r>
        <w:rPr>
          <w:b w:val="false"/>
          <w:bCs w:val="false"/>
          <w:i w:val="false"/>
          <w:iCs w:val="false"/>
          <w:sz w:val="21"/>
          <w:szCs w:val="21"/>
        </w:rPr>
        <w:t xml:space="preserve">Apply the four FDA-specific provisions that ISO 13485 alone does not satisfy: the §820.10 hooks, §820.35 records, §820.45 labeling and packaging controls, and the §820.3 definitions.</w:t>
      </w:r>
    </w:p>
    <w:p>
      <w:pPr>
        <w:pStyle w:val="ListParagraph"/>
        <w:numPr>
          <w:ilvl w:val="0"/>
          <w:numId w:val="2"/>
        </w:numPr>
        <w:spacing w:after="60"/>
      </w:pPr>
      <w:r>
        <w:rPr>
          <w:b w:val="false"/>
          <w:bCs w:val="false"/>
          <w:i w:val="false"/>
          <w:iCs w:val="false"/>
          <w:sz w:val="21"/>
          <w:szCs w:val="21"/>
        </w:rPr>
        <w:t xml:space="preserve">Describe how an inspection now runs: six QMS Areas, four Other Applicable FDA Requirements, two inspection models, no sampling tables, risk management as the roadmap.</w:t>
      </w:r>
    </w:p>
    <w:p>
      <w:pPr>
        <w:pStyle w:val="ListParagraph"/>
        <w:numPr>
          <w:ilvl w:val="0"/>
          <w:numId w:val="2"/>
        </w:numPr>
        <w:spacing w:after="60"/>
      </w:pPr>
      <w:r>
        <w:rPr>
          <w:b w:val="false"/>
          <w:bCs w:val="false"/>
          <w:i w:val="false"/>
          <w:iCs w:val="false"/>
          <w:sz w:val="21"/>
          <w:szCs w:val="21"/>
        </w:rPr>
        <w:t xml:space="preserve">Write management review, internal audit and supplier audit records knowing FDA may read them.</w:t>
      </w:r>
    </w:p>
    <w:p>
      <w:pPr>
        <w:pStyle w:val="ListParagraph"/>
        <w:numPr>
          <w:ilvl w:val="0"/>
          <w:numId w:val="2"/>
        </w:numPr>
        <w:spacing w:after="60"/>
      </w:pPr>
      <w:r>
        <w:rPr>
          <w:b w:val="false"/>
          <w:bCs w:val="false"/>
          <w:i w:val="false"/>
          <w:iCs w:val="false"/>
          <w:sz w:val="21"/>
          <w:szCs w:val="21"/>
        </w:rPr>
        <w:t xml:space="preserve">Run an exposure-weighted, evidence-based gap assessment instead of a flat crosswalk.</w:t>
      </w:r>
    </w:p>
    <w:p>
      <w:pPr>
        <w:pStyle w:val="ListParagraph"/>
        <w:numPr>
          <w:ilvl w:val="0"/>
          <w:numId w:val="2"/>
        </w:numPr>
        <w:spacing w:after="60"/>
      </w:pPr>
      <w:r>
        <w:rPr>
          <w:b w:val="false"/>
          <w:bCs w:val="false"/>
          <w:i w:val="false"/>
          <w:iCs w:val="false"/>
          <w:sz w:val="21"/>
          <w:szCs w:val="21"/>
        </w:rPr>
        <w:t xml:space="preserve">Build a phased roadmap with deliverables, exit criteria and five metrics for management review.</w:t>
      </w:r>
    </w:p>
    <w:p>
      <w:pPr>
        <w:pStyle w:val="Heading3"/>
      </w:pPr>
      <w:r>
        <w:t xml:space="preserve">Agenda</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700"/>
        <w:gridCol w:w="8380"/>
      </w:tblGrid>
      <w:tr>
        <w:trPr>
          <w:tblHeader/>
        </w:trPr>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Time</w:t>
            </w:r>
          </w:p>
        </w:tc>
        <w:tc>
          <w:tcPr>
            <w:tcW w:type="dxa" w:w="83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Segment</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0:00 – 0:06</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Welcome, objectives, room poll</w:t>
            </w:r>
          </w:p>
        </w:tc>
      </w:tr>
      <w:t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0:06 – 0:20</w:t>
            </w:r>
          </w:p>
        </w:tc>
        <w:tc>
          <w:tcPr>
            <w:tcW w:type="dxa" w:w="8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What changed on 2 February 2026, and what did not</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0:20 – 0:30</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four load-bearing FDA-specific provisions</w:t>
            </w:r>
          </w:p>
        </w:tc>
      </w:tr>
      <w:t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0:30 – 0:45</w:t>
            </w:r>
          </w:p>
        </w:tc>
        <w:tc>
          <w:tcPr>
            <w:tcW w:type="dxa" w:w="8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inspection changed more than the regulation: Compliance Program 7382.850</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0:45 – 0:55</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Exercise A: red-team the records, write the observation</w:t>
            </w:r>
          </w:p>
        </w:tc>
      </w:tr>
      <w:t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0:55 – 1:05</w:t>
            </w:r>
          </w:p>
        </w:tc>
        <w:tc>
          <w:tcPr>
            <w:tcW w:type="dxa" w:w="8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From crosswalk to gap assessment</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1:05 – 1:15</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Exercise B: gap triage under time pressure</w:t>
            </w:r>
          </w:p>
        </w:tc>
      </w:tr>
      <w:t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1:15 – 1:23</w:t>
            </w:r>
          </w:p>
        </w:tc>
        <w:tc>
          <w:tcPr>
            <w:tcW w:type="dxa" w:w="8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roadmap: five phases, two tracks, metrics</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1:23 – 1:30</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Exercise C: 90-day plan, takeaways, Q&amp;A</w:t>
            </w:r>
          </w:p>
        </w:tc>
      </w:tr>
    </w:tbl>
    <w:p>
      <w:pPr>
        <w:spacing w:after="120" w:before="0"/>
      </w:pPr>
      <w:r>
        <w:rPr>
          <w:b w:val="false"/>
          <w:bCs w:val="false"/>
          <w:i/>
          <w:iCs/>
          <w:color w:val="5A6B7B"/>
          <w:sz w:val="17"/>
          <w:szCs w:val="17"/>
        </w:rPr>
        <w:t xml:space="preserve">This handout states dates, citations and quotations as verified in September 2026. Regulations, guidance and FDA web content change; verify against the primary sources before relying on any statement here.</w:t>
      </w:r>
    </w:p>
    <w:p>
      <w:pPr>
        <w:pStyle w:val="Heading1"/>
      </w:pPr>
      <w:r>
        <w:t xml:space="preserve">2. What changed on 2 February 2026</w:t>
      </w:r>
    </w:p>
    <w:p>
      <w:pPr>
        <w:pStyle w:val="Heading2"/>
      </w:pPr>
      <w:r>
        <w:t xml:space="preserve">2.1 Timeline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900"/>
        <w:gridCol w:w="8180"/>
      </w:tblGrid>
      <w:tr>
        <w:trPr>
          <w:tblHeader/>
        </w:trPr>
        <w:tc>
          <w:tcPr>
            <w:tcW w:type="dxa" w:w="1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Date</w:t>
            </w:r>
          </w:p>
        </w:tc>
        <w:tc>
          <w:tcPr>
            <w:tcW w:type="dxa" w:w="8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Event</w:t>
            </w:r>
          </w:p>
        </w:tc>
      </w:tr>
      <w:t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23 February 2022</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Proposed rule published, 87 FR 10119; comment period closed 24 May 2022. FDA received fewer than 100 timely comments.</w:t>
            </w:r>
          </w:p>
        </w:tc>
      </w:tr>
      <w:t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2 February 2024</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Final rule published, 89 FR 7496 (codified text at 89 FR 7523). FDA's FAQ page describes the rule as issued on 31 January 2024, the public-inspection date.</w:t>
            </w:r>
          </w:p>
        </w:tc>
      </w:tr>
      <w:t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15 October 2024</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Correction, 89 FR 82945: the "batch or lot" definition, omitted from the codified text, is restored to §820.3(a).</w:t>
            </w:r>
          </w:p>
        </w:tc>
      </w:tr>
      <w:t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4 December 2025</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Technical amendments, 90 FR 55978: 179 sections across 18 CFR parts re-pointed from §820.180, §820.198 and §820.30 to §820.35 and §820.10(c). Editorial only; no new requirements.</w:t>
            </w:r>
          </w:p>
        </w:tc>
      </w:tr>
      <w:t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16 December 2025</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CDRH webinar, Quality Management System Regulation: Key Takeaways.</w:t>
            </w:r>
          </w:p>
        </w:tc>
      </w:tr>
      <w:t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14 January 2026</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CDRH town hall on risk and design and development.</w:t>
            </w:r>
          </w:p>
        </w:tc>
      </w:tr>
      <w:t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2 February 2026</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QMSR takes effect. QSIT is withdrawn. Compliance Program 7382.850 supersedes CP 7382.845 and CP 7383.001.</w:t>
            </w:r>
          </w:p>
        </w:tc>
      </w:tr>
      <w:t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 April 2026</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CDRH town hall on medical device risk-based inspections. FDA: "the transition period has ended ... companies need to be compliant with the QMSR now."</w:t>
            </w:r>
          </w:p>
        </w:tc>
      </w:tr>
      <w:t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May – July 2026</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First Warning Letters from QMSR-era inspections: Linemaster Switch Corporation (27 May), Koven Technologies (21 July), Nipro Renal Solutions USA (24 July).</w:t>
            </w:r>
          </w:p>
        </w:tc>
      </w:tr>
    </w:tbl>
    <w:p>
      <w:pPr>
        <w:pStyle w:val="Heading2"/>
      </w:pPr>
      <w:r>
        <w:t xml:space="preserve">2.2 The new Part 820</w:t>
      </w:r>
    </w:p>
    <w:p>
      <w:pPr>
        <w:spacing w:after="120" w:before="0"/>
      </w:pPr>
      <w:r>
        <w:rPr>
          <w:b w:val="false"/>
          <w:bCs w:val="false"/>
          <w:i w:val="false"/>
          <w:iCs w:val="false"/>
          <w:sz w:val="21"/>
          <w:szCs w:val="21"/>
        </w:rPr>
        <w:t xml:space="preserve">Part 820 now has two active subparts. Subpart A contains §820.1 Scope, §820.3 Definitions, §820.5 [Reserved], §820.7 Incorporation by reference and §820.10 Requirements for a quality management system. Subpart B contains §§820.20–820.30 [Reserved], §820.35 Control of records, §820.40 [Reserved] and §820.45 Device labeling and packaging controls. Subparts C through O are reserved.</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900"/>
        <w:gridCol w:w="4380"/>
        <w:gridCol w:w="3800"/>
      </w:tblGrid>
      <w:tr>
        <w:trPr>
          <w:tblHeader/>
        </w:trPr>
        <w:tc>
          <w:tcPr>
            <w:tcW w:type="dxa" w:w="19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Section</w:t>
            </w:r>
          </w:p>
        </w:tc>
        <w:tc>
          <w:tcPr>
            <w:tcW w:type="dxa" w:w="438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What it does</w:t>
            </w:r>
          </w:p>
        </w:tc>
        <w:tc>
          <w:tcPr>
            <w:tcW w:type="dxa" w:w="38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What to check in your QMS</w:t>
            </w:r>
          </w:p>
        </w:tc>
      </w:tr>
      <w:tr>
        <w:tc>
          <w:tcPr>
            <w:tcW w:type="dxa" w:w="19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§820.1 Scope</w:t>
            </w:r>
          </w:p>
        </w:tc>
        <w:tc>
          <w:tcPr>
            <w:tcW w:type="dxa" w:w="43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CGMP requirements for the design, manufacture, packaging, labeling, storage, installation and servicing of finished devices for human use. Components and blood components are excluded; HCT/Ps regulated as devices are included. Where ISO 13485 clauses conflict with the FD&amp;C Act or its other implementing regulations, the Act and regulations control. A manufacturer engaged in only some operations need comply only with the requirements applicable to those operations.</w:t>
            </w:r>
          </w:p>
        </w:tc>
        <w:tc>
          <w:tcPr>
            <w:tcW w:type="dxa" w:w="38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The quality manual scope statement cites 21 CFR 820 and ISO 13485:2016, and names the roles you perform (specification developer, relabeler, contract sterilizer, initial distributor of a foreign entity).</w:t>
            </w:r>
          </w:p>
        </w:tc>
      </w:tr>
      <w:tr>
        <w:tc>
          <w:tcPr>
            <w:tcW w:type="dxa" w:w="19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§820.3 Definitions</w:t>
            </w:r>
          </w:p>
        </w:tc>
        <w:tc>
          <w:tcPr>
            <w:tcW w:type="dxa" w:w="43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ISO 13485 and ISO 9000 Clause 3 definitions apply, except as specified. Paragraph (a) adds six FDA-only terms. Paragraph (b) makes FD&amp;C Act §201 definitions prevail and supersedes five ISO terms.</w:t>
            </w:r>
          </w:p>
        </w:tc>
        <w:tc>
          <w:tcPr>
            <w:tcW w:type="dxa" w:w="38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 controlled definitions table; no procedure depends on a definition FDA dropped (design validation, process validation, process agent, top management as a QSR term).</w:t>
            </w:r>
          </w:p>
        </w:tc>
      </w:tr>
      <w:tr>
        <w:tc>
          <w:tcPr>
            <w:tcW w:type="dxa" w:w="19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§820.7 Incorporation by reference</w:t>
            </w:r>
          </w:p>
        </w:tc>
        <w:tc>
          <w:tcPr>
            <w:tcW w:type="dxa" w:w="43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ISO 13485:2016(E), third edition, 1 March 2016 (for §§820.1, 820.3, 820.10, 820.35 and 820.45); ISO 9000:2015(E) Clause 3 (for §820.3).</w:t>
            </w:r>
          </w:p>
        </w:tc>
        <w:tc>
          <w:tcPr>
            <w:tcW w:type="dxa" w:w="38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 controlled copy is available to the people who need it. Read-only access is free at the ANSI IBR portal.</w:t>
            </w:r>
          </w:p>
        </w:tc>
      </w:tr>
      <w:tr>
        <w:tc>
          <w:tcPr>
            <w:tcW w:type="dxa" w:w="19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§820.10 Requirements</w:t>
            </w:r>
          </w:p>
        </w:tc>
        <w:tc>
          <w:tcPr>
            <w:tcW w:type="dxa" w:w="43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 Document a QMS complying with the applicable requirements of ISO 13485 and this part. (b) Comply with other applicable requirements in Title 21, including Parts 830, 821, 803 and 806. (c) Design and development (Clause 7.3) for Class II, Class III and listed Class I devices. (d) Clause 7.5.9.2 traceability for devices that support or sustain life. (e) Noncompliance renders a device adulterated under FD&amp;C Act §501(h).</w:t>
            </w:r>
          </w:p>
        </w:tc>
        <w:tc>
          <w:tcPr>
            <w:tcW w:type="dxa" w:w="38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 procedure index cross-referenced to ISO clauses and the §820.10(b) hooks, plus a documented Clause 7.3 applicability decision per product family.</w:t>
            </w:r>
          </w:p>
        </w:tc>
      </w:tr>
      <w:tr>
        <w:tc>
          <w:tcPr>
            <w:tcW w:type="dxa" w:w="19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§820.35 Control of records</w:t>
            </w:r>
          </w:p>
        </w:tc>
        <w:tc>
          <w:tcPr>
            <w:tcW w:type="dxa" w:w="43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Adds FDA-specific content to Clause 4.2.5: complaint records, servicing records, UDI recording, confidentiality marking.</w:t>
            </w:r>
          </w:p>
        </w:tc>
        <w:tc>
          <w:tcPr>
            <w:tcW w:type="dxa" w:w="38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Complaint and service record templates carry every element (see section 3.1).</w:t>
            </w:r>
          </w:p>
        </w:tc>
      </w:tr>
      <w:tr>
        <w:tc>
          <w:tcPr>
            <w:tcW w:type="dxa" w:w="19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§820.45 Device labeling and packaging controls</w:t>
            </w:r>
          </w:p>
        </w:tc>
        <w:tc>
          <w:tcPr>
            <w:tcW w:type="dxa" w:w="43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Adds to Clause 7.5.1: documented procedures; five-point examination before release or storage; documented release of labeling; mix-up prevention with documented inspection before use.</w:t>
            </w:r>
          </w:p>
        </w:tc>
        <w:tc>
          <w:tcPr>
            <w:tcW w:type="dxa" w:w="38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 signed, element-by-element label examination and release record per lot (see section 3.2).</w:t>
            </w:r>
          </w:p>
        </w:tc>
      </w:tr>
    </w:tbl>
    <w:p>
      <w:pPr>
        <w:pStyle w:val="Heading3"/>
      </w:pPr>
      <w:r>
        <w:t xml:space="preserve">There is no §820.15</w:t>
      </w:r>
    </w:p>
    <w:p>
      <w:pPr>
        <w:spacing w:after="120" w:before="0"/>
      </w:pPr>
      <w:r>
        <w:rPr>
          <w:b w:val="false"/>
          <w:bCs w:val="false"/>
          <w:i w:val="false"/>
          <w:iCs w:val="false"/>
          <w:sz w:val="21"/>
          <w:szCs w:val="21"/>
        </w:rPr>
        <w:t xml:space="preserve">The 2022 proposed rule contained a §820.15 "Clarification of concepts". FDA deleted it in the final rule and moved the clarifications into §820.3(b), keeping "organization" and "safety and performance" but dropping the "validation of processes" clarification. Any procedure, checklist or crosswalk that cites §820.15 as current law is out of date.</w:t>
      </w:r>
    </w:p>
    <w:p>
      <w:pPr>
        <w:pStyle w:val="Heading2"/>
      </w:pPr>
      <w:r>
        <w:t xml:space="preserve">2.3 Which definition wins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000"/>
        <w:gridCol w:w="2800"/>
        <w:gridCol w:w="6280"/>
      </w:tblGrid>
      <w:tr>
        <w:trPr>
          <w:tblHeader/>
        </w:trPr>
        <w:tc>
          <w:tcPr>
            <w:tcW w:type="dxa" w:w="1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Priority</w:t>
            </w:r>
          </w:p>
        </w:tc>
        <w:tc>
          <w:tcPr>
            <w:tcW w:type="dxa" w:w="2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Source</w:t>
            </w:r>
          </w:p>
        </w:tc>
        <w:tc>
          <w:tcPr>
            <w:tcW w:type="dxa" w:w="62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Terms</w:t>
            </w:r>
          </w:p>
        </w:tc>
      </w:tr>
      <w:tr>
        <w:tc>
          <w:tcPr>
            <w:tcW w:type="dxa" w:w="1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w:t>
            </w:r>
          </w:p>
        </w:tc>
        <w:tc>
          <w:tcPr>
            <w:tcW w:type="dxa" w:w="2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FD&amp;C Act section 201</w:t>
            </w:r>
          </w:p>
        </w:tc>
        <w:tc>
          <w:tcPr>
            <w:tcW w:type="dxa" w:w="6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Device, labeling and every other statutory term prevail over the correlating ISO 13485 terms (medical device, labelling).</w:t>
            </w:r>
          </w:p>
        </w:tc>
      </w:tr>
      <w:tr>
        <w:tc>
          <w:tcPr>
            <w:tcW w:type="dxa" w:w="1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2</w:t>
            </w:r>
          </w:p>
        </w:tc>
        <w:tc>
          <w:tcPr>
            <w:tcW w:type="dxa" w:w="2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§820.3(b) superseding terms</w:t>
            </w:r>
          </w:p>
        </w:tc>
        <w:tc>
          <w:tcPr>
            <w:tcW w:type="dxa" w:w="6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Implantable medical device (the meaning of "implant" in 21 CFR 860.3) · Manufacturer · Organization (means manufacturer) · Rework (action on nonconforming product so it will meet the specified requirements in the medical device file before release for distribution) · Safety and Performance (the meaning of "safety and effectiveness" in Clause 0.1 of ISO 13485 only)</w:t>
            </w:r>
          </w:p>
        </w:tc>
      </w:tr>
      <w:tr>
        <w:tc>
          <w:tcPr>
            <w:tcW w:type="dxa" w:w="1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3</w:t>
            </w:r>
          </w:p>
        </w:tc>
        <w:tc>
          <w:tcPr>
            <w:tcW w:type="dxa" w:w="2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§820.3(a) FDA-only terms</w:t>
            </w:r>
          </w:p>
        </w:tc>
        <w:tc>
          <w:tcPr>
            <w:tcW w:type="dxa" w:w="6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Batch or lot · Component · Federal Food, Drug, and Cosmetic Act · Finished device · HCT/P regulated as a device · Remanufacturer</w:t>
            </w:r>
          </w:p>
        </w:tc>
      </w:tr>
      <w:tr>
        <w:tc>
          <w:tcPr>
            <w:tcW w:type="dxa" w:w="1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4</w:t>
            </w:r>
          </w:p>
        </w:tc>
        <w:tc>
          <w:tcPr>
            <w:tcW w:type="dxa" w:w="2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ISO 13485 Clause 3 and ISO 9000:2015 Clause 3</w:t>
            </w:r>
          </w:p>
        </w:tc>
        <w:tc>
          <w:tcPr>
            <w:tcW w:type="dxa" w:w="6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Customer, top management, nonconformity, verification, validation, product, correction, corrective action, preventive action, risk and the rest</w:t>
            </w:r>
          </w:p>
        </w:tc>
      </w:tr>
    </w:tbl>
    <w:p>
      <w:pPr>
        <w:spacing w:after="120" w:before="0"/>
      </w:pPr>
      <w:r>
        <w:rPr>
          <w:b w:val="false"/>
          <w:bCs w:val="false"/>
          <w:i/>
          <w:iCs/>
          <w:color w:val="5A6B7B"/>
          <w:sz w:val="17"/>
          <w:szCs w:val="17"/>
        </w:rPr>
        <w:t xml:space="preserve">FDA narrowed the "safety and performance" clarification in the final rule after commenters observed that the phrases are not interchangeable: it now applies only within Clause 0.1 of the ISO 13485 Introduction. §820.1(a) states that the use of other terminology does not change the statutory safety-and-effectiveness standard.</w:t>
      </w:r>
    </w:p>
    <w:p>
      <w:pPr>
        <w:pStyle w:val="Heading2"/>
      </w:pPr>
      <w:r>
        <w:t xml:space="preserve">2.4 What disappeared, and where the requirement lives now</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3400"/>
        <w:gridCol w:w="6680"/>
      </w:tblGrid>
      <w:tr>
        <w:trPr>
          <w:tblHeader/>
        </w:trPr>
        <w:tc>
          <w:tcPr>
            <w:tcW w:type="dxa" w:w="3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Gone from Part 820</w:t>
            </w:r>
          </w:p>
        </w:tc>
        <w:tc>
          <w:tcPr>
            <w:tcW w:type="dxa" w:w="66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Where the requirement lives now</w:t>
            </w:r>
          </w:p>
        </w:tc>
      </w:tr>
      <w:tr>
        <w:tc>
          <w:tcPr>
            <w:tcW w:type="dxa" w:w="3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Device master record (§820.181)</w:t>
            </w:r>
          </w:p>
        </w:tc>
        <w:tc>
          <w:tcPr>
            <w:tcW w:type="dxa" w:w="6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Medical device file, Clause 4.2.3: the procedures and specifications current on the manufacturing floor. FDA: the final design output forms the basis or starting point for the medical device file.</w:t>
            </w:r>
          </w:p>
        </w:tc>
      </w:tr>
      <w:tr>
        <w:tc>
          <w:tcPr>
            <w:tcW w:type="dxa" w:w="3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Design history file (§820.30(j))</w:t>
            </w:r>
          </w:p>
        </w:tc>
        <w:tc>
          <w:tcPr>
            <w:tcW w:type="dxa" w:w="6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Design and development file, Clause 7.3.10.</w:t>
            </w:r>
          </w:p>
        </w:tc>
      </w:tr>
      <w:tr>
        <w:tc>
          <w:tcPr>
            <w:tcW w:type="dxa" w:w="3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Device history record (§820.184)</w:t>
            </w:r>
          </w:p>
        </w:tc>
        <w:tc>
          <w:tcPr>
            <w:tcW w:type="dxa" w:w="6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Medical device or batch records, Clause 7.5.1 (with 7.5.8 and 7.5.9); UDI recorded per §820.35(c).</w:t>
            </w:r>
          </w:p>
        </w:tc>
      </w:tr>
      <w:tr>
        <w:tc>
          <w:tcPr>
            <w:tcW w:type="dxa" w:w="3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Quality system record (§820.186)</w:t>
            </w:r>
          </w:p>
        </w:tc>
        <w:tc>
          <w:tcPr>
            <w:tcW w:type="dxa" w:w="6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QMS documentation, Clause 4.2 (quality manual 4.2.2, documents 4.2.4, records 4.2.5).</w:t>
            </w:r>
          </w:p>
        </w:tc>
      </w:tr>
      <w:tr>
        <w:tc>
          <w:tcPr>
            <w:tcW w:type="dxa" w:w="3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"Management with executive responsibility" (§820.3(n))</w:t>
            </w:r>
          </w:p>
        </w:tc>
        <w:tc>
          <w:tcPr>
            <w:tcW w:type="dxa" w:w="6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"Top management", ISO 9000 definition. FDA still expects a quality culture led by individuals with executive responsibility.</w:t>
            </w:r>
          </w:p>
        </w:tc>
      </w:tr>
      <w:tr>
        <w:tc>
          <w:tcPr>
            <w:tcW w:type="dxa" w:w="3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Independent design reviewer (§820.30(e))</w:t>
            </w:r>
          </w:p>
        </w:tc>
        <w:tc>
          <w:tcPr>
            <w:tcW w:type="dxa" w:w="6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7.3.5: representatives of the functions concerned with the stage under review, plus other specialist personnel. FDA considers this adequate flexibility.</w:t>
            </w:r>
          </w:p>
        </w:tc>
      </w:tr>
      <w:tr>
        <w:tc>
          <w:tcPr>
            <w:tcW w:type="dxa" w:w="3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§820.180(c) exemption for management review, quality audit and supplier audit reports</w:t>
            </w:r>
          </w:p>
        </w:tc>
        <w:tc>
          <w:tcPr>
            <w:tcW w:type="dxa" w:w="6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Removed. FDA may inspect these records. They are expected to be reviewed in baseline surveillance and PMA preapproval inspections and may be reviewed in any other inspection.</w:t>
            </w:r>
          </w:p>
        </w:tc>
      </w:tr>
      <w:tr>
        <w:tc>
          <w:tcPr>
            <w:tcW w:type="dxa" w:w="3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Statistical techniques (§820.250)</w:t>
            </w:r>
          </w:p>
        </w:tc>
        <w:tc>
          <w:tcPr>
            <w:tcW w:type="dxa" w:w="6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Analysis of data, Clause 8.4.</w:t>
            </w:r>
          </w:p>
        </w:tc>
      </w:tr>
      <w:tr>
        <w:tc>
          <w:tcPr>
            <w:tcW w:type="dxa" w:w="3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CAPA as a single section (§820.100)</w:t>
            </w:r>
          </w:p>
        </w:tc>
        <w:tc>
          <w:tcPr>
            <w:tcW w:type="dxa" w:w="6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Corrective action (8.5.2) and preventive action (8.5.3) under Improvement (8.5).</w:t>
            </w:r>
          </w:p>
        </w:tc>
      </w:tr>
      <w:tr>
        <w:tc>
          <w:tcPr>
            <w:tcW w:type="dxa" w:w="3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Traceability control numbers (§820.65)</w:t>
            </w:r>
          </w:p>
        </w:tc>
        <w:tc>
          <w:tcPr>
            <w:tcW w:type="dxa" w:w="6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7.5.9.1 and 7.5.9.2, extended by §820.10(d) to devices that support or sustain life.</w:t>
            </w:r>
          </w:p>
        </w:tc>
      </w:tr>
      <w:tr>
        <w:tc>
          <w:tcPr>
            <w:tcW w:type="dxa" w:w="3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QSIT; Compliance Program 7382.845; CP 7383.001</w:t>
            </w:r>
          </w:p>
        </w:tc>
        <w:tc>
          <w:tcPr>
            <w:tcW w:type="dxa" w:w="6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Compliance Program 7382.850: six QMS Areas, four OAFRs, two inspection models, PMA inspections included.</w:t>
            </w:r>
          </w:p>
        </w:tc>
      </w:tr>
    </w:tbl>
    <w:p>
      <w:pPr>
        <w:pStyle w:val="Heading2"/>
      </w:pPr>
      <w:r>
        <w:t xml:space="preserve">2.5 What did not change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5040"/>
        <w:gridCol w:w="5040"/>
      </w:tblGrid>
      <w:tr>
        <w:trPr>
          <w:tblHeader/>
        </w:trPr>
        <w:tc>
          <w:tcPr>
            <w:tcW w:type="dxa" w:w="5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Still true</w:t>
            </w:r>
          </w:p>
        </w:tc>
        <w:tc>
          <w:tcPr>
            <w:tcW w:type="dxa" w:w="5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Over</w:t>
            </w:r>
          </w:p>
        </w:tc>
      </w:tr>
      <w:tr>
        <w:tc>
          <w:tcPr>
            <w:tcW w:type="dxa" w:w="5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FDA does not require ISO 13485 certification, will not accept a certificate in lieu of an inspection or an establishment inspection report, and will not issue certificates of conformity.</w:t>
            </w:r>
          </w:p>
          <w:p>
            <w:pPr>
              <w:spacing w:after="40"/>
            </w:pPr>
            <w:r>
              <w:rPr>
                <w:b w:val="false"/>
                <w:bCs w:val="false"/>
                <w:i w:val="false"/>
                <w:iCs w:val="false"/>
                <w:sz w:val="19"/>
                <w:szCs w:val="19"/>
              </w:rPr>
              <w:t xml:space="preserve">A notified body ISO 13485 audit does not satisfy the internal audit requirement of Clause 8.2.4, though findings may supplement it.</w:t>
            </w:r>
          </w:p>
          <w:p>
            <w:pPr>
              <w:spacing w:after="40"/>
            </w:pPr>
            <w:r>
              <w:rPr>
                <w:b w:val="false"/>
                <w:bCs w:val="false"/>
                <w:i w:val="false"/>
                <w:iCs w:val="false"/>
                <w:sz w:val="19"/>
                <w:szCs w:val="19"/>
              </w:rPr>
              <w:t xml:space="preserve">MDSAP continues. FDA uses MDSAP audit reports in place of routine surveillance inspections; sites actively enrolled are not scheduled for surveillance inspections.</w:t>
            </w:r>
          </w:p>
          <w:p>
            <w:pPr>
              <w:spacing w:after="40"/>
            </w:pPr>
            <w:r>
              <w:rPr>
                <w:b w:val="false"/>
                <w:bCs w:val="false"/>
                <w:i w:val="false"/>
                <w:iCs w:val="false"/>
                <w:sz w:val="19"/>
                <w:szCs w:val="19"/>
              </w:rPr>
              <w:t xml:space="preserve">Parts 803, 806, 821 and 830 are unchanged and are now hooked into the QMS through §820.10(b). Part 11 was not amended.</w:t>
            </w:r>
          </w:p>
          <w:p>
            <w:pPr>
              <w:spacing w:after="40"/>
            </w:pPr>
            <w:r>
              <w:rPr>
                <w:b w:val="false"/>
                <w:bCs w:val="false"/>
                <w:i w:val="false"/>
                <w:iCs w:val="false"/>
                <w:sz w:val="19"/>
                <w:szCs w:val="19"/>
              </w:rPr>
              <w:t xml:space="preserve">The scope of "manufacturer" is unchanged, including contract sterilizers, relabelers, remanufacturers, specification developers and initial distributors of foreign entities.</w:t>
            </w:r>
          </w:p>
          <w:p>
            <w:pPr>
              <w:spacing w:after="40"/>
            </w:pPr>
            <w:r>
              <w:rPr>
                <w:b w:val="false"/>
                <w:bCs w:val="false"/>
                <w:i w:val="false"/>
                <w:iCs w:val="false"/>
                <w:sz w:val="19"/>
                <w:szCs w:val="19"/>
              </w:rPr>
              <w:t xml:space="preserve">Class I CGMP exemptions are retained; exempt manufacturers still keep complaint files and §820.35 records.</w:t>
            </w:r>
          </w:p>
          <w:p>
            <w:pPr>
              <w:spacing w:after="40"/>
            </w:pPr>
            <w:r>
              <w:rPr>
                <w:b w:val="false"/>
                <w:bCs w:val="false"/>
                <w:i w:val="false"/>
                <w:iCs w:val="false"/>
                <w:sz w:val="19"/>
                <w:szCs w:val="19"/>
              </w:rPr>
              <w:t xml:space="preserve">Design and development applicability is preserved: Class II, Class III and the listed Class I devices.</w:t>
            </w:r>
          </w:p>
        </w:tc>
        <w:tc>
          <w:tcPr>
            <w:tcW w:type="dxa" w:w="5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two-year transition. There is no phase-in, no grace period and no announced enforcement discretion.</w:t>
            </w:r>
          </w:p>
          <w:p>
            <w:pPr>
              <w:spacing w:after="40"/>
            </w:pPr>
            <w:r>
              <w:rPr>
                <w:b w:val="false"/>
                <w:bCs w:val="false"/>
                <w:i w:val="false"/>
                <w:iCs w:val="false"/>
                <w:sz w:val="19"/>
                <w:szCs w:val="19"/>
              </w:rPr>
              <w:t xml:space="preserve">Every inspection since 2 February 2026 is conducted to the QMSR, including compliance follow-ups after a Warning Letter or consent decree.</w:t>
            </w:r>
          </w:p>
          <w:p>
            <w:pPr>
              <w:spacing w:after="40"/>
            </w:pPr>
            <w:r>
              <w:rPr>
                <w:b w:val="false"/>
                <w:bCs w:val="false"/>
                <w:i w:val="false"/>
                <w:iCs w:val="false"/>
                <w:sz w:val="19"/>
                <w:szCs w:val="19"/>
              </w:rPr>
              <w:t xml:space="preserve">The threshold for compliance action is unchanged, but the Situation 1 (OAI) examples were rewritten around risk management.</w:t>
            </w:r>
          </w:p>
          <w:p>
            <w:pPr>
              <w:spacing w:after="40"/>
            </w:pPr>
            <w:r>
              <w:rPr>
                <w:b w:val="false"/>
                <w:bCs w:val="false"/>
                <w:i w:val="false"/>
                <w:iCs w:val="false"/>
                <w:sz w:val="19"/>
                <w:szCs w:val="19"/>
              </w:rPr>
              <w:t xml:space="preserve">The idea that pre-2026 records are out of scope. FDA does not expect them to be revised or recreated, but they may be reviewed if the inspection leads there.</w:t>
            </w:r>
          </w:p>
          <w:p>
            <w:pPr>
              <w:spacing w:after="40"/>
            </w:pPr>
            <w:r>
              <w:rPr>
                <w:b w:val="false"/>
                <w:bCs w:val="false"/>
                <w:i w:val="false"/>
                <w:iCs w:val="false"/>
                <w:sz w:val="19"/>
                <w:szCs w:val="19"/>
              </w:rPr>
              <w:t xml:space="preserve">Old QSR citations in procedures, audit checklists and 483 responses. Practice reports from 2026 inspections describe firms still using the QSR subpart structure being flagged early.</w:t>
            </w:r>
          </w:p>
          <w:p>
            <w:pPr>
              <w:spacing w:after="40"/>
            </w:pPr>
            <w:r>
              <w:rPr>
                <w:b w:val="false"/>
                <w:bCs w:val="false"/>
                <w:i w:val="false"/>
                <w:iCs w:val="false"/>
                <w:sz w:val="19"/>
                <w:szCs w:val="19"/>
              </w:rPr>
              <w:t xml:space="preserve">The assumption that management review and audit records are private.</w:t>
            </w:r>
          </w:p>
        </w:tc>
      </w:tr>
    </w:tbl>
    <w:p>
      <w:pPr>
        <w:pStyle w:val="Heading1"/>
      </w:pPr>
      <w:r>
        <w:t xml:space="preserve">3. The four load-bearing FDA-specific provisions</w:t>
      </w:r>
    </w:p>
    <w:p>
      <w:pPr>
        <w:spacing w:after="120" w:before="0"/>
      </w:pPr>
      <w:r>
        <w:rPr>
          <w:b w:val="false"/>
          <w:bCs w:val="false"/>
          <w:i w:val="false"/>
          <w:iCs w:val="false"/>
          <w:sz w:val="21"/>
          <w:szCs w:val="21"/>
        </w:rPr>
        <w:t xml:space="preserve">FDA stated in the final rule that compliance with ISO 13485 alone does not fully satisfy the QMSR, and that compliance with the QMSR will largely satisfy ISO 13485. The difference lives in four places.</w:t>
      </w:r>
    </w:p>
    <w:p>
      <w:pPr>
        <w:pStyle w:val="Heading2"/>
      </w:pPr>
      <w:r>
        <w:t xml:space="preserve">3.1 §820.35 Control of records</w:t>
      </w:r>
    </w:p>
    <w:p>
      <w:pPr>
        <w:spacing w:after="120" w:before="0"/>
      </w:pPr>
      <w:r>
        <w:rPr>
          <w:b w:val="false"/>
          <w:bCs w:val="false"/>
          <w:i w:val="false"/>
          <w:iCs w:val="false"/>
          <w:sz w:val="21"/>
          <w:szCs w:val="21"/>
        </w:rPr>
        <w:t xml:space="preserve">In addition to Clause 4.2.5, the manufacturer must include specified information in certain records. Use this as a field-level checklist against your templates.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100"/>
        <w:gridCol w:w="7980"/>
      </w:tblGrid>
      <w:tr>
        <w:trPr>
          <w:tblHeader/>
        </w:trPr>
        <w:tc>
          <w:tcPr>
            <w:tcW w:type="dxa" w:w="21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Paragraph</w:t>
            </w:r>
          </w:p>
        </w:tc>
        <w:tc>
          <w:tcPr>
            <w:tcW w:type="dxa" w:w="79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Requirement</w:t>
            </w:r>
          </w:p>
        </w:tc>
      </w:tr>
      <w:tr>
        <w:tc>
          <w:tcPr>
            <w:tcW w:type="dxa" w:w="2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 Records of complaints</w:t>
            </w:r>
          </w:p>
        </w:tc>
        <w:tc>
          <w:tcPr>
            <w:tcW w:type="dxa" w:w="7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In addition to Clause 8.2.2, maintain records of the review, evaluation and investigation of any complaint involving the possible failure of a device, labeling or packaging to meet any of its specifications.</w:t>
            </w:r>
          </w:p>
          <w:p>
            <w:pPr>
              <w:spacing w:after="40"/>
            </w:pPr>
            <w:r>
              <w:rPr>
                <w:b w:val="false"/>
                <w:bCs w:val="false"/>
                <w:i w:val="false"/>
                <w:iCs w:val="false"/>
                <w:sz w:val="19"/>
                <w:szCs w:val="19"/>
              </w:rPr>
              <w:t xml:space="preserve">If an investigation has already been performed for a similar complaint, another is not necessary, but records documenting the justification for not investigating must be maintained.</w:t>
            </w:r>
          </w:p>
          <w:p>
            <w:pPr>
              <w:spacing w:after="40"/>
            </w:pPr>
            <w:r>
              <w:rPr>
                <w:b w:val="false"/>
                <w:bCs w:val="false"/>
                <w:i w:val="false"/>
                <w:iCs w:val="false"/>
                <w:sz w:val="19"/>
                <w:szCs w:val="19"/>
              </w:rPr>
              <w:t xml:space="preserve">For complaints reportable under Part 803, complaints the manufacturer determines must be investigated, and complaints investigated regardless, record: (1) the name of the device; (2) the date the complaint was received; (3) any UDI or UPC and any other device identification; (4) the name, address and phone number of the complainant; (5) the nature and details of the complaint; (6) any correction or corrective action taken; (7) any reply to the complainant.</w:t>
            </w:r>
          </w:p>
        </w:tc>
      </w:tr>
      <w:tr>
        <w:tc>
          <w:tcPr>
            <w:tcW w:type="dxa" w:w="2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(b) Records of servicing activities</w:t>
            </w:r>
          </w:p>
        </w:tc>
        <w:tc>
          <w:tcPr>
            <w:tcW w:type="dxa" w:w="7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In adhering to Clause 7.5.4, record at a minimum: (1) the name of the device serviced; (2) any UDI or UPC and other device identification; (3) the date of service; (4) the individual(s) who serviced the device; (5) the service performed; (6) any test and inspection data.</w:t>
            </w:r>
          </w:p>
          <w:p>
            <w:pPr>
              <w:spacing w:after="40"/>
            </w:pPr>
            <w:r>
              <w:rPr>
                <w:b w:val="false"/>
                <w:bCs w:val="false"/>
                <w:i w:val="false"/>
                <w:iCs w:val="false"/>
                <w:sz w:val="19"/>
                <w:szCs w:val="19"/>
              </w:rPr>
              <w:t xml:space="preserve">FDA clarified that (b)(6) applies where the QMS generates such data as part of servicing, not to all servicing activities.</w:t>
            </w:r>
          </w:p>
        </w:tc>
      </w:tr>
      <w:tr>
        <w:tc>
          <w:tcPr>
            <w:tcW w:type="dxa" w:w="2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(c) Unique Device Identification</w:t>
            </w:r>
          </w:p>
        </w:tc>
        <w:tc>
          <w:tcPr>
            <w:tcW w:type="dxa" w:w="7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In addition to Clauses 7.5.1, 7.5.8 and 7.5.9, the UDI must be recorded for each medical device or batch of medical devices.</w:t>
            </w:r>
          </w:p>
          <w:p>
            <w:pPr>
              <w:spacing w:after="40"/>
            </w:pPr>
            <w:r>
              <w:rPr>
                <w:b w:val="false"/>
                <w:bCs w:val="false"/>
                <w:i w:val="false"/>
                <w:iCs w:val="false"/>
                <w:sz w:val="19"/>
                <w:szCs w:val="19"/>
              </w:rPr>
              <w:t xml:space="preserve">FDA does not read this to require a UDI for devices under development, because Part 830 applies to devices in commercial distribution.</w:t>
            </w:r>
          </w:p>
        </w:tc>
      </w:tr>
      <w:tr>
        <w:tc>
          <w:tcPr>
            <w:tcW w:type="dxa" w:w="2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(d) Confidentiality</w:t>
            </w:r>
          </w:p>
        </w:tc>
        <w:tc>
          <w:tcPr>
            <w:tcW w:type="dxa" w:w="7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Records deemed confidential by the manufacturer may be marked to aid FDA in determining whether information may be disclosed under Part 20.</w:t>
            </w:r>
          </w:p>
          <w:p>
            <w:pPr>
              <w:spacing w:after="40"/>
            </w:pPr>
            <w:r>
              <w:rPr>
                <w:b w:val="false"/>
                <w:bCs w:val="false"/>
                <w:i w:val="false"/>
                <w:iCs w:val="false"/>
                <w:sz w:val="19"/>
                <w:szCs w:val="19"/>
              </w:rPr>
              <w:t xml:space="preserve">Marking aids disclosure decisions; it is not a bar to review. Mark before an inspection, and do not redact records handed over.</w:t>
            </w:r>
          </w:p>
        </w:tc>
      </w:tr>
    </w:tbl>
    <w:p>
      <w:pPr>
        <w:spacing w:after="120" w:before="0"/>
      </w:pPr>
      <w:r>
        <w:rPr>
          <w:b w:val="false"/>
          <w:bCs w:val="false"/>
          <w:i/>
          <w:iCs/>
          <w:color w:val="5A6B7B"/>
          <w:sz w:val="17"/>
          <w:szCs w:val="17"/>
        </w:rPr>
        <w:t xml:space="preserve">FDA removed from the proposed §820.35 the requirement to obtain the signature and date of each approver on every record. Where ISO 13485 uses "approved", FDA takes that to mean the document or record carries a signature and date; electronic methods that meet FDA's electronic-signature requirements are acceptable.</w:t>
      </w:r>
    </w:p>
    <w:p>
      <w:pPr>
        <w:pStyle w:val="Heading2"/>
      </w:pPr>
      <w:r>
        <w:t xml:space="preserve">3.2 §820.45 Device labeling and packaging controls</w:t>
      </w:r>
    </w:p>
    <w:p>
      <w:pPr>
        <w:spacing w:after="120" w:before="0"/>
      </w:pPr>
      <w:r>
        <w:rPr>
          <w:b w:val="false"/>
          <w:bCs w:val="false"/>
          <w:i w:val="false"/>
          <w:iCs w:val="false"/>
          <w:sz w:val="21"/>
          <w:szCs w:val="21"/>
        </w:rPr>
        <w:t xml:space="preserve">In addition to Clause 7.5.1, each manufacturer must document and maintain procedures giving a detailed description of the activities that ensure the integrity, inspection, storage and operations for labeling and packaging during the customary conditions of processing, storage, handling, distribution and, as appropriate, use of the device.</w:t>
      </w:r>
    </w:p>
    <w:p>
      <w:pPr>
        <w:pStyle w:val="ListParagraph"/>
        <w:numPr>
          <w:ilvl w:val="0"/>
          <w:numId w:val="3"/>
        </w:numPr>
        <w:spacing w:after="80"/>
      </w:pPr>
      <w:r>
        <w:rPr>
          <w:b w:val="false"/>
          <w:bCs w:val="false"/>
          <w:i w:val="false"/>
          <w:iCs w:val="false"/>
          <w:sz w:val="21"/>
          <w:szCs w:val="21"/>
        </w:rPr>
        <w:t xml:space="preserve">Labeling and packaging examined for accuracy prior to release or storage, covering: the correct UDI or UPC or other device identification; expiration date; storage instructions; handling instructions; any additional processing instructions.</w:t>
      </w:r>
    </w:p>
    <w:p>
      <w:pPr>
        <w:pStyle w:val="ListParagraph"/>
        <w:numPr>
          <w:ilvl w:val="0"/>
          <w:numId w:val="3"/>
        </w:numPr>
        <w:spacing w:after="80"/>
      </w:pPr>
      <w:r>
        <w:rPr>
          <w:b w:val="false"/>
          <w:bCs w:val="false"/>
          <w:i w:val="false"/>
          <w:iCs w:val="false"/>
          <w:sz w:val="21"/>
          <w:szCs w:val="21"/>
        </w:rPr>
        <w:t xml:space="preserve">The release of the labeling for use documented in accordance with Clause 4.2.5.</w:t>
      </w:r>
    </w:p>
    <w:p>
      <w:pPr>
        <w:pStyle w:val="ListParagraph"/>
        <w:numPr>
          <w:ilvl w:val="0"/>
          <w:numId w:val="3"/>
        </w:numPr>
        <w:spacing w:after="80"/>
      </w:pPr>
      <w:r>
        <w:rPr>
          <w:b w:val="false"/>
          <w:bCs w:val="false"/>
          <w:i w:val="false"/>
          <w:iCs w:val="false"/>
          <w:sz w:val="21"/>
          <w:szCs w:val="21"/>
        </w:rPr>
        <w:t xml:space="preserve">Labeling and packaging operations established and maintained to prevent mix-ups, including inspection of the labeling and packaging before use to assure that all devices have correct labeling and packaging as specified in the medical device file.</w:t>
      </w:r>
    </w:p>
    <w:p>
      <w:pPr>
        <w:pStyle w:val="ListParagraph"/>
        <w:numPr>
          <w:ilvl w:val="0"/>
          <w:numId w:val="3"/>
        </w:numPr>
        <w:spacing w:after="80"/>
      </w:pPr>
      <w:r>
        <w:rPr>
          <w:b w:val="false"/>
          <w:bCs w:val="false"/>
          <w:i w:val="false"/>
          <w:iCs w:val="false"/>
          <w:sz w:val="21"/>
          <w:szCs w:val="21"/>
        </w:rPr>
        <w:t xml:space="preserve">Results of that labeling inspection documented in accordance with Clause 4.2.5.</w:t>
      </w:r>
    </w:p>
    <w:p>
      <w:pPr>
        <w:pStyle w:val="ListParagraph"/>
        <w:numPr>
          <w:ilvl w:val="0"/>
          <w:numId w:val="3"/>
        </w:numPr>
        <w:spacing w:after="80"/>
      </w:pPr>
      <w:r>
        <w:rPr>
          <w:b w:val="false"/>
          <w:bCs w:val="false"/>
          <w:i w:val="false"/>
          <w:iCs w:val="false"/>
          <w:sz w:val="21"/>
          <w:szCs w:val="21"/>
        </w:rPr>
        <w:t xml:space="preserve">Where automated readers are used, a designated individual examines at a minimum a representative sample of the labels checked.</w:t>
      </w:r>
    </w:p>
    <w:p>
      <w:pPr>
        <w:pStyle w:val="ListParagraph"/>
        <w:numPr>
          <w:ilvl w:val="0"/>
          <w:numId w:val="3"/>
        </w:numPr>
        <w:spacing w:after="80"/>
      </w:pPr>
      <w:r>
        <w:rPr>
          <w:b w:val="false"/>
          <w:bCs w:val="false"/>
          <w:i w:val="false"/>
          <w:iCs w:val="false"/>
          <w:sz w:val="21"/>
          <w:szCs w:val="21"/>
        </w:rPr>
        <w:t xml:space="preserve">Label stock stored under control; label content changes flow through design change control (7.3.9) and the medical device file.</w:t>
      </w:r>
    </w:p>
    <w:p>
      <w:pPr>
        <w:spacing w:after="120" w:before="0"/>
      </w:pPr>
      <w:r>
        <w:rPr>
          <w:b w:val="false"/>
          <w:bCs w:val="false"/>
          <w:i/>
          <w:iCs/>
          <w:color w:val="5A6B7B"/>
          <w:sz w:val="17"/>
          <w:szCs w:val="17"/>
        </w:rPr>
        <w:t xml:space="preserve">FDA retained these controls because Clause 7.5.1(e) only requires that defined labeling and packaging operations be implemented and does not address inspection of labeling, and because many device recalls relate to labeling and packaging. Wording changed from the proposal: "establish" became "document", "where appropriate" became "as appropriate", and "immediately" before use was removed.</w:t>
      </w:r>
    </w:p>
    <w:p>
      <w:pPr>
        <w:pStyle w:val="Heading2"/>
      </w:pPr>
      <w:r>
        <w:t xml:space="preserve">3.3 §820.10(b) hooks into the rest of Title 21</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300"/>
        <w:gridCol w:w="3500"/>
        <w:gridCol w:w="4280"/>
      </w:tblGrid>
      <w:tr>
        <w:trPr>
          <w:tblHeader/>
        </w:trPr>
        <w:tc>
          <w:tcPr>
            <w:tcW w:type="dxa" w:w="23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ISO 13485 clause</w:t>
            </w:r>
          </w:p>
        </w:tc>
        <w:tc>
          <w:tcPr>
            <w:tcW w:type="dxa" w:w="35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QMSR hook</w:t>
            </w:r>
          </w:p>
        </w:tc>
        <w:tc>
          <w:tcPr>
            <w:tcW w:type="dxa" w:w="42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to have ready</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7.5.8 Identification</w:t>
            </w:r>
          </w:p>
        </w:tc>
        <w:tc>
          <w:tcPr>
            <w:tcW w:type="dxa" w:w="35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§820.10(b)(1): document a system to assign UDI per Part 830</w:t>
            </w:r>
          </w:p>
        </w:tc>
        <w:tc>
          <w:tcPr>
            <w:tcW w:type="dxa" w:w="4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UDI procedure; GUDID records that match labels in use; UDI recorded per device or batch</w:t>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7.5.9.1 Traceability, general</w:t>
            </w:r>
          </w:p>
        </w:tc>
        <w:tc>
          <w:tcPr>
            <w:tcW w:type="dxa" w:w="35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§820.10(b)(2): traceability procedures per Part 821, if applicable</w:t>
            </w:r>
          </w:p>
        </w:tc>
        <w:tc>
          <w:tcPr>
            <w:tcW w:type="dxa" w:w="4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Tracking procedures and records where a tracking order applies</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8.2.3 Reporting to regulatory authorities</w:t>
            </w:r>
          </w:p>
        </w:tc>
        <w:tc>
          <w:tcPr>
            <w:tcW w:type="dxa" w:w="35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§820.10(b)(3): notify FDA of complaints meeting the Part 803 reporting criteria</w:t>
            </w:r>
          </w:p>
        </w:tc>
        <w:tc>
          <w:tcPr>
            <w:tcW w:type="dxa" w:w="4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MDR procedures (Part 803.17); documented reportability evaluations with rationale; submission timeliness</w:t>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7.2.3, 8.2.3, 8.3.3 Advisory notices</w:t>
            </w:r>
          </w:p>
        </w:tc>
        <w:tc>
          <w:tcPr>
            <w:tcW w:type="dxa" w:w="35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§820.10(b)(4): handle advisory notices per Part 806</w:t>
            </w:r>
          </w:p>
        </w:tc>
        <w:tc>
          <w:tcPr>
            <w:tcW w:type="dxa" w:w="4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Corrections and removals procedure; Part 806 reports and documented decisions not to report</w:t>
            </w:r>
          </w:p>
        </w:tc>
      </w:tr>
    </w:tbl>
    <w:p>
      <w:pPr>
        <w:spacing w:after="120" w:before="0"/>
      </w:pPr>
      <w:r>
        <w:rPr>
          <w:b w:val="false"/>
          <w:bCs w:val="false"/>
          <w:i/>
          <w:iCs/>
          <w:color w:val="5A6B7B"/>
          <w:sz w:val="17"/>
          <w:szCs w:val="17"/>
        </w:rPr>
        <w:t xml:space="preserve">FDA said the §820.10(b) list is not comprehensive: manufacturers remain responsible for identifying and meeting every applicable requirement, including Part 807 registration and listing, which is not named in §820.10.</w:t>
      </w:r>
    </w:p>
    <w:p>
      <w:pPr>
        <w:pStyle w:val="Heading2"/>
      </w:pPr>
      <w:r>
        <w:t xml:space="preserve">3.4 Special cases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3000"/>
        <w:gridCol w:w="7080"/>
      </w:tblGrid>
      <w:tr>
        <w:trPr>
          <w:tblHeader/>
        </w:trPr>
        <w:tc>
          <w:tcPr>
            <w:tcW w:type="dxa" w:w="3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Situation</w:t>
            </w:r>
          </w:p>
        </w:tc>
        <w:tc>
          <w:tcPr>
            <w:tcW w:type="dxa" w:w="70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applies</w:t>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Drug-led combination products using the streamlined approach (21 CFR 4.4(b)(1))</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ISO 13485 Clause 4.1, Clause 5 and its subclauses, Clause 6.1, plus §820.10; Clause 7.3 and its subclauses plus documented processes for risk management in product realization with records maintained; Clause 7.4 and subclauses; Clause 8.2.2 and §820.35(a), Clause 8.4 and Clause 8.5 and subclauses; Clause 7.5.3; Clause 7.5.4 and §820.35(b). A device constituent part is a finished device under the QMSR. Combination products are outside MDSAP for FDA.</w:t>
            </w:r>
          </w:p>
        </w:tc>
      </w:tr>
      <w:tr>
        <w:tc>
          <w:tcPr>
            <w:tcW w:type="dxa" w:w="3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Class I and CGMP-exempt devices</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7.3 applies only to Class I devices automated with computer software and the five device types listed in §820.10(c)(2). Document the exclusion and its justification. Exemption from CGMP does not exempt a manufacturer from complaint files or the records required by §820.35. Devices under an investigational device exemption are not exempt from design and development.</w:t>
            </w:r>
          </w:p>
        </w:tc>
      </w:tr>
      <w:tr>
        <w:tc>
          <w:tcPr>
            <w:tcW w:type="dxa" w:w="3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Contract manufacturers, specification developers, importers</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All are "manufacturers" under §820.3(b). A contract manufacturer is expected to document risk management in product realization under Clause 7.1 regardless of who owns the design. A specification developer applies design and development and supplier controls over the contract manufacturer. An initial importer that performs no design need not apply Clause 7.3 but must handle complaints, MDR, distribution records and traceability.</w:t>
            </w:r>
          </w:p>
        </w:tc>
      </w:tr>
    </w:tbl>
    <w:p>
      <w:pPr>
        <w:pStyle w:val="Heading1"/>
      </w:pPr>
      <w:r>
        <w:t xml:space="preserve">4. How an inspection runs now</w:t>
      </w:r>
    </w:p>
    <w:p>
      <w:pPr>
        <w:pStyle w:val="Heading2"/>
      </w:pPr>
      <w:r>
        <w:t xml:space="preserve">4.1 What replaced QSIT</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5040"/>
        <w:gridCol w:w="5040"/>
      </w:tblGrid>
      <w:tr>
        <w:trPr>
          <w:tblHeader/>
        </w:trPr>
        <w:tc>
          <w:tcPr>
            <w:tcW w:type="dxa" w:w="5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QSIT (1999 – 1 February 2026)</w:t>
            </w:r>
          </w:p>
        </w:tc>
        <w:tc>
          <w:tcPr>
            <w:tcW w:type="dxa" w:w="5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Compliance Program 7382.850 (from 2 February 2026)</w:t>
            </w:r>
          </w:p>
        </w:tc>
      </w:tr>
      <w:tr>
        <w:tc>
          <w:tcPr>
            <w:tcW w:type="dxa" w:w="5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Four subsystems: Management Controls, Design Controls, CAPA, Production and Process Controls.</w:t>
            </w:r>
          </w:p>
          <w:p>
            <w:pPr>
              <w:spacing w:after="40"/>
            </w:pPr>
            <w:r>
              <w:rPr>
                <w:b w:val="false"/>
                <w:bCs w:val="false"/>
                <w:i w:val="false"/>
                <w:iCs w:val="false"/>
                <w:sz w:val="19"/>
                <w:szCs w:val="19"/>
              </w:rPr>
              <w:t xml:space="preserve">A "top-down" approach; Level 1 abbreviated and Level 2 comprehensive inspections.</w:t>
            </w:r>
          </w:p>
          <w:p>
            <w:pPr>
              <w:spacing w:after="40"/>
            </w:pPr>
            <w:r>
              <w:rPr>
                <w:b w:val="false"/>
                <w:bCs w:val="false"/>
                <w:i w:val="false"/>
                <w:iCs w:val="false"/>
                <w:sz w:val="19"/>
                <w:szCs w:val="19"/>
              </w:rPr>
              <w:t xml:space="preserve">Sampling tables prescribed how many records to review.</w:t>
            </w:r>
          </w:p>
          <w:p>
            <w:pPr>
              <w:spacing w:after="40"/>
            </w:pPr>
            <w:r>
              <w:rPr>
                <w:b w:val="false"/>
                <w:bCs w:val="false"/>
                <w:i w:val="false"/>
                <w:iCs w:val="false"/>
                <w:sz w:val="19"/>
                <w:szCs w:val="19"/>
              </w:rPr>
              <w:t xml:space="preserve">Management review, internal audit and supplier audit reports exempt from review.</w:t>
            </w:r>
          </w:p>
          <w:p>
            <w:pPr>
              <w:spacing w:after="40"/>
            </w:pPr>
            <w:r>
              <w:rPr>
                <w:b w:val="false"/>
                <w:bCs w:val="false"/>
                <w:i w:val="false"/>
                <w:iCs w:val="false"/>
                <w:sz w:val="19"/>
                <w:szCs w:val="19"/>
              </w:rPr>
              <w:t xml:space="preserve">A separate compliance program for PMA inspections.</w:t>
            </w:r>
          </w:p>
        </w:tc>
        <w:tc>
          <w:tcPr>
            <w:tcW w:type="dxa" w:w="5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Six QMS Areas and four Other Applicable FDA Requirements; a total product life cycle assessment.</w:t>
            </w:r>
          </w:p>
          <w:p>
            <w:pPr>
              <w:spacing w:after="40"/>
            </w:pPr>
            <w:r>
              <w:rPr>
                <w:b w:val="false"/>
                <w:bCs w:val="false"/>
                <w:i w:val="false"/>
                <w:iCs w:val="false"/>
                <w:sz w:val="19"/>
                <w:szCs w:val="19"/>
              </w:rPr>
              <w:t xml:space="preserve">The investigator reviews risk management documentation throughout and uses critical thinking to select elements; the areas need not be evaluated in any order.</w:t>
            </w:r>
          </w:p>
          <w:p>
            <w:pPr>
              <w:spacing w:after="40"/>
            </w:pPr>
            <w:r>
              <w:rPr>
                <w:b w:val="false"/>
                <w:bCs w:val="false"/>
                <w:i w:val="false"/>
                <w:iCs w:val="false"/>
                <w:sz w:val="19"/>
                <w:szCs w:val="19"/>
              </w:rPr>
              <w:t xml:space="preserve">No sampling tables. Records are selected on identified product risks and the investigator's experience and professional knowledge; in most cases multiple records are reviewed.</w:t>
            </w:r>
          </w:p>
          <w:p>
            <w:pPr>
              <w:spacing w:after="40"/>
            </w:pPr>
            <w:r>
              <w:rPr>
                <w:b w:val="false"/>
                <w:bCs w:val="false"/>
                <w:i w:val="false"/>
                <w:iCs w:val="false"/>
                <w:sz w:val="19"/>
                <w:szCs w:val="19"/>
              </w:rPr>
              <w:t xml:space="preserve">Management review, quality audit and supplier audit records are in scope.</w:t>
            </w:r>
          </w:p>
          <w:p>
            <w:pPr>
              <w:spacing w:after="40"/>
            </w:pPr>
            <w:r>
              <w:rPr>
                <w:b w:val="false"/>
                <w:bCs w:val="false"/>
                <w:i w:val="false"/>
                <w:iCs w:val="false"/>
                <w:sz w:val="19"/>
                <w:szCs w:val="19"/>
              </w:rPr>
              <w:t xml:space="preserve">Two inspection models and seven inspection types, including PMA preapproval and postmarket. Cybersecurity for cyber devices and Remote Regulatory Assessments are addressed.</w:t>
            </w:r>
          </w:p>
        </w:tc>
      </w:tr>
    </w:tbl>
    <w:p>
      <w:pPr>
        <w:spacing w:after="120" w:before="0"/>
      </w:pPr>
      <w:r>
        <w:rPr>
          <w:b w:val="false"/>
          <w:bCs w:val="false"/>
          <w:i w:val="false"/>
          <w:iCs w:val="false"/>
          <w:sz w:val="21"/>
          <w:szCs w:val="21"/>
        </w:rPr>
        <w:t xml:space="preserve">The stated goal of an FDA device inspection is to evaluate whether the manufacturer's QMS meets FDA requirements and provides reasonable assurance that devices will be safe and effective, and whether risk management and risk-based decision making are effectively used in the QMS.</w:t>
      </w:r>
    </w:p>
    <w:p>
      <w:pPr>
        <w:pStyle w:val="Heading2"/>
      </w:pPr>
      <w:r>
        <w:t xml:space="preserve">4.2 The six QMS Areas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100"/>
        <w:gridCol w:w="900"/>
        <w:gridCol w:w="7080"/>
      </w:tblGrid>
      <w:tr>
        <w:trPr>
          <w:tblHeader/>
        </w:trPr>
        <w:tc>
          <w:tcPr>
            <w:tcW w:type="dxa" w:w="210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QMS Area</w:t>
            </w:r>
          </w:p>
        </w:tc>
        <w:tc>
          <w:tcPr>
            <w:tcW w:type="dxa" w:w="90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Elements</w:t>
            </w:r>
          </w:p>
        </w:tc>
        <w:tc>
          <w:tcPr>
            <w:tcW w:type="dxa" w:w="708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Requirements (ISO 13485 clauses and QMSR sections)</w:t>
            </w:r>
          </w:p>
        </w:tc>
      </w:tr>
      <w:tr>
        <w:tc>
          <w:tcPr>
            <w:tcW w:type="dxa" w:w="21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Management Oversight</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14</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QMS 4.1.1–4.1.4 · risk-based approach 4.1.2 b) · QMS software validation 4.1.6 · quality manual 4.2.2 · medical device file 4.2.3 · control of documents and records 4.2.1, 4.2.4, 4.2.5 with §820.35 and §820.45 · management commitment 5.1 · customer focus 5.2 · quality policy, objectives and planning 5.3, 5.4.1, 5.4.2 · responsibility, authority and communication 5.5.1–5.5.3 · management review 5.6.1–5.6.3 · provision of resources 6.1 · human resources 6.2 · planning of product realization 7.1</w:t>
            </w:r>
          </w:p>
        </w:tc>
      </w:tr>
      <w:tr>
        <w:tc>
          <w:tcPr>
            <w:tcW w:type="dxa" w:w="21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Design and Development</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12</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Customer-related processes 7.2.1–7.2.3 with §820.10(b)(4) · general 7.3.1 · planning 7.3.2 · inputs 7.3.3 · outputs 7.3.4 · review 7.3.5 · verification 7.3.6 · software validation and validation 7.3.7 · transfer 7.3.8 · control of changes 7.3.9 · files 7.3.10</w:t>
            </w:r>
          </w:p>
        </w:tc>
      </w:tr>
      <w:tr>
        <w:tc>
          <w:tcPr>
            <w:tcW w:type="dxa" w:w="21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Production and Service Provision</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11</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Infrastructure and maintenance 6.3 · work environment and contamination control 6.4.1, 6.4.2 · control of production and service provision 7.5.1 with §820.35 and §820.45 · cleanliness of product 7.5.2 · installation and servicing 7.5.3, 7.5.4 with §820.35 · validation of processes 7.5.6 · sterile devices and sterilization validation 7.5.5, 7.5.7 · identification and traceability 7.5.8, 7.5.9.1, 7.5.9.2 with §820.10(b)(1)(2), §820.35, §820.45 · customer property 7.5.10 · preservation of product 7.5.11 · monitoring and measuring equipment 7.6</w:t>
            </w:r>
          </w:p>
        </w:tc>
      </w:tr>
      <w:tr>
        <w:tc>
          <w:tcPr>
            <w:tcW w:type="dxa" w:w="21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Measurement, Analysis and Improvement</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10</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General 8.1, 8.5.1 · feedback 8.2.1 · complaint handling 8.2.2, 8.2.3 with §820.10(b)(3)(4) and §820.35 · internal audits 8.2.4 · monitoring and measurement of processes 8.2.5 · of product 8.2.6 · control of nonconforming product 8.3.1–8.3.4 with §820.10(b)(4) · analysis of data 8.4 · corrective action 8.5.2 · preventive action 8.5.3</w:t>
            </w:r>
          </w:p>
        </w:tc>
      </w:tr>
      <w:tr>
        <w:tc>
          <w:tcPr>
            <w:tcW w:type="dxa" w:w="21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Outsourcing and Purchasing</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3</w:t>
            </w:r>
          </w:p>
        </w:tc>
        <w:tc>
          <w:tcPr>
            <w:tcW w:type="dxa" w:w="708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Outsourcing 4.1.5 · purchasing process 7.4.1 · purchasing information and purchased product 7.4.2, 7.4.3</w:t>
            </w:r>
          </w:p>
        </w:tc>
      </w:tr>
      <w:tr>
        <w:tc>
          <w:tcPr>
            <w:tcW w:type="dxa" w:w="21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Change Control</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4</w:t>
            </w:r>
          </w:p>
        </w:tc>
        <w:tc>
          <w:tcPr>
            <w:tcW w:type="dxa" w:w="708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QMS changes 4.1.4, 4.2.4, 4.2.5, 5.4.2, 5.6.1–5.6.3, 8.5.1 · software changes 4.1.6, 7.5.6, 7.6 · product and process changes 4.1.4, 7.2.2, 7.3.9, 7.3.10, 7.5.6, 7.5.7 · purchasing changes 7.4.2, 7.4.3</w:t>
            </w:r>
          </w:p>
        </w:tc>
      </w:tr>
    </w:tbl>
    <w:p>
      <w:pPr>
        <w:pStyle w:val="Heading3"/>
      </w:pPr>
      <w:r>
        <w:t xml:space="preserve">The four Other Applicable FDA Requirements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400"/>
        <w:gridCol w:w="2600"/>
        <w:gridCol w:w="5080"/>
      </w:tblGrid>
      <w:tr>
        <w:trPr>
          <w:tblHeader/>
        </w:trPr>
        <w:tc>
          <w:tcPr>
            <w:tcW w:type="dxa" w:w="2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OAFR</w:t>
            </w:r>
          </w:p>
        </w:tc>
        <w:tc>
          <w:tcPr>
            <w:tcW w:type="dxa" w:w="26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Requirements</w:t>
            </w:r>
          </w:p>
        </w:tc>
        <w:tc>
          <w:tcPr>
            <w:tcW w:type="dxa" w:w="50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Purpose</w:t>
            </w:r>
          </w:p>
        </w:tc>
      </w:tr>
      <w:t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Medical Device Reporting</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21 CFR 803; §820.10(b)(3)</w:t>
            </w:r>
          </w:p>
        </w:tc>
        <w:tc>
          <w:tcPr>
            <w:tcW w:type="dxa" w:w="5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Device-related deaths, serious injuries and malfunctions identified, investigated, reported and documented on time</w:t>
            </w:r>
          </w:p>
        </w:tc>
      </w:tr>
      <w:t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Reports of Corrections and Removals</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21 CFR 806; §820.10(b)(4)</w:t>
            </w:r>
          </w:p>
        </w:tc>
        <w:tc>
          <w:tcPr>
            <w:tcW w:type="dxa" w:w="5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FDA promptly notified of corrections and removals that reduce a risk to health or remedy a violation</w:t>
            </w:r>
          </w:p>
        </w:tc>
      </w:tr>
      <w:t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Medical Device Tracking</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21 CFR 821; §820.10(b)(2)</w:t>
            </w:r>
          </w:p>
        </w:tc>
        <w:tc>
          <w:tcPr>
            <w:tcW w:type="dxa" w:w="5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Tracked devices can be located and removed, and patients notified; evaluated where a tracking order was issued</w:t>
            </w:r>
          </w:p>
        </w:tc>
      </w:tr>
      <w:t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Unique Device Identification</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21 CFR 830; §820.45; §820.10(b)(1)</w:t>
            </w:r>
          </w:p>
        </w:tc>
        <w:tc>
          <w:tcPr>
            <w:tcW w:type="dxa" w:w="5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UDI assigned as required and device information correctly submitted and recorded in GUDID</w:t>
            </w:r>
          </w:p>
        </w:tc>
      </w:tr>
    </w:tbl>
    <w:p>
      <w:pPr>
        <w:spacing w:after="120" w:before="0"/>
      </w:pPr>
      <w:r>
        <w:rPr>
          <w:b w:val="false"/>
          <w:bCs w:val="false"/>
          <w:i/>
          <w:iCs/>
          <w:color w:val="5A6B7B"/>
          <w:sz w:val="17"/>
          <w:szCs w:val="17"/>
        </w:rPr>
        <w:t xml:space="preserve">The OAFRs are evaluated during all risk-based inspections except PMA preapproval inspections (tracking only where a tracking order was issued). All four must be reviewed during a PMA postmarket inspection.</w:t>
      </w:r>
    </w:p>
    <w:p>
      <w:pPr>
        <w:pStyle w:val="Heading2"/>
      </w:pPr>
      <w:r>
        <w:t xml:space="preserve">4.3 Inspection types and models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300"/>
        <w:gridCol w:w="6980"/>
        <w:gridCol w:w="800"/>
      </w:tblGrid>
      <w:tr>
        <w:trPr>
          <w:tblHeader/>
        </w:trPr>
        <w:tc>
          <w:tcPr>
            <w:tcW w:type="dxa" w:w="23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Inspection type</w:t>
            </w:r>
          </w:p>
        </w:tc>
        <w:tc>
          <w:tcPr>
            <w:tcW w:type="dxa" w:w="69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Situation</w:t>
            </w:r>
          </w:p>
        </w:tc>
        <w:tc>
          <w:tcPr>
            <w:tcW w:type="dxa" w:w="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Model</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Non-baseline surveillance</w:t>
            </w:r>
          </w:p>
        </w:tc>
        <w:tc>
          <w:tcPr>
            <w:tcW w:type="dxa" w:w="6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most recent FDA device inspection or MDSAP audit was classified NAI or VAI; the site is not currently enrolled in MDSAP</w:t>
            </w:r>
          </w:p>
        </w:tc>
        <w:tc>
          <w:tcPr>
            <w:tcW w:type="dxa" w:w="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w:t>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Baseline surveillance</w:t>
            </w:r>
          </w:p>
        </w:tc>
        <w:tc>
          <w:tcPr>
            <w:tcW w:type="dxa" w:w="6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FDA device inspection or MDSAP audit history, or risk factors indicate a need; not currently enrolled in MDSAP</w:t>
            </w:r>
          </w:p>
        </w:tc>
        <w:tc>
          <w:tcPr>
            <w:tcW w:type="dxa" w:w="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Compliance follow-up</w:t>
            </w:r>
          </w:p>
        </w:tc>
        <w:tc>
          <w:tcPr>
            <w:tcW w:type="dxa" w:w="6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 previous FDA inspection or MDSAP audit resulted in regulatory action; includes monitoring of post-injunction activities</w:t>
            </w:r>
          </w:p>
        </w:tc>
        <w:tc>
          <w:tcPr>
            <w:tcW w:type="dxa" w:w="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w:t>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For-cause</w:t>
            </w:r>
          </w:p>
        </w:tc>
        <w:tc>
          <w:tcPr>
            <w:tcW w:type="dxa" w:w="6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 signal, issue or complaint: prior observations, recalls and removals, MDRs, follow-up to a Remote Regulatory Assessment, MDSAP regulatory audit review</w:t>
            </w:r>
          </w:p>
        </w:tc>
        <w:tc>
          <w:tcPr>
            <w:tcW w:type="dxa" w:w="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Specific Product Risk Assignment</w:t>
            </w:r>
          </w:p>
        </w:tc>
        <w:tc>
          <w:tcPr>
            <w:tcW w:type="dxa" w:w="6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 specific product risk identified by FDA</w:t>
            </w:r>
          </w:p>
        </w:tc>
        <w:tc>
          <w:tcPr>
            <w:tcW w:type="dxa" w:w="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w:t>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PMA preapproval</w:t>
            </w:r>
          </w:p>
        </w:tc>
        <w:tc>
          <w:tcPr>
            <w:tcW w:type="dxa" w:w="6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 PMA application; if required validations are incomplete the inspection should be delayed</w:t>
            </w:r>
          </w:p>
        </w:tc>
        <w:tc>
          <w:tcPr>
            <w:tcW w:type="dxa" w:w="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PMA postmarket</w:t>
            </w:r>
          </w:p>
        </w:tc>
        <w:tc>
          <w:tcPr>
            <w:tcW w:type="dxa" w:w="6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Eight to twelve months after approval</w:t>
            </w:r>
          </w:p>
        </w:tc>
        <w:tc>
          <w:tcPr>
            <w:tcW w:type="dxa" w:w="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w:t>
            </w:r>
          </w:p>
        </w:tc>
      </w:tr>
    </w:tbl>
    <w:p>
      <w:pPr>
        <w:pStyle w:val="Heading3"/>
      </w:pPr>
      <w:r>
        <w:t xml:space="preserve">Model 1</w:t>
      </w:r>
    </w:p>
    <w:p>
      <w:pPr>
        <w:spacing w:after="120" w:before="0"/>
      </w:pPr>
      <w:r>
        <w:rPr>
          <w:b w:val="false"/>
          <w:bCs w:val="false"/>
          <w:i w:val="false"/>
          <w:iCs w:val="false"/>
          <w:sz w:val="21"/>
          <w:szCs w:val="21"/>
        </w:rPr>
        <w:t xml:space="preserve">Identify product risks that could adversely affect patients or users, then select a minimum of one element to evaluate requirements in each of the six QMS Areas, plus all four OAFRs, plus the general items: registration and listing, marketing authorizations, previous 483 and compliance issues, and any areas defined in the assignment.</w:t>
      </w:r>
    </w:p>
    <w:p>
      <w:pPr>
        <w:pStyle w:val="Heading3"/>
      </w:pPr>
      <w:r>
        <w:t xml:space="preserve">Model 2</w:t>
      </w:r>
    </w:p>
    <w:p>
      <w:pPr>
        <w:spacing w:after="120" w:before="0"/>
      </w:pPr>
      <w:r>
        <w:rPr>
          <w:b w:val="false"/>
          <w:bCs w:val="false"/>
          <w:i w:val="false"/>
          <w:iCs w:val="false"/>
          <w:sz w:val="21"/>
          <w:szCs w:val="21"/>
        </w:rPr>
        <w:t xml:space="preserve">Evaluate a prescribed minimum list of elements: Product and Process Changes; the design and development elements from inputs through transfer, including software validation; Management Review, Medical Device File and Planning of Product Realization; Analysis of Data, Control of Nonconforming Product, Complaint Handling, Feedback, Internal Audits, Corrective Action and Preventive Action; Validation of Processes, Control of Production and Service Provision, Identification and Traceability, and, for sterile product, Sterile Medical Devices and Validation of Processes for Sterilization and Sterile Barrier Systems; Outsourcing; plus all four OAFRs. That is 22 elements, or 23 for sterile product.</w:t>
      </w:r>
    </w:p>
    <w:p>
      <w:pPr>
        <w:spacing w:after="120" w:before="0"/>
      </w:pPr>
      <w:r>
        <w:rPr>
          <w:b w:val="false"/>
          <w:bCs w:val="false"/>
          <w:i/>
          <w:iCs/>
          <w:color w:val="5A6B7B"/>
          <w:sz w:val="17"/>
          <w:szCs w:val="17"/>
        </w:rPr>
        <w:t xml:space="preserve">FDA has stressed that both models define minimum requirements and are intentionally flexible: it is normal and expected for investigators to examine additional elements. Surveillance inspections are not conducted at sites actively enrolled in MDSAP, but MDSAP participants may be inspected under compliance follow-up, for-cause and Specific Product Risk Assignment assignments.</w:t>
      </w:r>
    </w:p>
    <w:p>
      <w:pPr>
        <w:pStyle w:val="Heading2"/>
      </w:pPr>
      <w:r>
        <w:t xml:space="preserve">4.4 Risk management as the roadmap</w:t>
      </w:r>
    </w:p>
    <w:p>
      <w:pPr>
        <w:pStyle w:val="ListParagraph"/>
        <w:numPr>
          <w:ilvl w:val="0"/>
          <w:numId w:val="2"/>
        </w:numPr>
        <w:spacing w:after="60"/>
      </w:pPr>
      <w:r>
        <w:rPr>
          <w:b/>
          <w:bCs/>
          <w:i w:val="false"/>
          <w:iCs w:val="false"/>
          <w:sz w:val="21"/>
          <w:szCs w:val="21"/>
        </w:rPr>
        <w:t xml:space="preserve">Before the inspection</w:t>
      </w:r>
      <w:r>
        <w:rPr>
          <w:b w:val="false"/>
          <w:bCs w:val="false"/>
          <w:i w:val="false"/>
          <w:iCs w:val="false"/>
          <w:sz w:val="21"/>
          <w:szCs w:val="21"/>
        </w:rPr>
        <w:t xml:space="preserve"> the investigator may review MDRs, reports of corrections and removals, Device Identifier records in GUDID, consumer and trade complaints, the Total Product Lifecycle report and FDA's compliance management system.</w:t>
      </w:r>
    </w:p>
    <w:p>
      <w:pPr>
        <w:pStyle w:val="ListParagraph"/>
        <w:numPr>
          <w:ilvl w:val="0"/>
          <w:numId w:val="2"/>
        </w:numPr>
        <w:spacing w:after="60"/>
      </w:pPr>
      <w:r>
        <w:rPr>
          <w:b/>
          <w:bCs/>
          <w:i w:val="false"/>
          <w:iCs w:val="false"/>
          <w:sz w:val="21"/>
          <w:szCs w:val="21"/>
        </w:rPr>
        <w:t xml:space="preserve">During the inspection</w:t>
      </w:r>
      <w:r>
        <w:rPr>
          <w:b w:val="false"/>
          <w:bCs w:val="false"/>
          <w:i w:val="false"/>
          <w:iCs w:val="false"/>
          <w:sz w:val="21"/>
          <w:szCs w:val="21"/>
        </w:rPr>
        <w:t xml:space="preserve"> the sources are complaints and customer feedback, postmarket surveillance, risk management documentation, monitoring and measurement of product and processes, process and product trends, and servicing data.</w:t>
      </w:r>
    </w:p>
    <w:p>
      <w:pPr>
        <w:pStyle w:val="ListParagraph"/>
        <w:numPr>
          <w:ilvl w:val="0"/>
          <w:numId w:val="2"/>
        </w:numPr>
        <w:spacing w:after="60"/>
      </w:pPr>
      <w:r>
        <w:rPr>
          <w:b/>
          <w:bCs/>
          <w:i w:val="false"/>
          <w:iCs w:val="false"/>
          <w:sz w:val="21"/>
          <w:szCs w:val="21"/>
        </w:rPr>
        <w:t xml:space="preserve">The thread</w:t>
      </w:r>
      <w:r>
        <w:rPr>
          <w:b w:val="false"/>
          <w:bCs w:val="false"/>
          <w:i w:val="false"/>
          <w:iCs w:val="false"/>
          <w:sz w:val="21"/>
          <w:szCs w:val="21"/>
        </w:rPr>
        <w:t xml:space="preserve">: from an identified product risk into complaint handling, change control, purchasing and outsourcing, production controls, CAPA and management review. Evaluating one requirement may require evaluating others in different areas.</w:t>
      </w:r>
    </w:p>
    <w:p>
      <w:pPr>
        <w:pStyle w:val="ListParagraph"/>
        <w:numPr>
          <w:ilvl w:val="0"/>
          <w:numId w:val="2"/>
        </w:numPr>
        <w:spacing w:after="60"/>
      </w:pPr>
      <w:r>
        <w:rPr>
          <w:b/>
          <w:bCs/>
          <w:i w:val="false"/>
          <w:iCs w:val="false"/>
          <w:sz w:val="21"/>
          <w:szCs w:val="21"/>
        </w:rPr>
        <w:t xml:space="preserve">Administrative processes</w:t>
      </w:r>
      <w:r>
        <w:rPr>
          <w:b w:val="false"/>
          <w:bCs w:val="false"/>
          <w:i w:val="false"/>
          <w:iCs w:val="false"/>
          <w:sz w:val="21"/>
          <w:szCs w:val="21"/>
        </w:rPr>
        <w:t xml:space="preserve">: FDA has said manufacturers need not create separate risk assessments for processes such as document control or training. Reference the product risk documentation and document the decision.</w:t>
      </w:r>
    </w:p>
    <w:p>
      <w:pPr>
        <w:pStyle w:val="Heading3"/>
      </w:pPr>
      <w:r>
        <w:t xml:space="preserve">Situation 1 (OAI) examples, as rewritten for the QMSR</w:t>
      </w:r>
    </w:p>
    <w:p>
      <w:pPr>
        <w:pStyle w:val="ListParagraph"/>
        <w:numPr>
          <w:ilvl w:val="0"/>
          <w:numId w:val="2"/>
        </w:numPr>
        <w:spacing w:after="60"/>
      </w:pPr>
      <w:r>
        <w:rPr>
          <w:b w:val="false"/>
          <w:bCs w:val="false"/>
          <w:i w:val="false"/>
          <w:iCs w:val="false"/>
          <w:sz w:val="21"/>
          <w:szCs w:val="21"/>
        </w:rPr>
        <w:t xml:space="preserve">Failure to establish, implement or maintain one or more elements of the QMS Areas or OAFRs.</w:t>
      </w:r>
    </w:p>
    <w:p>
      <w:pPr>
        <w:pStyle w:val="ListParagraph"/>
        <w:numPr>
          <w:ilvl w:val="0"/>
          <w:numId w:val="2"/>
        </w:numPr>
        <w:spacing w:after="60"/>
      </w:pPr>
      <w:r>
        <w:rPr>
          <w:b w:val="false"/>
          <w:bCs w:val="false"/>
          <w:i w:val="false"/>
          <w:iCs w:val="false"/>
          <w:sz w:val="21"/>
          <w:szCs w:val="21"/>
        </w:rPr>
        <w:t xml:space="preserve">Distribution of nonconforming product that has caused or may result in injury or death without effective mitigation or adequate corrective action.</w:t>
      </w:r>
    </w:p>
    <w:p>
      <w:pPr>
        <w:pStyle w:val="ListParagraph"/>
        <w:numPr>
          <w:ilvl w:val="0"/>
          <w:numId w:val="2"/>
        </w:numPr>
        <w:spacing w:after="60"/>
      </w:pPr>
      <w:r>
        <w:rPr>
          <w:b w:val="false"/>
          <w:bCs w:val="false"/>
          <w:i w:val="false"/>
          <w:iCs w:val="false"/>
          <w:sz w:val="21"/>
          <w:szCs w:val="21"/>
        </w:rPr>
        <w:t xml:space="preserve">Failure to establish, implement or maintain one or more processes for risk management in product realization.</w:t>
      </w:r>
    </w:p>
    <w:p>
      <w:pPr>
        <w:pStyle w:val="ListParagraph"/>
        <w:numPr>
          <w:ilvl w:val="0"/>
          <w:numId w:val="2"/>
        </w:numPr>
        <w:spacing w:after="60"/>
      </w:pPr>
      <w:r>
        <w:rPr>
          <w:b w:val="false"/>
          <w:bCs w:val="false"/>
          <w:i w:val="false"/>
          <w:iCs w:val="false"/>
          <w:sz w:val="21"/>
          <w:szCs w:val="21"/>
        </w:rPr>
        <w:t xml:space="preserve">Failure to monitor, measure, analyse and improve processes that have demonstrated adverse impact on the finished product or patient safety.</w:t>
      </w:r>
    </w:p>
    <w:p>
      <w:pPr>
        <w:pStyle w:val="ListParagraph"/>
        <w:numPr>
          <w:ilvl w:val="0"/>
          <w:numId w:val="2"/>
        </w:numPr>
        <w:spacing w:after="60"/>
      </w:pPr>
      <w:r>
        <w:rPr>
          <w:b w:val="false"/>
          <w:bCs w:val="false"/>
          <w:i w:val="false"/>
          <w:iCs w:val="false"/>
          <w:sz w:val="21"/>
          <w:szCs w:val="21"/>
        </w:rPr>
        <w:t xml:space="preserve">Failure to analyse data adequately, or to use current risk information, resulting in a decision not to investigate or take corrective action.</w:t>
      </w:r>
    </w:p>
    <w:p>
      <w:pPr>
        <w:pStyle w:val="ListParagraph"/>
        <w:numPr>
          <w:ilvl w:val="0"/>
          <w:numId w:val="2"/>
        </w:numPr>
        <w:spacing w:after="60"/>
      </w:pPr>
      <w:r>
        <w:rPr>
          <w:b w:val="false"/>
          <w:bCs w:val="false"/>
          <w:i w:val="false"/>
          <w:iCs w:val="false"/>
          <w:sz w:val="21"/>
          <w:szCs w:val="21"/>
        </w:rPr>
        <w:t xml:space="preserve">Failure to correct the same or similar significant deficiencies from previous inspections.</w:t>
      </w:r>
    </w:p>
    <w:p>
      <w:pPr>
        <w:pStyle w:val="ListParagraph"/>
        <w:numPr>
          <w:ilvl w:val="0"/>
          <w:numId w:val="2"/>
        </w:numPr>
        <w:spacing w:after="60"/>
      </w:pPr>
      <w:r>
        <w:rPr>
          <w:b w:val="false"/>
          <w:bCs w:val="false"/>
          <w:i w:val="false"/>
          <w:iCs w:val="false"/>
          <w:sz w:val="21"/>
          <w:szCs w:val="21"/>
        </w:rPr>
        <w:t xml:space="preserve">Feedback or postmarket surveillance information not used as an input to risk management.</w:t>
      </w:r>
    </w:p>
    <w:p>
      <w:pPr>
        <w:pStyle w:val="ListParagraph"/>
        <w:numPr>
          <w:ilvl w:val="0"/>
          <w:numId w:val="2"/>
        </w:numPr>
        <w:spacing w:after="60"/>
      </w:pPr>
      <w:r>
        <w:rPr>
          <w:b w:val="false"/>
          <w:bCs w:val="false"/>
          <w:i w:val="false"/>
          <w:iCs w:val="false"/>
          <w:sz w:val="21"/>
          <w:szCs w:val="21"/>
        </w:rPr>
        <w:t xml:space="preserve">Failure to control design and development, including not adequately evaluating changes for risk and impact before implementation.</w:t>
      </w:r>
    </w:p>
    <w:p>
      <w:pPr>
        <w:pStyle w:val="ListParagraph"/>
        <w:numPr>
          <w:ilvl w:val="0"/>
          <w:numId w:val="2"/>
        </w:numPr>
        <w:spacing w:after="60"/>
      </w:pPr>
      <w:r>
        <w:rPr>
          <w:b w:val="false"/>
          <w:bCs w:val="false"/>
          <w:i w:val="false"/>
          <w:iCs w:val="false"/>
          <w:sz w:val="21"/>
          <w:szCs w:val="21"/>
        </w:rPr>
        <w:t xml:space="preserve">Failure to ensure processes, including changes, are monitored, controlled or evaluated for risk and impact before implementation.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val="false"/>
                <w:bCs w:val="false"/>
                <w:i w:val="false"/>
                <w:iCs w:val="false"/>
                <w:sz w:val="20"/>
                <w:szCs w:val="20"/>
              </w:rPr>
              <w:t xml:space="preserve">Changes that appear to warrant a new 510(k) or PMA where no submission was made should result in an initial OAI classification. Corrections and corrective action plans, with evidence of corrections implemented, are expected in writing within 15 business days after the inspection closes.</w:t>
            </w:r>
          </w:p>
        </w:tc>
      </w:tr>
    </w:tbl>
    <w:p>
      <w:pPr>
        <w:pStyle w:val="Heading2"/>
      </w:pPr>
      <w:r>
        <w:t xml:space="preserve">4.5 The records that are no longer shielded</w:t>
      </w:r>
    </w:p>
    <w:p>
      <w:pPr>
        <w:spacing w:after="120" w:before="0"/>
      </w:pPr>
      <w:r>
        <w:rPr>
          <w:b w:val="false"/>
          <w:bCs w:val="false"/>
          <w:i w:val="false"/>
          <w:iCs w:val="false"/>
          <w:sz w:val="21"/>
          <w:szCs w:val="21"/>
        </w:rPr>
        <w:t xml:space="preserve">FDA's QMSR FAQ, question 8, asks whether FDA intends to review records previously exempt under §820.180(c). The answer: "Yes. The QMSR gives the FDA the authority to inspect management review, quality audits, and supplier audit reports. The exceptions that existed in the QS regulation at § 820.180(c) are not maintained in the QMSR. ... Such records are maintained in the regular course of business and should be readily available upon inspection."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400"/>
        <w:gridCol w:w="7680"/>
      </w:tblGrid>
      <w:tr>
        <w:trPr>
          <w:tblHeader/>
        </w:trPr>
        <w:tc>
          <w:tcPr>
            <w:tcW w:type="dxa" w:w="2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Record</w:t>
            </w:r>
          </w:p>
        </w:tc>
        <w:tc>
          <w:tcPr>
            <w:tcW w:type="dxa" w:w="76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makes it defensible</w:t>
            </w:r>
          </w:p>
        </w:tc>
      </w:tr>
      <w:t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Management review minutes</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Every Clause 5.6.2 input present, including complaint and feedback trends, regulatory reporting, internal and external audit results, supplier performance, process and product monitoring, and CAPA status; decisions and resource commitments recorded (5.6.3); prior actions followed to closure; risk-based prioritisation visible.</w:t>
            </w:r>
          </w:p>
        </w:tc>
      </w:tr>
      <w:t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Internal audit reports</w:t>
            </w:r>
          </w:p>
        </w:tc>
        <w:tc>
          <w:tcPr>
            <w:tcW w:type="dxa" w:w="7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Scope tied to product risk and mapped to the six QMS Areas and four OAFRs; findings with an evidence trail; nonconformities linked to CAPA; closure evidence; a programme that finds real problems. Audits that find nothing invite deeper review.</w:t>
            </w:r>
          </w:p>
        </w:tc>
      </w:tr>
      <w:t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Supplier audit reports</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Scope proportionate to supplier criticality; follow-up on findings; re-evaluation evidence beyond a scorecard; alignment between the product risk assessment and the controls applied.</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Do not sanitize.</w:t>
            </w:r>
            <w:r>
              <w:rPr>
                <w:b w:val="false"/>
                <w:bCs w:val="false"/>
                <w:i w:val="false"/>
                <w:iCs w:val="false"/>
                <w:sz w:val="20"/>
                <w:szCs w:val="20"/>
              </w:rPr>
              <w:t xml:space="preserve"> FDA emphasised that robust management review and internal and supplier audit programmes are fundamental to a culture of quality. Records that show real problems, real decisions and real follow-through are protective. Empty records are a Management Oversight observation.</w:t>
            </w:r>
          </w:p>
          <w:p>
            <w:pPr>
              <w:spacing w:after="60"/>
            </w:pPr>
            <w:r>
              <w:rPr>
                <w:b/>
                <w:bCs/>
                <w:i w:val="false"/>
                <w:iCs w:val="false"/>
                <w:sz w:val="20"/>
                <w:szCs w:val="20"/>
              </w:rPr>
              <w:t xml:space="preserve">Do</w:t>
            </w:r>
            <w:r>
              <w:rPr>
                <w:b w:val="false"/>
                <w:bCs w:val="false"/>
                <w:i w:val="false"/>
                <w:iCs w:val="false"/>
                <w:sz w:val="20"/>
                <w:szCs w:val="20"/>
              </w:rPr>
              <w:t xml:space="preserve"> mark genuinely confidential records under §820.35(d) before an inspection, and produce records promptly. Records kept at remote locations should be produced by the next working day or two.</w:t>
            </w:r>
          </w:p>
        </w:tc>
      </w:tr>
    </w:tbl>
    <w:p>
      <w:pPr>
        <w:pStyle w:val="Heading2"/>
      </w:pPr>
      <w:r>
        <w:t xml:space="preserve">4.6 How an observation reads</w:t>
      </w:r>
    </w:p>
    <w:p>
      <w:pPr>
        <w:spacing w:after="120" w:before="0"/>
      </w:pPr>
      <w:r>
        <w:rPr>
          <w:b w:val="false"/>
          <w:bCs w:val="false"/>
          <w:i w:val="false"/>
          <w:iCs w:val="false"/>
          <w:sz w:val="21"/>
          <w:szCs w:val="21"/>
        </w:rPr>
        <w:t xml:space="preserve">Both early Warning Letters open with the same adulteration sentence and then cite the standard. Linemaster Switch Corporation (27 May 2026, inspection 4 February to 6 March 2026): "Failure to document one or more processes for risk management in product realization, as required by ISO 13485:2016, Clause 7.1. ... Your firm's Risk Management procedure TM-112 does not define how risk management activities are performed and documented, who is responsible for conducting and approving risk management activities, when risk management documentation must be updated, and how post-market feedback data (including complaints, adverse events, and recalls) is incorporated into risk management." The same letter also cites Clauses 8.3.4, 8.5.2, 6.4.1 and 7.6.</w:t>
      </w:r>
    </w:p>
    <w:p>
      <w:pPr>
        <w:spacing w:after="120" w:before="0"/>
      </w:pPr>
      <w:r>
        <w:rPr>
          <w:b w:val="false"/>
          <w:bCs w:val="false"/>
          <w:i w:val="false"/>
          <w:iCs w:val="false"/>
          <w:sz w:val="21"/>
          <w:szCs w:val="21"/>
        </w:rPr>
        <w:t xml:space="preserve">Koven Technologies (21 July 2026, inspection 2 to 6 February 2026) cites Clauses 7.3.9, 7.1 and 7.4.1, and then a QMSR section directly: "Failure to maintain records of the review, evaluation, and investigation for any complaints involving the possible failure of a device, labeling, or packaging to meet any of its specifications, as required by 21 CFR 820.35(a)."</w:t>
      </w:r>
    </w:p>
    <w:p>
      <w:pPr>
        <w:spacing w:after="120" w:before="0"/>
      </w:pPr>
      <w:r>
        <w:rPr>
          <w:b w:val="false"/>
          <w:bCs w:val="false"/>
          <w:i/>
          <w:iCs/>
          <w:color w:val="5A6B7B"/>
          <w:sz w:val="17"/>
          <w:szCs w:val="17"/>
        </w:rPr>
        <w:t xml:space="preserve">Every device Form 483 also carries the statement that the observations are not an exhaustive listing of objectionable conditions and that the firm is responsible for conducting internal self-audits. Annotation of the 483 is offered on all device inspections.</w:t>
      </w:r>
    </w:p>
    <w:p>
      <w:pPr>
        <w:pStyle w:val="Heading2"/>
      </w:pPr>
      <w:r>
        <w:t xml:space="preserve">4.7 Early enforcement, on the record</w:t>
      </w:r>
    </w:p>
    <w:p>
      <w:pPr>
        <w:pStyle w:val="ListParagraph"/>
        <w:numPr>
          <w:ilvl w:val="0"/>
          <w:numId w:val="2"/>
        </w:numPr>
        <w:spacing w:after="60"/>
      </w:pPr>
      <w:r>
        <w:rPr>
          <w:b w:val="false"/>
          <w:bCs w:val="false"/>
          <w:i w:val="false"/>
          <w:iCs w:val="false"/>
          <w:sz w:val="21"/>
          <w:szCs w:val="21"/>
        </w:rPr>
        <w:t xml:space="preserve">FDA officials reported about 100 QMSR inspections between 2 February and 31 March 2026, and "just north of 100" by 6 May 2026.</w:t>
      </w:r>
    </w:p>
    <w:p>
      <w:pPr>
        <w:pStyle w:val="ListParagraph"/>
        <w:numPr>
          <w:ilvl w:val="0"/>
          <w:numId w:val="2"/>
        </w:numPr>
        <w:spacing w:after="60"/>
      </w:pPr>
      <w:r>
        <w:rPr>
          <w:b w:val="false"/>
          <w:bCs w:val="false"/>
          <w:i w:val="false"/>
          <w:iCs w:val="false"/>
          <w:sz w:val="21"/>
          <w:szCs w:val="21"/>
        </w:rPr>
        <w:t xml:space="preserve">The ranked top Form 483 observation areas for February to mid-April 2026: risk management by a wide margin, then outsourcing and purchasing, complaint handling and feedback, unique device identification, and corrective action.</w:t>
      </w:r>
    </w:p>
    <w:p>
      <w:pPr>
        <w:pStyle w:val="ListParagraph"/>
        <w:numPr>
          <w:ilvl w:val="0"/>
          <w:numId w:val="2"/>
        </w:numPr>
        <w:spacing w:after="60"/>
      </w:pPr>
      <w:r>
        <w:rPr>
          <w:b w:val="false"/>
          <w:bCs w:val="false"/>
          <w:i w:val="false"/>
          <w:iCs w:val="false"/>
          <w:sz w:val="21"/>
          <w:szCs w:val="21"/>
        </w:rPr>
        <w:t xml:space="preserve">By June 2026 FDA described largely the same citation categories as before the QMSR, reordered.</w:t>
      </w:r>
    </w:p>
    <w:p>
      <w:pPr>
        <w:pStyle w:val="ListParagraph"/>
        <w:numPr>
          <w:ilvl w:val="0"/>
          <w:numId w:val="2"/>
        </w:numPr>
        <w:spacing w:after="60"/>
      </w:pPr>
      <w:r>
        <w:rPr>
          <w:b w:val="false"/>
          <w:bCs w:val="false"/>
          <w:i w:val="false"/>
          <w:iCs w:val="false"/>
          <w:sz w:val="21"/>
          <w:szCs w:val="21"/>
        </w:rPr>
        <w:t xml:space="preserve">Recurring deficiencies described by FDA officials: procedures that restate the regulation or the standard without saying what or when; vague or missing risk controls; inconsistent risk scoring between departments; hazards confused with harms; risk analyses not updated with complaint, MDR and recall data; supplier controls not aligned with the product risk assessment.</w:t>
      </w:r>
    </w:p>
    <w:p>
      <w:pPr>
        <w:pStyle w:val="ListParagraph"/>
        <w:numPr>
          <w:ilvl w:val="0"/>
          <w:numId w:val="2"/>
        </w:numPr>
        <w:spacing w:after="60"/>
      </w:pPr>
      <w:r>
        <w:rPr>
          <w:b w:val="false"/>
          <w:bCs w:val="false"/>
          <w:i w:val="false"/>
          <w:iCs w:val="false"/>
          <w:sz w:val="21"/>
          <w:szCs w:val="21"/>
        </w:rPr>
        <w:t xml:space="preserve">For comparison, FDA's FY2025 inspection observation data record 791 system-generated device Form 483s, with the most cited areas being CAPA procedures (§820.100(a), 279 citations), complaint procedures (§820.198(a), 211), purchasing controls (§820.50, 115), nonconforming product (§820.90(a), 95) and process validation (§820.75(a), 93).</w:t>
      </w:r>
    </w:p>
    <w:p>
      <w:pPr>
        <w:spacing w:after="120" w:before="0"/>
      </w:pPr>
      <w:r>
        <w:rPr>
          <w:b w:val="false"/>
          <w:bCs w:val="false"/>
          <w:i/>
          <w:iCs/>
          <w:color w:val="5A6B7B"/>
          <w:sz w:val="17"/>
          <w:szCs w:val="17"/>
        </w:rPr>
        <w:t xml:space="preserve">Percentages in circulation, such as the share of 2026 observations citing ISO clauses or the proportion classified VAI, come from vendor compilations of FDA databases rather than an FDA publication. FDA posts its own fiscal-year citation spreadsheet after the fiscal year ends, so the first official QMSR citation data is expected after 30 September 2026.</w:t>
      </w:r>
    </w:p>
    <w:p>
      <w:pPr>
        <w:pStyle w:val="Heading1"/>
      </w:pPr>
      <w:r>
        <w:t xml:space="preserve">5. From crosswalk to gap assessment</w:t>
      </w:r>
    </w:p>
    <w:p>
      <w:pPr>
        <w:spacing w:after="120" w:before="0"/>
      </w:pPr>
      <w:r>
        <w:rPr>
          <w:b w:val="false"/>
          <w:bCs w:val="false"/>
          <w:i w:val="false"/>
          <w:iCs w:val="false"/>
          <w:sz w:val="21"/>
          <w:szCs w:val="21"/>
        </w:rPr>
        <w:t xml:space="preserve">FDA declined to publish a mapping of the QS regulation to the QMSR, saying a one-to-one comparison would be cumbersome and not a useful tool. The only official mapping is the subpart-level Table 1 in the 2022 proposed rule. Every clause-level crosswalk in circulation, including the one below, is industry-authored. Use it to orient, not as evidence.</w:t>
      </w:r>
    </w:p>
    <w:p>
      <w:pPr>
        <w:pStyle w:val="Heading2"/>
      </w:pPr>
      <w:r>
        <w:t xml:space="preserve">5.1 Crosswalk: former QSR section to ISO 13485 clause and QMSR supplement</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200"/>
        <w:gridCol w:w="1900"/>
        <w:gridCol w:w="2200"/>
        <w:gridCol w:w="3780"/>
      </w:tblGrid>
      <w:tr>
        <w:trPr>
          <w:tblHeader/>
        </w:trPr>
        <w:tc>
          <w:tcPr>
            <w:tcW w:type="dxa" w:w="2200"/>
            <w:shd w:fill="0F2A4A" w:color="auto" w:val="clear"/>
            <w:tcMar>
              <w:top w:type="dxa" w:w="70"/>
              <w:left w:type="dxa" w:w="100"/>
              <w:bottom w:type="dxa" w:w="70"/>
              <w:right w:type="dxa" w:w="100"/>
            </w:tcMar>
            <w:vAlign w:val="top"/>
          </w:tcPr>
          <w:p>
            <w:pPr>
              <w:spacing w:after="40"/>
            </w:pPr>
            <w:r>
              <w:rPr>
                <w:b/>
                <w:bCs/>
                <w:i w:val="false"/>
                <w:iCs w:val="false"/>
                <w:color w:val="FFFFFF"/>
                <w:sz w:val="16"/>
                <w:szCs w:val="16"/>
              </w:rPr>
              <w:t xml:space="preserve">Former QSR section</w:t>
            </w:r>
          </w:p>
        </w:tc>
        <w:tc>
          <w:tcPr>
            <w:tcW w:type="dxa" w:w="1900"/>
            <w:shd w:fill="0F2A4A" w:color="auto" w:val="clear"/>
            <w:tcMar>
              <w:top w:type="dxa" w:w="70"/>
              <w:left w:type="dxa" w:w="100"/>
              <w:bottom w:type="dxa" w:w="70"/>
              <w:right w:type="dxa" w:w="100"/>
            </w:tcMar>
            <w:vAlign w:val="top"/>
          </w:tcPr>
          <w:p>
            <w:pPr>
              <w:spacing w:after="40"/>
            </w:pPr>
            <w:r>
              <w:rPr>
                <w:b/>
                <w:bCs/>
                <w:i w:val="false"/>
                <w:iCs w:val="false"/>
                <w:color w:val="FFFFFF"/>
                <w:sz w:val="16"/>
                <w:szCs w:val="16"/>
              </w:rPr>
              <w:t xml:space="preserve">ISO 13485:2016 clause(s)</w:t>
            </w:r>
          </w:p>
        </w:tc>
        <w:tc>
          <w:tcPr>
            <w:tcW w:type="dxa" w:w="2200"/>
            <w:shd w:fill="0F2A4A" w:color="auto" w:val="clear"/>
            <w:tcMar>
              <w:top w:type="dxa" w:w="70"/>
              <w:left w:type="dxa" w:w="100"/>
              <w:bottom w:type="dxa" w:w="70"/>
              <w:right w:type="dxa" w:w="100"/>
            </w:tcMar>
            <w:vAlign w:val="top"/>
          </w:tcPr>
          <w:p>
            <w:pPr>
              <w:spacing w:after="40"/>
            </w:pPr>
            <w:r>
              <w:rPr>
                <w:b/>
                <w:bCs/>
                <w:i w:val="false"/>
                <w:iCs w:val="false"/>
                <w:color w:val="FFFFFF"/>
                <w:sz w:val="16"/>
                <w:szCs w:val="16"/>
              </w:rPr>
              <w:t xml:space="preserve">QMSR supplement</w:t>
            </w:r>
          </w:p>
        </w:tc>
        <w:tc>
          <w:tcPr>
            <w:tcW w:type="dxa" w:w="3780"/>
            <w:shd w:fill="0F2A4A" w:color="auto" w:val="clear"/>
            <w:tcMar>
              <w:top w:type="dxa" w:w="70"/>
              <w:left w:type="dxa" w:w="100"/>
              <w:bottom w:type="dxa" w:w="70"/>
              <w:right w:type="dxa" w:w="100"/>
            </w:tcMar>
            <w:vAlign w:val="top"/>
          </w:tcPr>
          <w:p>
            <w:pPr>
              <w:spacing w:after="40"/>
            </w:pPr>
            <w:r>
              <w:rPr>
                <w:b/>
                <w:bCs/>
                <w:i w:val="false"/>
                <w:iCs w:val="false"/>
                <w:color w:val="FFFFFF"/>
                <w:sz w:val="16"/>
                <w:szCs w:val="16"/>
              </w:rPr>
              <w:t xml:space="preserve">Substantive delta to test with evidence</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820.5 Quality system</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4.1 QMS general</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§820.10(a): document a QMS complying with ISO 13485</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Risk-based approach to QMS processes (4.1.2 b); outsourced processes (4.1.5); QMS software validation (4.1.6)</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820.20 Management responsibility</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5.1–5.6</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"Top management" replaces "management with executive responsibility"; management review inputs (5.6.2) now inspectable</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820.22 Quality audit</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8.2.4 Internal audit</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Audit reports reviewable by FDA; the audit programme should cover the six QMS Areas and risk integration</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820.25 Personnel</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6.2 Human resources</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Competence on education, training, skills and experience; training effectiveness proportionate to risk; records</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820.30 Design controls</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7.3.1–7.3.10</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§820.10(c) applicability by class</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Design and development file (7.3.10); the explicit independent reviewer of 820.30(e) is not carried over (7.3.5); risk management in 7.1</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820.40 Document controls</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4.2.4 (records 4.2.5)</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§820.35</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"Document" means establish, implement and maintain (Clause 0.2); records readily identifiable and retrievable</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820.50 Purchasing controls</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7.4.1–7.4.3</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Evaluation criteria, monitoring and re-evaluation proportionate to risk; supplier audit reports reviewable; outsourced processes under 4.1.5</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820.60 Identification</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7.5.8</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§820.10(b)(1)</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UDI system documented per Part 830; UDI recorded per device or batch (§820.35(c))</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820.65 Traceability</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7.5.9.1, 7.5.9.2</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§820.10(b)(2), §820.10(d)</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Old 820.65 withdrawn; implant traceability (7.5.9.2) extended to life-supporting and life-sustaining devices</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820.70 Production and process controls</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7.5.1, 6.3, 6.4.1, 6.4.2, 7.5.2</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§820.45</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Contamination control (6.4.2); process agents (7.5.2); software validation (4.1.6, 7.5.6, 7.6)</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820.72 Inspection, measuring and test equipment</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7.6</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Also requires validation of software used for monitoring and measurement (cited in the Linemaster Warning Letter)</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820.75 Process validation</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7.5.6; 7.5.7 sterilization and sterile barrier systems</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The QMSR does not define "process validation"; revalidation criteria must be defined; 7.5.7 is explicit for sterile devices</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820.80 / 820.86 Acceptance activities and status</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7.4.3, 8.2.6, 7.5.8</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Purchased product verification proportionate to risk; product status identification</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820.90 Nonconforming product</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8.3.1–8.3.4</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§820.3(b) rework definition; §820.10(b)(4)</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Concessions need justification and approval (8.3.2); rework only before release for distribution; post-distribution actions are Part 806</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820.100 Corrective and preventive action</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8.5.1, 8.5.2, 8.5.3 (with 8.4, 8.2.1)</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Correction, corrective action and preventive action are distinct (ISO 9000); effectiveness verified; feedback as an input</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820.120 / 820.130 Device labeling and packaging</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7.5.1</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§820.45</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Five-point examination before release or storage; documented release; mix-up prevention; human oversight of automated readers</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820.140 / 820.150 / 820.160 Handling, storage, distribution</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7.5.11; 7.5.9.2</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§820.10(d)</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Risk-based preservation of product; consignee distribution records where 7.5.9.2 applies; obsolete product covered by 7.5.11</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820.170 Installation</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7.5.3</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No FDA supplement</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820.180 Records, general requirements</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4.2.5</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§820.35(a)–(d)</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The §820.180(c) exemption for management review, quality audit and supplier audit reports is removed; confidentiality marking retained in §820.35(d)</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820.181 Device master record</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4.2.3 Medical device file</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Specifications, production, measuring, monitoring and servicing procedures and installation requirements now live in the medical device file</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820.184 Device history record</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7.5.1 (with 7.5.8, 7.5.9)</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§820.35(c)</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No defined record type; content required in the medical device or batch record; UDI recorded per device or batch</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820.186 Quality system record</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4.2 QMS documentation</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No defined record type; quality manual (4.2.2), documents (4.2.4) and records (4.2.5)</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820.198 Complaint files</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8.2.1 feedback, 8.2.2 complaint handling, 8.2.3 reporting</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§820.35(a); §820.10(b)(3)</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Seven record elements; documented justification when a similar complaint was already investigated; MDR evaluation under Part 803</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6"/>
                <w:szCs w:val="16"/>
              </w:rPr>
              <w:t xml:space="preserve">820.200 Servicing</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7.5.4</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§820.35(b)</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Six servicing record elements including UDI; servicing records analysed to decide whether the information is a complaint</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6"/>
                <w:szCs w:val="16"/>
              </w:rPr>
              <w:t xml:space="preserve">820.250 Statistical techniques</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8.4 Analysis of data</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6"/>
                <w:szCs w:val="16"/>
              </w:rPr>
              <w:t xml:space="preserve">Documented procedures for analysis of data; FDA recommends quantitative data commensurate with risk</w:t>
            </w:r>
          </w:p>
        </w:tc>
      </w:tr>
    </w:tbl>
    <w:p>
      <w:pPr>
        <w:pStyle w:val="Heading2"/>
      </w:pPr>
      <w:r>
        <w:t xml:space="preserve">5.2 Terminology</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900"/>
        <w:gridCol w:w="3400"/>
        <w:gridCol w:w="3780"/>
      </w:tblGrid>
      <w:tr>
        <w:trPr>
          <w:tblHeader/>
        </w:trPr>
        <w:tc>
          <w:tcPr>
            <w:tcW w:type="dxa" w:w="290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QSR term</w:t>
            </w:r>
          </w:p>
        </w:tc>
        <w:tc>
          <w:tcPr>
            <w:tcW w:type="dxa" w:w="340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QMSR / ISO 13485 term</w:t>
            </w:r>
          </w:p>
        </w:tc>
        <w:tc>
          <w:tcPr>
            <w:tcW w:type="dxa" w:w="378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Note</w:t>
            </w:r>
          </w:p>
        </w:tc>
      </w:tr>
      <w:tr>
        <w:tc>
          <w:tcPr>
            <w:tcW w:type="dxa" w:w="29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Quality System Regulation; quality system</w:t>
            </w:r>
          </w:p>
        </w:tc>
        <w:tc>
          <w:tcPr>
            <w:tcW w:type="dxa" w:w="34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Quality Management System Regulation; quality management system</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Rename the manual scope; cite 21 CFR 820 and ISO 13485:2016</w:t>
            </w:r>
          </w:p>
        </w:tc>
      </w:tr>
      <w:tr>
        <w:tc>
          <w:tcPr>
            <w:tcW w:type="dxa" w:w="29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Management with executive responsibility</w:t>
            </w:r>
          </w:p>
        </w:tc>
        <w:tc>
          <w:tcPr>
            <w:tcW w:type="dxa" w:w="34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Top management (ISO 9000 definition)</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The expectation of executive-led quality culture is unchanged</w:t>
            </w:r>
          </w:p>
        </w:tc>
      </w:tr>
      <w:tr>
        <w:tc>
          <w:tcPr>
            <w:tcW w:type="dxa" w:w="29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Establish (define, document, implement)</w:t>
            </w:r>
          </w:p>
        </w:tc>
        <w:tc>
          <w:tcPr>
            <w:tcW w:type="dxa" w:w="34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Document (establish, implement, maintain), Clause 0.2</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FDA treats "document" as the broader word</w:t>
            </w:r>
          </w:p>
        </w:tc>
      </w:tr>
      <w:tr>
        <w:tc>
          <w:tcPr>
            <w:tcW w:type="dxa" w:w="29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Device master record (DMR)</w:t>
            </w:r>
          </w:p>
        </w:tc>
        <w:tc>
          <w:tcPr>
            <w:tcW w:type="dxa" w:w="34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Medical device file (4.2.3)</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The rework definition and §820.45(c) both reference the medical device file</w:t>
            </w:r>
          </w:p>
        </w:tc>
      </w:tr>
      <w:tr>
        <w:tc>
          <w:tcPr>
            <w:tcW w:type="dxa" w:w="29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Design history file (DHF)</w:t>
            </w:r>
          </w:p>
        </w:tc>
        <w:tc>
          <w:tcPr>
            <w:tcW w:type="dxa" w:w="34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Design and development file (7.3.10)</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Legacy files need not be retitled</w:t>
            </w:r>
          </w:p>
        </w:tc>
      </w:tr>
      <w:tr>
        <w:tc>
          <w:tcPr>
            <w:tcW w:type="dxa" w:w="29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Device history record (DHR)</w:t>
            </w:r>
          </w:p>
        </w:tc>
        <w:tc>
          <w:tcPr>
            <w:tcW w:type="dxa" w:w="34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Medical device or batch record (7.5.1); UDI per §820.35(c)</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No defined term; the content is still required</w:t>
            </w:r>
          </w:p>
        </w:tc>
      </w:tr>
      <w:tr>
        <w:tc>
          <w:tcPr>
            <w:tcW w:type="dxa" w:w="29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Quality system record</w:t>
            </w:r>
          </w:p>
        </w:tc>
        <w:tc>
          <w:tcPr>
            <w:tcW w:type="dxa" w:w="34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QMS documentation (4.2)</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No defined term</w:t>
            </w:r>
          </w:p>
        </w:tc>
      </w:tr>
      <w:tr>
        <w:tc>
          <w:tcPr>
            <w:tcW w:type="dxa" w:w="29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Manufacturing material</w:t>
            </w:r>
          </w:p>
        </w:tc>
        <w:tc>
          <w:tcPr>
            <w:tcW w:type="dxa" w:w="34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Process agent (7.5.2)</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Assess and control commensurate with risk; removal expected where it affects product</w:t>
            </w:r>
          </w:p>
        </w:tc>
      </w:tr>
      <w:tr>
        <w:tc>
          <w:tcPr>
            <w:tcW w:type="dxa" w:w="29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Nonconformance</w:t>
            </w:r>
          </w:p>
        </w:tc>
        <w:tc>
          <w:tcPr>
            <w:tcW w:type="dxa" w:w="34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Nonconformity (ISO 9000)</w:t>
            </w:r>
          </w:p>
        </w:tc>
        <w:tc>
          <w:tcPr>
            <w:tcW w:type="dxa" w:w="3780"/>
            <w:shd w:fill="F5F8FB" w:color="auto" w:val="clear"/>
            <w:tcMar>
              <w:top w:type="dxa" w:w="70"/>
              <w:left w:type="dxa" w:w="100"/>
              <w:bottom w:type="dxa" w:w="70"/>
              <w:right w:type="dxa" w:w="100"/>
            </w:tcMar>
            <w:vAlign w:val="top"/>
          </w:tcPr>
          <w:p>
            <w:pPr>
              <w:spacing w:after="40"/>
            </w:pPr>
            <w:r>
              <w:rPr>
                <w:sz w:val="17"/>
                <w:szCs w:val="17"/>
              </w:rPr>
              <w:t xml:space="preserve"/>
            </w:r>
          </w:p>
        </w:tc>
      </w:tr>
      <w:tr>
        <w:tc>
          <w:tcPr>
            <w:tcW w:type="dxa" w:w="29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Corrective and preventive action (CAPA)</w:t>
            </w:r>
          </w:p>
        </w:tc>
        <w:tc>
          <w:tcPr>
            <w:tcW w:type="dxa" w:w="34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Correction; corrective action (8.5.2); preventive action (8.5.3) under Improvement (8.5)</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Separate clauses, separate triggers and records</w:t>
            </w:r>
          </w:p>
        </w:tc>
      </w:tr>
      <w:tr>
        <w:tc>
          <w:tcPr>
            <w:tcW w:type="dxa" w:w="29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Complaint files</w:t>
            </w:r>
          </w:p>
        </w:tc>
        <w:tc>
          <w:tcPr>
            <w:tcW w:type="dxa" w:w="34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Feedback (8.2.1); complaint handling (8.2.2); reporting to regulatory authorities (8.2.3)</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Plus the §820.35(a) record content</w:t>
            </w:r>
          </w:p>
        </w:tc>
      </w:tr>
      <w:tr>
        <w:tc>
          <w:tcPr>
            <w:tcW w:type="dxa" w:w="29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Statistical techniques</w:t>
            </w:r>
          </w:p>
        </w:tc>
        <w:tc>
          <w:tcPr>
            <w:tcW w:type="dxa" w:w="34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Analysis of data (8.4)</w:t>
            </w:r>
          </w:p>
        </w:tc>
        <w:tc>
          <w:tcPr>
            <w:tcW w:type="dxa" w:w="3780"/>
            <w:shd w:fill="FFFFFF" w:color="auto" w:val="clear"/>
            <w:tcMar>
              <w:top w:type="dxa" w:w="70"/>
              <w:left w:type="dxa" w:w="100"/>
              <w:bottom w:type="dxa" w:w="70"/>
              <w:right w:type="dxa" w:w="100"/>
            </w:tcMar>
            <w:vAlign w:val="top"/>
          </w:tcPr>
          <w:p>
            <w:pPr>
              <w:spacing w:after="40"/>
            </w:pPr>
            <w:r>
              <w:rPr>
                <w:sz w:val="17"/>
                <w:szCs w:val="17"/>
              </w:rPr>
              <w:t xml:space="preserve"/>
            </w:r>
          </w:p>
        </w:tc>
      </w:tr>
      <w:tr>
        <w:tc>
          <w:tcPr>
            <w:tcW w:type="dxa" w:w="29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Reasonably accessible; readily available</w:t>
            </w:r>
          </w:p>
        </w:tc>
        <w:tc>
          <w:tcPr>
            <w:tcW w:type="dxa" w:w="34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Readily identifiable and retrievable (4.2.5)</w:t>
            </w:r>
          </w:p>
        </w:tc>
        <w:tc>
          <w:tcPr>
            <w:tcW w:type="dxa" w:w="378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Remote records: producible by the next working day or two</w:t>
            </w:r>
          </w:p>
        </w:tc>
      </w:tr>
      <w:tr>
        <w:tc>
          <w:tcPr>
            <w:tcW w:type="dxa" w:w="29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Risk analysis (old 820.30(g))</w:t>
            </w:r>
          </w:p>
        </w:tc>
        <w:tc>
          <w:tcPr>
            <w:tcW w:type="dxa" w:w="34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Risk management throughout the QMS (4.1.2, 7.1, 7.3, 7.4, 7.5, 7.6, 8.2)</w:t>
            </w:r>
          </w:p>
        </w:tc>
        <w:tc>
          <w:tcPr>
            <w:tcW w:type="dxa" w:w="378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ISO 14971 is not incorporated by reference</w:t>
            </w:r>
          </w:p>
        </w:tc>
      </w:tr>
    </w:tbl>
    <w:p>
      <w:pPr>
        <w:spacing w:after="120" w:before="0"/>
      </w:pPr>
      <w:r>
        <w:rPr>
          <w:b w:val="false"/>
          <w:bCs w:val="false"/>
          <w:i/>
          <w:iCs/>
          <w:color w:val="5A6B7B"/>
          <w:sz w:val="17"/>
          <w:szCs w:val="17"/>
        </w:rPr>
        <w:t xml:space="preserve">FDA does not expect pre-2026 records to be revised, recreated or scrubbed of terms such as design history file or device master record. Practice reports from 2026 inspections, however, describe procedures still organised by QSR subpart and citing repealed sections being read as signs of an incomplete transition. The workable answer is new records in the new vocabulary, a controlled definitions table, and a mapping card for anyone who may sit in front of an investigator.</w:t>
      </w:r>
    </w:p>
    <w:p>
      <w:pPr>
        <w:pStyle w:val="Heading2"/>
      </w:pPr>
      <w:r>
        <w:t xml:space="preserve">5.3 A gap assessment that survives an inspection</w:t>
      </w:r>
    </w:p>
    <w:p>
      <w:pPr>
        <w:spacing w:after="120" w:before="0"/>
      </w:pPr>
      <w:r>
        <w:rPr>
          <w:b w:val="false"/>
          <w:bCs w:val="false"/>
          <w:i w:val="false"/>
          <w:iCs w:val="false"/>
          <w:sz w:val="21"/>
          <w:szCs w:val="21"/>
        </w:rPr>
        <w:t xml:space="preserve">A flat crosswalk produces a long, unprioritised list. Score each requirement on three axes instead, and sort by exposure.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000"/>
        <w:gridCol w:w="6280"/>
        <w:gridCol w:w="1800"/>
      </w:tblGrid>
      <w:tr>
        <w:trPr>
          <w:tblHeader/>
        </w:trPr>
        <w:tc>
          <w:tcPr>
            <w:tcW w:type="dxa" w:w="2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Axis</w:t>
            </w:r>
          </w:p>
        </w:tc>
        <w:tc>
          <w:tcPr>
            <w:tcW w:type="dxa" w:w="62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Question</w:t>
            </w:r>
          </w:p>
        </w:tc>
        <w:tc>
          <w:tcPr>
            <w:tcW w:type="dxa" w:w="1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Scoring</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Regulatory gap</w:t>
            </w:r>
          </w:p>
        </w:tc>
        <w:tc>
          <w:tcPr>
            <w:tcW w:type="dxa" w:w="6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Is there a requirement we do not meet?</w:t>
            </w:r>
          </w:p>
        </w:tc>
        <w:tc>
          <w:tcPr>
            <w:tcW w:type="dxa" w:w="1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Yes / No</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Inspection exposure</w:t>
            </w:r>
          </w:p>
        </w:tc>
        <w:tc>
          <w:tcPr>
            <w:tcW w:type="dxa" w:w="6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Would an investigator read this record early? Is the element in Model 2's minimum list? Is it one of the top-cited areas (risk management, purchasing and outsourcing, complaint handling, UDI, corrective action)?</w:t>
            </w:r>
          </w:p>
        </w:tc>
        <w:tc>
          <w:tcPr>
            <w:tcW w:type="dxa" w:w="1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High / Medium / Low</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Effort</w:t>
            </w:r>
          </w:p>
        </w:tc>
        <w:tc>
          <w:tcPr>
            <w:tcW w:type="dxa" w:w="6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What does closure take?</w:t>
            </w:r>
          </w:p>
        </w:tc>
        <w:tc>
          <w:tcPr>
            <w:tcW w:type="dxa" w:w="1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 a form or a clause. M: a procedure and training. L: a system, a validation or a file rebuild</w:t>
            </w:r>
          </w:p>
        </w:tc>
      </w:tr>
    </w:tbl>
    <w:p>
      <w:pPr>
        <w:pStyle w:val="Heading3"/>
      </w:pPr>
      <w:r>
        <w:t xml:space="preserve">The rule that matters: evidence, not procedures</w:t>
      </w:r>
    </w:p>
    <w:p>
      <w:pPr>
        <w:spacing w:after="120" w:before="0"/>
      </w:pPr>
      <w:r>
        <w:rPr>
          <w:b w:val="false"/>
          <w:bCs w:val="false"/>
          <w:i w:val="false"/>
          <w:iCs w:val="false"/>
          <w:sz w:val="21"/>
          <w:szCs w:val="21"/>
        </w:rPr>
        <w:t xml:space="preserve">Because the inspection process tests whether the process works, the decisive column is "record sampled and what it lacked". A row that says "procedure updated" proves nothing. The Gap Assessment Workbook on your table is built this way: one row per Compliance Program element with its ISO clause and QMSR hook, the former QSR section, the current procedure, the evidence sampled, the gap, exposure, effort, a computed priority, owner, due date and verification method, with a dashboard by QMS Area.</w:t>
      </w:r>
    </w:p>
    <w:p>
      <w:pPr>
        <w:pStyle w:val="Heading3"/>
      </w:pPr>
      <w:r>
        <w:t xml:space="preserve">Where certified firms fooled themselves</w:t>
      </w:r>
    </w:p>
    <w:p>
      <w:pPr>
        <w:pStyle w:val="ListParagraph"/>
        <w:numPr>
          <w:ilvl w:val="0"/>
          <w:numId w:val="2"/>
        </w:numPr>
        <w:spacing w:after="60"/>
      </w:pPr>
      <w:r>
        <w:rPr>
          <w:b w:val="false"/>
          <w:bCs w:val="false"/>
          <w:i w:val="false"/>
          <w:iCs w:val="false"/>
          <w:sz w:val="21"/>
          <w:szCs w:val="21"/>
        </w:rPr>
        <w:t xml:space="preserve">Assuming the notified body or MDSAP auditing organization had already tested these areas at FDA depth.</w:t>
      </w:r>
    </w:p>
    <w:p>
      <w:pPr>
        <w:pStyle w:val="ListParagraph"/>
        <w:numPr>
          <w:ilvl w:val="0"/>
          <w:numId w:val="2"/>
        </w:numPr>
        <w:spacing w:after="60"/>
      </w:pPr>
      <w:r>
        <w:rPr>
          <w:b w:val="false"/>
          <w:bCs w:val="false"/>
          <w:i w:val="false"/>
          <w:iCs w:val="false"/>
          <w:sz w:val="21"/>
          <w:szCs w:val="21"/>
        </w:rPr>
        <w:t xml:space="preserve">Assuming complaint and service templates already carried the UDI and a documented Part 803 evaluation.</w:t>
      </w:r>
    </w:p>
    <w:p>
      <w:pPr>
        <w:pStyle w:val="ListParagraph"/>
        <w:numPr>
          <w:ilvl w:val="0"/>
          <w:numId w:val="2"/>
        </w:numPr>
        <w:spacing w:after="60"/>
      </w:pPr>
      <w:r>
        <w:rPr>
          <w:b w:val="false"/>
          <w:bCs w:val="false"/>
          <w:i w:val="false"/>
          <w:iCs w:val="false"/>
          <w:sz w:val="21"/>
          <w:szCs w:val="21"/>
        </w:rPr>
        <w:t xml:space="preserve">Assuming the label release step was already a signed, element-by-element record.</w:t>
      </w:r>
    </w:p>
    <w:p>
      <w:pPr>
        <w:pStyle w:val="ListParagraph"/>
        <w:numPr>
          <w:ilvl w:val="0"/>
          <w:numId w:val="2"/>
        </w:numPr>
        <w:spacing w:after="60"/>
      </w:pPr>
      <w:r>
        <w:rPr>
          <w:b w:val="false"/>
          <w:bCs w:val="false"/>
          <w:i w:val="false"/>
          <w:iCs w:val="false"/>
          <w:sz w:val="21"/>
          <w:szCs w:val="21"/>
        </w:rPr>
        <w:t xml:space="preserve">Assuming management review minutes and audit reports would stay private.</w:t>
      </w:r>
    </w:p>
    <w:p>
      <w:pPr>
        <w:pStyle w:val="ListParagraph"/>
        <w:numPr>
          <w:ilvl w:val="0"/>
          <w:numId w:val="2"/>
        </w:numPr>
        <w:spacing w:after="60"/>
      </w:pPr>
      <w:r>
        <w:rPr>
          <w:b w:val="false"/>
          <w:bCs w:val="false"/>
          <w:i w:val="false"/>
          <w:iCs w:val="false"/>
          <w:sz w:val="21"/>
          <w:szCs w:val="21"/>
        </w:rPr>
        <w:t xml:space="preserve">Measuring "procedures updated" instead of "records produced".</w:t>
      </w:r>
    </w:p>
    <w:p>
      <w:pPr>
        <w:pStyle w:val="Heading2"/>
      </w:pPr>
      <w:r>
        <w:t xml:space="preserve">5.4 What 2026 gap assessments keep finding</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300"/>
        <w:gridCol w:w="7780"/>
      </w:tblGrid>
      <w:tr>
        <w:trPr>
          <w:tblHeader/>
        </w:trPr>
        <w:tc>
          <w:tcPr>
            <w:tcW w:type="dxa" w:w="23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Area</w:t>
            </w:r>
          </w:p>
        </w:tc>
        <w:tc>
          <w:tcPr>
            <w:tcW w:type="dxa" w:w="77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Recurring finding</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Management Oversight</w:t>
            </w:r>
          </w:p>
        </w:tc>
        <w:tc>
          <w:tcPr>
            <w:tcW w:type="dxa" w:w="77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Risk management confined to design, with production, purchasing and complaint processes never referencing the risk file. Management review recorded as operational metrics with no decisions and no follow-up. Internal audits still run on Part 820 checklists. QMS software validated once, years ago, with upgrades never revalidated (Clause 4.1.6). Quality manual still organised by QSR subparts.</w:t>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Measurement, Analysis and Improvement</w:t>
            </w:r>
          </w:p>
        </w:tc>
        <w:tc>
          <w:tcPr>
            <w:tcW w:type="dxa" w:w="77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Complaint records without UDI or a documented Part 803 evaluation. CAPAs closed on the immediate fix, with no root cause and no effectiveness data. Service reports never analysed for complaints. Feedback and postmarket data not fed back into risk, which is an explicit Situation 1 example. Corrective action procedures that do not define cause determination or effectiveness review (cited in the Linemaster letter, Clause 8.5.2).</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Outsourcing, Production, Design</w:t>
            </w:r>
          </w:p>
        </w:tc>
        <w:tc>
          <w:tcPr>
            <w:tcW w:type="dxa" w:w="77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Supplier controls tiered by purchasing category rather than risk, and no supplier audit of a critical contract manufacturer (cited in the Koven letter, Clause 7.4.1). No signed element-by-element label release record (§820.45). Design changes without a documented significance and regulatory assessment (Koven, Clause 7.3.9). Rework performed without documented procedures (Linemaster, Clause 8.3.4). Software used for monitoring and measurement not validated (Linemaster, Clause 7.6).</w:t>
            </w:r>
          </w:p>
        </w:tc>
      </w:tr>
    </w:tbl>
    <w:p>
      <w:pPr>
        <w:pStyle w:val="Heading1"/>
      </w:pPr>
      <w:r>
        <w:t xml:space="preserve">6. The roadmap</w:t>
      </w:r>
    </w:p>
    <w:p>
      <w:pPr>
        <w:pStyle w:val="Heading2"/>
      </w:pPr>
      <w:r>
        <w:t xml:space="preserve">6.1 Five phases with deliverables and exit criteria</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400"/>
        <w:gridCol w:w="4300"/>
        <w:gridCol w:w="4380"/>
      </w:tblGrid>
      <w:tr>
        <w:trPr>
          <w:tblHeader/>
        </w:trPr>
        <w:tc>
          <w:tcPr>
            <w:tcW w:type="dxa" w:w="1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Phase</w:t>
            </w:r>
          </w:p>
        </w:tc>
        <w:tc>
          <w:tcPr>
            <w:tcW w:type="dxa" w:w="43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Deliverable</w:t>
            </w:r>
          </w:p>
        </w:tc>
        <w:tc>
          <w:tcPr>
            <w:tcW w:type="dxa" w:w="43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Exit criterion</w:t>
            </w:r>
          </w:p>
        </w:tc>
      </w:tr>
      <w:tr>
        <w:tc>
          <w:tcPr>
            <w:tcW w:type="dxa" w:w="1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  Mobilize</w:t>
            </w:r>
          </w:p>
        </w:tc>
        <w:tc>
          <w:tcPr>
            <w:tcW w:type="dxa" w:w="43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Charter, executive sponsor, scope and applicability statement (products, sites, Part 4 applicability, Class I exclusions), one named owner per QMS process</w:t>
            </w:r>
          </w:p>
        </w:tc>
        <w:tc>
          <w:tcPr>
            <w:tcW w:type="dxa" w:w="4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 of QMS processes have a named owner</w:t>
            </w:r>
          </w:p>
        </w:tc>
      </w:tr>
      <w:tr>
        <w:tc>
          <w:tcPr>
            <w:tcW w:type="dxa" w:w="1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  Assess</w:t>
            </w:r>
          </w:p>
        </w:tc>
        <w:tc>
          <w:tcPr>
            <w:tcW w:type="dxa" w:w="43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Evidence-based gap workbook covering every Compliance Program 7382.850 element, with an exposure-weighted heat map</w:t>
            </w:r>
          </w:p>
        </w:tc>
        <w:tc>
          <w:tcPr>
            <w:tcW w:type="dxa" w:w="4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Every requirement sampled with at least one record; heat map reviewed and approved by top management</w:t>
            </w:r>
          </w:p>
        </w:tc>
      </w:tr>
      <w:tr>
        <w:tc>
          <w:tcPr>
            <w:tcW w:type="dxa" w:w="1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2  Design</w:t>
            </w:r>
          </w:p>
        </w:tc>
        <w:tc>
          <w:tcPr>
            <w:tcW w:type="dxa" w:w="43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Document architecture decision (rewrite, bridge or hybrid); controlled definitions table; procedure change list; template changes for complaint, service, label release, supplier file and management review agenda</w:t>
            </w:r>
          </w:p>
        </w:tc>
        <w:tc>
          <w:tcPr>
            <w:tcW w:type="dxa" w:w="4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Every gap linked to a specific change with an owner and a date</w:t>
            </w:r>
          </w:p>
        </w:tc>
      </w:tr>
      <w:tr>
        <w:tc>
          <w:tcPr>
            <w:tcW w:type="dxa" w:w="1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3  Implement and train</w:t>
            </w:r>
          </w:p>
        </w:tc>
        <w:tc>
          <w:tcPr>
            <w:tcW w:type="dxa" w:w="43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Revised procedures effective; templates live; competence verified with methods proportionate to risk (Clause 6.2)</w:t>
            </w:r>
          </w:p>
        </w:tc>
        <w:tc>
          <w:tcPr>
            <w:tcW w:type="dxa" w:w="4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Percentage of procedures effective; percentage of staff competence-verified; percentage of new records created on the new templates in the first 30 days</w:t>
            </w:r>
          </w:p>
        </w:tc>
      </w:tr>
      <w:tr>
        <w:tc>
          <w:tcPr>
            <w:tcW w:type="dxa" w:w="1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4  Verify</w:t>
            </w:r>
          </w:p>
        </w:tc>
        <w:tc>
          <w:tcPr>
            <w:tcW w:type="dxa" w:w="43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Internal audit conducted the way Compliance Program 7382.850 would; record-retrieval drills; mock inspection under the applicable model</w:t>
            </w:r>
          </w:p>
        </w:tc>
        <w:tc>
          <w:tcPr>
            <w:tcW w:type="dxa" w:w="4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Zero inspection-critical findings open; median record retrieval under 15 minutes; every mock 483 item closed with evidence</w:t>
            </w:r>
          </w:p>
        </w:tc>
      </w:tr>
      <w:tr>
        <w:tc>
          <w:tcPr>
            <w:tcW w:type="dxa" w:w="1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5  Sustain</w:t>
            </w:r>
          </w:p>
        </w:tc>
        <w:tc>
          <w:tcPr>
            <w:tcW w:type="dxa" w:w="43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Readiness metrics in management review; quarterly retrieval drills; watch list monitored; risk file updated on every trigger</w:t>
            </w:r>
          </w:p>
        </w:tc>
        <w:tc>
          <w:tcPr>
            <w:tcW w:type="dxa" w:w="4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Metrics green two quarters running; every complaint, change and CAPA visibly updates the risk file</w:t>
            </w:r>
          </w:p>
        </w:tc>
      </w:tr>
    </w:tbl>
    <w:p>
      <w:pPr>
        <w:pStyle w:val="Heading3"/>
      </w:pPr>
      <w:r>
        <w:t xml:space="preserve">Two tracks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700"/>
        <w:gridCol w:w="3000"/>
        <w:gridCol w:w="6380"/>
      </w:tblGrid>
      <w:tr>
        <w:trPr>
          <w:tblHeader/>
        </w:trPr>
        <w:tc>
          <w:tcPr>
            <w:tcW w:type="dxa" w:w="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Track</w:t>
            </w:r>
          </w:p>
        </w:tc>
        <w:tc>
          <w:tcPr>
            <w:tcW w:type="dxa" w:w="3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Who</w:t>
            </w:r>
          </w:p>
        </w:tc>
        <w:tc>
          <w:tcPr>
            <w:tcW w:type="dxa" w:w="63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to do</w:t>
            </w:r>
          </w:p>
        </w:tc>
      </w:tr>
      <w:tr>
        <w:tc>
          <w:tcPr>
            <w:tcW w:type="dxa" w:w="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w:t>
            </w:r>
          </w:p>
        </w:tc>
        <w:tc>
          <w:tcPr>
            <w:tcW w:type="dxa" w:w="3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Transition complete; awaiting the first QMSR inspection</w:t>
            </w:r>
          </w:p>
        </w:tc>
        <w:tc>
          <w:tcPr>
            <w:tcW w:type="dxa" w:w="6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Enter at Phase 4 now. Run a mock inspection under the model that applies: Model 1 for most sites, Model 2 if the site has never been inspected or has a PMA. Start from the risk file and pull one thread end to end. Move readiness metrics into management review.</w:t>
            </w:r>
          </w:p>
        </w:tc>
      </w:tr>
      <w:tr>
        <w:tc>
          <w:tcPr>
            <w:tcW w:type="dxa" w:w="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B</w:t>
            </w:r>
          </w:p>
        </w:tc>
        <w:tc>
          <w:tcPr>
            <w:tcW w:type="dxa" w:w="3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Still closing gaps</w:t>
            </w:r>
          </w:p>
        </w:tc>
        <w:tc>
          <w:tcPr>
            <w:tcW w:type="dxa" w:w="6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Compress Phases 1 to 4 into 90 days and sequence by exposure: §820.35 and §820.45 record content first, then risk-file linkage, then management review and internal audit evidence, then supplier controls. Stop polishing the quality manual until those are done.</w:t>
            </w:r>
          </w:p>
        </w:tc>
      </w:tr>
    </w:tbl>
    <w:p>
      <w:pPr>
        <w:pStyle w:val="Heading2"/>
      </w:pPr>
      <w:r>
        <w:t xml:space="preserve">6.2 Sizing the roadmap</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600"/>
        <w:gridCol w:w="7480"/>
      </w:tblGrid>
      <w:tr>
        <w:trPr>
          <w:tblHeader/>
        </w:trPr>
        <w:tc>
          <w:tcPr>
            <w:tcW w:type="dxa" w:w="26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Firm type</w:t>
            </w:r>
          </w:p>
        </w:tc>
        <w:tc>
          <w:tcPr>
            <w:tcW w:type="dxa" w:w="74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 proportionate programme</w:t>
            </w:r>
          </w:p>
        </w:tc>
      </w:tr>
      <w:tr>
        <w:tc>
          <w:tcPr>
            <w:tcW w:type="dxa" w:w="2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Small Class I or CGMP-exempt manufacturer</w:t>
            </w:r>
          </w:p>
        </w:tc>
        <w:tc>
          <w:tcPr>
            <w:tcW w:type="dxa" w:w="7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 two-page applicability statement recording what applies, what is excluded and why, including the documented Clause 7.3 exclusion; complaint records meeting §820.35(a); MDR and Part 806 procedures; UDI; a label release record meeting §820.45; three revised forms; one retrieval drill; one management review using the new inputs.</w:t>
            </w:r>
          </w:p>
        </w:tc>
      </w:tr>
      <w:tr>
        <w:tc>
          <w:tcPr>
            <w:tcW w:type="dxa" w:w="2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Certified Class II or III manufacturer (ISO 13485, MDSAP)</w:t>
            </w:r>
          </w:p>
        </w:tc>
        <w:tc>
          <w:tcPr>
            <w:tcW w:type="dxa" w:w="74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last twenty percent: §820.35 and §820.45 record content and UDI in records; management review, internal audit and supplier audit records written to be read; demonstrated risk linkage from complaint to risk file to change to supplier control to management review; an internal audit programme restructured to the six QMS Areas; a mock inspection under Model 1.</w:t>
            </w:r>
          </w:p>
        </w:tc>
      </w:tr>
      <w:tr>
        <w:tc>
          <w:tcPr>
            <w:tcW w:type="dxa" w:w="2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Drug-led combination product manufacturer</w:t>
            </w:r>
          </w:p>
        </w:tc>
        <w:tc>
          <w:tcPr>
            <w:tcW w:type="dxa" w:w="7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Map the 21 CFR 4.4(b)(1) clauses inside the pharmaceutical quality system with evidence; add documented processes for risk management in product realization with records; complaint handling under Clause 8.2.2 and §820.35(a); servicing records under §820.35(b); verify contract manufacturers' alignment. MDSAP is not available for combination products.</w:t>
            </w:r>
          </w:p>
        </w:tc>
      </w:tr>
    </w:tbl>
    <w:p>
      <w:pPr>
        <w:pStyle w:val="Heading2"/>
      </w:pPr>
      <w:r>
        <w:t xml:space="preserve">6.3 Metrics for management review</w:t>
      </w:r>
    </w:p>
    <w:p>
      <w:pPr>
        <w:spacing w:after="120" w:before="0"/>
      </w:pPr>
      <w:r>
        <w:rPr>
          <w:b w:val="false"/>
          <w:bCs w:val="false"/>
          <w:i w:val="false"/>
          <w:iCs w:val="false"/>
          <w:sz w:val="21"/>
          <w:szCs w:val="21"/>
        </w:rPr>
        <w:t xml:space="preserve">Choose five. Each measures readiness for the inspection process as it actually runs.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4400"/>
        <w:gridCol w:w="1900"/>
        <w:gridCol w:w="2000"/>
        <w:gridCol w:w="1780"/>
      </w:tblGrid>
      <w:tr>
        <w:trPr>
          <w:tblHeader/>
        </w:trPr>
        <w:tc>
          <w:tcPr>
            <w:tcW w:type="dxa" w:w="4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Readiness metric</w:t>
            </w:r>
          </w:p>
        </w:tc>
        <w:tc>
          <w:tcPr>
            <w:tcW w:type="dxa" w:w="1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Target</w:t>
            </w:r>
          </w:p>
        </w:tc>
        <w:tc>
          <w:tcPr>
            <w:tcW w:type="dxa" w:w="2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Data source</w:t>
            </w:r>
          </w:p>
        </w:tc>
        <w:tc>
          <w:tcPr>
            <w:tcW w:type="dxa" w:w="17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Your site</w:t>
            </w:r>
          </w:p>
        </w:tc>
      </w:tr>
      <w:tr>
        <w:tc>
          <w:tcPr>
            <w:tcW w:type="dxa" w:w="4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CP 7382.850 elements with evidence sampled in the last 12 months</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Gap workbook</w:t>
            </w:r>
          </w:p>
        </w:tc>
        <w:tc>
          <w:tcPr>
            <w:tcW w:type="dxa" w:w="17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Open inspection-critical gaps (high exposure, true regulatory gap)</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0</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Gap workbook</w:t>
            </w:r>
          </w:p>
        </w:tc>
        <w:tc>
          <w:tcPr>
            <w:tcW w:type="dxa" w:w="17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Median time to produce a requested record</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15 minutes or less</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Retrieval drills</w:t>
            </w:r>
          </w:p>
        </w:tc>
        <w:tc>
          <w:tcPr>
            <w:tcW w:type="dxa" w:w="17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Complaint records complete against the §820.35(a) elements</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Complaint system audit</w:t>
            </w:r>
          </w:p>
        </w:tc>
        <w:tc>
          <w:tcPr>
            <w:tcW w:type="dxa" w:w="17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Servicing records with UDI and all required elements</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Service records audit</w:t>
            </w:r>
          </w:p>
        </w:tc>
        <w:tc>
          <w:tcPr>
            <w:tcW w:type="dxa" w:w="17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Lots with a documented five-point label examination and release</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Batch records</w:t>
            </w:r>
          </w:p>
        </w:tc>
        <w:tc>
          <w:tcPr>
            <w:tcW w:type="dxa" w:w="17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Risk files updated after complaint, CAPA or change triggers</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 within the defined time</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Risk management system</w:t>
            </w:r>
          </w:p>
        </w:tc>
        <w:tc>
          <w:tcPr>
            <w:tcW w:type="dxa" w:w="17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CAPAs closed with effectiveness data</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CAPA system</w:t>
            </w:r>
          </w:p>
        </w:tc>
        <w:tc>
          <w:tcPr>
            <w:tcW w:type="dxa" w:w="17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Critical suppliers with risk-tiered controls and a current evaluation</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Supplier files</w:t>
            </w:r>
          </w:p>
        </w:tc>
        <w:tc>
          <w:tcPr>
            <w:tcW w:type="dxa" w:w="17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Internal audit coverage of the six QMS Areas and four OAFRs</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All areas each cycle</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Audit programme</w:t>
            </w:r>
          </w:p>
        </w:tc>
        <w:tc>
          <w:tcPr>
            <w:tcW w:type="dxa" w:w="17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Management review actions closed on time</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95% or more</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Management review log</w:t>
            </w:r>
          </w:p>
        </w:tc>
        <w:tc>
          <w:tcPr>
            <w:tcW w:type="dxa" w:w="17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44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Competence verified for high-risk processes (beyond read-and-sign)</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Training records</w:t>
            </w:r>
          </w:p>
        </w:tc>
        <w:tc>
          <w:tcPr>
            <w:tcW w:type="dxa" w:w="1780"/>
            <w:shd w:fill="FFFFFF" w:color="auto" w:val="clear"/>
            <w:tcMar>
              <w:top w:type="dxa" w:w="70"/>
              <w:left w:type="dxa" w:w="100"/>
              <w:bottom w:type="dxa" w:w="70"/>
              <w:right w:type="dxa" w:w="100"/>
            </w:tcMar>
            <w:vAlign w:val="top"/>
          </w:tcPr>
          <w:p>
            <w:pPr>
              <w:spacing w:after="40"/>
            </w:pPr>
            <w:r>
              <w:rPr>
                <w:sz w:val="19"/>
                <w:szCs w:val="19"/>
              </w:rPr>
              <w:t xml:space="preserve"/>
            </w:r>
          </w:p>
        </w:tc>
      </w:tr>
    </w:tbl>
    <w:p>
      <w:pPr>
        <w:pStyle w:val="Heading1"/>
      </w:pPr>
      <w:r>
        <w:t xml:space="preserve">7. Readiness self-test</w:t>
      </w:r>
    </w:p>
    <w:p>
      <w:pPr>
        <w:spacing w:after="120" w:before="0"/>
      </w:pPr>
      <w:r>
        <w:rPr>
          <w:b w:val="false"/>
          <w:bCs w:val="false"/>
          <w:i w:val="false"/>
          <w:iCs w:val="false"/>
          <w:sz w:val="21"/>
          <w:szCs w:val="21"/>
        </w:rPr>
        <w:t xml:space="preserve">Tick each statement you can say yes to without hesitation.</w:t>
      </w:r>
    </w:p>
    <w:p>
      <w:pPr>
        <w:pStyle w:val="ListParagraph"/>
        <w:numPr>
          <w:ilvl w:val="0"/>
          <w:numId w:val="3"/>
        </w:numPr>
        <w:spacing w:after="80"/>
      </w:pPr>
      <w:r>
        <w:rPr>
          <w:b w:val="false"/>
          <w:bCs w:val="false"/>
          <w:i w:val="false"/>
          <w:iCs w:val="false"/>
          <w:sz w:val="21"/>
          <w:szCs w:val="21"/>
        </w:rPr>
        <w:t xml:space="preserve">Your quality manual scope cites 21 CFR 820 (QMSR) and ISO 13485:2016, and names the roles you perform.</w:t>
      </w:r>
    </w:p>
    <w:p>
      <w:pPr>
        <w:pStyle w:val="ListParagraph"/>
        <w:numPr>
          <w:ilvl w:val="0"/>
          <w:numId w:val="3"/>
        </w:numPr>
        <w:spacing w:after="80"/>
      </w:pPr>
      <w:r>
        <w:rPr>
          <w:b w:val="false"/>
          <w:bCs w:val="false"/>
          <w:i w:val="false"/>
          <w:iCs w:val="false"/>
          <w:sz w:val="21"/>
          <w:szCs w:val="21"/>
        </w:rPr>
        <w:t xml:space="preserve">No procedure, form or audit checklist cites a section that no longer exists (820.30, 820.50, 820.100, 820.180, 820.198) as current law.</w:t>
      </w:r>
    </w:p>
    <w:p>
      <w:pPr>
        <w:pStyle w:val="ListParagraph"/>
        <w:numPr>
          <w:ilvl w:val="0"/>
          <w:numId w:val="3"/>
        </w:numPr>
        <w:spacing w:after="80"/>
      </w:pPr>
      <w:r>
        <w:rPr>
          <w:b w:val="false"/>
          <w:bCs w:val="false"/>
          <w:i w:val="false"/>
          <w:iCs w:val="false"/>
          <w:sz w:val="21"/>
          <w:szCs w:val="21"/>
        </w:rPr>
        <w:t xml:space="preserve">Every complaint record carries all seven §820.35(a) elements, including UDI, and a documented Part 803 reportability evaluation.</w:t>
      </w:r>
    </w:p>
    <w:p>
      <w:pPr>
        <w:pStyle w:val="ListParagraph"/>
        <w:numPr>
          <w:ilvl w:val="0"/>
          <w:numId w:val="3"/>
        </w:numPr>
        <w:spacing w:after="80"/>
      </w:pPr>
      <w:r>
        <w:rPr>
          <w:b w:val="false"/>
          <w:bCs w:val="false"/>
          <w:i w:val="false"/>
          <w:iCs w:val="false"/>
          <w:sz w:val="21"/>
          <w:szCs w:val="21"/>
        </w:rPr>
        <w:t xml:space="preserve">Every servicing record carries the six §820.35(b) elements, and servicing records are analysed for complaints.</w:t>
      </w:r>
    </w:p>
    <w:p>
      <w:pPr>
        <w:pStyle w:val="ListParagraph"/>
        <w:numPr>
          <w:ilvl w:val="0"/>
          <w:numId w:val="3"/>
        </w:numPr>
        <w:spacing w:after="80"/>
      </w:pPr>
      <w:r>
        <w:rPr>
          <w:b w:val="false"/>
          <w:bCs w:val="false"/>
          <w:i w:val="false"/>
          <w:iCs w:val="false"/>
          <w:sz w:val="21"/>
          <w:szCs w:val="21"/>
        </w:rPr>
        <w:t xml:space="preserve">Each lot has a signed, element-by-element label examination and a documented labeling release under §820.45.</w:t>
      </w:r>
    </w:p>
    <w:p>
      <w:pPr>
        <w:pStyle w:val="ListParagraph"/>
        <w:numPr>
          <w:ilvl w:val="0"/>
          <w:numId w:val="3"/>
        </w:numPr>
        <w:spacing w:after="80"/>
      </w:pPr>
      <w:r>
        <w:rPr>
          <w:b w:val="false"/>
          <w:bCs w:val="false"/>
          <w:i w:val="false"/>
          <w:iCs w:val="false"/>
          <w:sz w:val="21"/>
          <w:szCs w:val="21"/>
        </w:rPr>
        <w:t xml:space="preserve">The UDI is recorded for each device or batch, and GUDID entries match the labels in use.</w:t>
      </w:r>
    </w:p>
    <w:p>
      <w:pPr>
        <w:pStyle w:val="ListParagraph"/>
        <w:numPr>
          <w:ilvl w:val="0"/>
          <w:numId w:val="3"/>
        </w:numPr>
        <w:spacing w:after="80"/>
      </w:pPr>
      <w:r>
        <w:rPr>
          <w:b w:val="false"/>
          <w:bCs w:val="false"/>
          <w:i w:val="false"/>
          <w:iCs w:val="false"/>
          <w:sz w:val="21"/>
          <w:szCs w:val="21"/>
        </w:rPr>
        <w:t xml:space="preserve">Your last two management reviews contain every Clause 5.6.2 input, recorded decisions, resource commitments and follow-up of prior actions.</w:t>
      </w:r>
    </w:p>
    <w:p>
      <w:pPr>
        <w:pStyle w:val="ListParagraph"/>
        <w:numPr>
          <w:ilvl w:val="0"/>
          <w:numId w:val="3"/>
        </w:numPr>
        <w:spacing w:after="80"/>
      </w:pPr>
      <w:r>
        <w:rPr>
          <w:b w:val="false"/>
          <w:bCs w:val="false"/>
          <w:i w:val="false"/>
          <w:iCs w:val="false"/>
          <w:sz w:val="21"/>
          <w:szCs w:val="21"/>
        </w:rPr>
        <w:t xml:space="preserve">Your internal audit programme covers the six QMS Areas and four OAFRs, and tests how risk management is integrated.</w:t>
      </w:r>
    </w:p>
    <w:p>
      <w:pPr>
        <w:pStyle w:val="ListParagraph"/>
        <w:numPr>
          <w:ilvl w:val="0"/>
          <w:numId w:val="3"/>
        </w:numPr>
        <w:spacing w:after="80"/>
      </w:pPr>
      <w:r>
        <w:rPr>
          <w:b w:val="false"/>
          <w:bCs w:val="false"/>
          <w:i w:val="false"/>
          <w:iCs w:val="false"/>
          <w:sz w:val="21"/>
          <w:szCs w:val="21"/>
        </w:rPr>
        <w:t xml:space="preserve">Supplier controls are tiered by risk, and each critical supplier has a current evaluation with monitoring evidence.</w:t>
      </w:r>
    </w:p>
    <w:p>
      <w:pPr>
        <w:pStyle w:val="ListParagraph"/>
        <w:numPr>
          <w:ilvl w:val="0"/>
          <w:numId w:val="3"/>
        </w:numPr>
        <w:spacing w:after="80"/>
      </w:pPr>
      <w:r>
        <w:rPr>
          <w:b w:val="false"/>
          <w:bCs w:val="false"/>
          <w:i w:val="false"/>
          <w:iCs w:val="false"/>
          <w:sz w:val="21"/>
          <w:szCs w:val="21"/>
        </w:rPr>
        <w:t xml:space="preserve">Every complaint, CAPA and change in the last year shows a documented update to, or assessment against, the risk file.</w:t>
      </w:r>
    </w:p>
    <w:p>
      <w:pPr>
        <w:pStyle w:val="ListParagraph"/>
        <w:numPr>
          <w:ilvl w:val="0"/>
          <w:numId w:val="3"/>
        </w:numPr>
        <w:spacing w:after="80"/>
      </w:pPr>
      <w:r>
        <w:rPr>
          <w:b w:val="false"/>
          <w:bCs w:val="false"/>
          <w:i w:val="false"/>
          <w:iCs w:val="false"/>
          <w:sz w:val="21"/>
          <w:szCs w:val="21"/>
        </w:rPr>
        <w:t xml:space="preserve">Your documented design and development applicability decision under §820.10(c) is current for every product family.</w:t>
      </w:r>
    </w:p>
    <w:p>
      <w:pPr>
        <w:pStyle w:val="ListParagraph"/>
        <w:numPr>
          <w:ilvl w:val="0"/>
          <w:numId w:val="3"/>
        </w:numPr>
        <w:spacing w:after="80"/>
      </w:pPr>
      <w:r>
        <w:rPr>
          <w:b w:val="false"/>
          <w:bCs w:val="false"/>
          <w:i w:val="false"/>
          <w:iCs w:val="false"/>
          <w:sz w:val="21"/>
          <w:szCs w:val="21"/>
        </w:rPr>
        <w:t xml:space="preserve">You can produce any requested record within 15 minutes, including records created before 2 February 2026.</w:t>
      </w:r>
    </w:p>
    <w:p>
      <w:pPr>
        <w:pStyle w:val="ListParagraph"/>
        <w:numPr>
          <w:ilvl w:val="0"/>
          <w:numId w:val="3"/>
        </w:numPr>
        <w:spacing w:after="80"/>
      </w:pPr>
      <w:r>
        <w:rPr>
          <w:b w:val="false"/>
          <w:bCs w:val="false"/>
          <w:i w:val="false"/>
          <w:iCs w:val="false"/>
          <w:sz w:val="21"/>
          <w:szCs w:val="21"/>
        </w:rPr>
        <w:t xml:space="preserve">You have run a mock inspection under the model that applies to you (Model 1, or Model 2 for a first-time site or PMA).</w:t>
      </w:r>
    </w:p>
    <w:p>
      <w:pPr>
        <w:pStyle w:val="ListParagraph"/>
        <w:numPr>
          <w:ilvl w:val="0"/>
          <w:numId w:val="3"/>
        </w:numPr>
        <w:spacing w:after="80"/>
      </w:pPr>
      <w:r>
        <w:rPr>
          <w:b w:val="false"/>
          <w:bCs w:val="false"/>
          <w:i w:val="false"/>
          <w:iCs w:val="false"/>
          <w:sz w:val="21"/>
          <w:szCs w:val="21"/>
        </w:rPr>
        <w:t xml:space="preserve">Front-room staff can answer "show me how risk informed this decision" in three parts without reciting a procedure number.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12–14:</w:t>
            </w:r>
            <w:r>
              <w:rPr>
                <w:b w:val="false"/>
                <w:bCs w:val="false"/>
                <w:i w:val="false"/>
                <w:iCs w:val="false"/>
                <w:sz w:val="20"/>
                <w:szCs w:val="20"/>
              </w:rPr>
              <w:t xml:space="preserve"> ready; run the mock inspection and move to metrics.</w:t>
            </w:r>
          </w:p>
          <w:p>
            <w:pPr>
              <w:spacing w:after="60"/>
            </w:pPr>
            <w:r>
              <w:rPr>
                <w:b/>
                <w:bCs/>
                <w:i w:val="false"/>
                <w:iCs w:val="false"/>
                <w:sz w:val="20"/>
                <w:szCs w:val="20"/>
              </w:rPr>
              <w:t xml:space="preserve">8–11:</w:t>
            </w:r>
            <w:r>
              <w:rPr>
                <w:b w:val="false"/>
                <w:bCs w:val="false"/>
                <w:i w:val="false"/>
                <w:iCs w:val="false"/>
                <w:sz w:val="20"/>
                <w:szCs w:val="20"/>
              </w:rPr>
              <w:t xml:space="preserve"> exposed, and you know where. Work the unticked items by exposure.</w:t>
            </w:r>
          </w:p>
          <w:p>
            <w:pPr>
              <w:spacing w:after="60"/>
            </w:pPr>
            <w:r>
              <w:rPr>
                <w:b/>
                <w:bCs/>
                <w:i w:val="false"/>
                <w:iCs w:val="false"/>
                <w:sz w:val="20"/>
                <w:szCs w:val="20"/>
              </w:rPr>
              <w:t xml:space="preserve">7 or fewer:</w:t>
            </w:r>
            <w:r>
              <w:rPr>
                <w:b w:val="false"/>
                <w:bCs w:val="false"/>
                <w:i w:val="false"/>
                <w:iCs w:val="false"/>
                <w:sz w:val="20"/>
                <w:szCs w:val="20"/>
              </w:rPr>
              <w:t xml:space="preserve"> start with §820.35 and §820.45 record content and the management review and internal audit records. Those are what the first inspection will read.</w:t>
            </w:r>
          </w:p>
        </w:tc>
      </w:tr>
    </w:tbl>
    <w:p>
      <w:pPr>
        <w:pStyle w:val="Heading1"/>
      </w:pPr>
      <w:r>
        <w:t xml:space="preserve">8. Your 30-60-90 day plan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700"/>
        <w:gridCol w:w="5180"/>
        <w:gridCol w:w="1800"/>
        <w:gridCol w:w="1400"/>
      </w:tblGrid>
      <w:tr>
        <w:trPr>
          <w:tblHeader/>
        </w:trPr>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Window</w:t>
            </w:r>
          </w:p>
        </w:tc>
        <w:tc>
          <w:tcPr>
            <w:tcW w:type="dxa" w:w="5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Action</w:t>
            </w:r>
          </w:p>
        </w:tc>
        <w:tc>
          <w:tcPr>
            <w:tcW w:type="dxa" w:w="1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Owner</w:t>
            </w:r>
          </w:p>
        </w:tc>
        <w:tc>
          <w:tcPr>
            <w:tcW w:type="dxa" w:w="1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Due</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First 30 days</w:t>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Fix complaint and service record templates to carry every §820.35 element, including UDI and the documented Part 803 evaluation</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Add a signed, element-by-element label examination and release record under §820.45</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Sweep procedures, forms and audit checklists for citations to repealed sections; correct the citations without rewriting content</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Rewrite the management review agenda to the Clause 5.6.2 inputs, with decisions and resource commitments recorded</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Days 31–60</w:t>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Run the evidence-based gap assessment across all Compliance Program elements; produce the exposure heat map for top management</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Restructure the internal audit programme to the six QMS Areas and four OAFRs, and test risk integration</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Tier suppliers by risk; close the evaluation and monitoring evidence gaps for critical suppliers</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Confirm the risk file updates on complaint, CAPA and change triggers, and that post-market data reaches it</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Days 61–90</w:t>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Run a mock inspection under the applicable model, starting from the risk file and pulling one thread end to end</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Run record-retrieval drills against a 15-minute target, including pre-2026 records</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Put five readiness metrics into management review</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Schedule the next drill and the annual cycle</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bl>
    <w:p>
      <w:r>
        <w:br w:type="page"/>
      </w:r>
    </w:p>
    <w:p>
      <w:pPr>
        <w:pStyle w:val="Heading1"/>
      </w:pPr>
      <w:r>
        <w:t xml:space="preserve">Appendix A. Glossary</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000"/>
        <w:gridCol w:w="8080"/>
      </w:tblGrid>
      <w:tr>
        <w:trPr>
          <w:tblHeader/>
        </w:trPr>
        <w:tc>
          <w:tcPr>
            <w:tcW w:type="dxa" w:w="2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Term</w:t>
            </w:r>
          </w:p>
        </w:tc>
        <w:tc>
          <w:tcPr>
            <w:tcW w:type="dxa" w:w="80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Meaning</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482 / 483</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Form FDA 482, Notice of Inspection; Form FDA 483, Inspectional Observations</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CGMP</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Current good manufacturing practice</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CP 7382.850</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Compliance Program 7382.850, Inspection of Medical Device Manufacturers, in force from 2 February 2026</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DDF</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Design and development file (ISO 13485 Clause 7.3.10), successor to the design history file</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EIR</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Establishment Inspection Report</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GUDID</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Global Unique Device Identification Database</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IBR</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Incorporation by reference</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MDF</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Medical device file (ISO 13485 Clause 4.2.3), successor to the device master record</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MDR</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Medical device reporting under 21 CFR Part 803</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MDSAP</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Medical Device Single Audit Program (Australia, Brazil, Canada, Japan, USA)</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NAI / VAI / OAI</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Action Indicated; Voluntary Action Indicated; Official Action Indicated</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OAFR</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Other Applicable FDA Requirement, as defined in Compliance Program 7382.850</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QMSR</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Quality Management System Regulation, 21 CFR Part 820, effective 2 February 2026</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QSIT</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Quality System Inspection Technique, withdrawn 2 February 2026</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QSR / QS regulation</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former Quality System Regulation</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RRA</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Remote Regulatory Assessment under FD&amp;C Act section 704(a)(4)</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SPRA</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Specific Product Risk Assignment inspection</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TPLC</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Total Product Lifecycle report</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UDI / UPC</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Unique device identifier; universal product code</w:t>
            </w:r>
          </w:p>
        </w:tc>
      </w:tr>
    </w:tbl>
    <w:p>
      <w:pPr>
        <w:pStyle w:val="Heading1"/>
      </w:pPr>
      <w:r>
        <w:t xml:space="preserve">Appendix B. References</w:t>
      </w:r>
    </w:p>
    <w:p>
      <w:pPr>
        <w:pStyle w:val="Heading3"/>
      </w:pPr>
      <w:r>
        <w:t xml:space="preserve">Regulation and rulemaking</w:t>
      </w:r>
    </w:p>
    <w:p>
      <w:pPr>
        <w:pStyle w:val="ListParagraph"/>
        <w:numPr>
          <w:ilvl w:val="0"/>
          <w:numId w:val="2"/>
        </w:numPr>
        <w:spacing w:after="60"/>
      </w:pPr>
      <w:r>
        <w:rPr>
          <w:b w:val="false"/>
          <w:bCs w:val="false"/>
          <w:i w:val="false"/>
          <w:iCs w:val="false"/>
          <w:sz w:val="21"/>
          <w:szCs w:val="21"/>
        </w:rPr>
        <w:t xml:space="preserve">21 CFR Part 820, Quality Management System Regulation (as in force from 2 February 2026): §820.1, §820.3, §820.7, §820.10, §820.35, §820.45</w:t>
      </w:r>
    </w:p>
    <w:p>
      <w:pPr>
        <w:pStyle w:val="ListParagraph"/>
        <w:numPr>
          <w:ilvl w:val="0"/>
          <w:numId w:val="2"/>
        </w:numPr>
        <w:spacing w:after="60"/>
      </w:pPr>
      <w:r>
        <w:rPr>
          <w:b w:val="false"/>
          <w:bCs w:val="false"/>
          <w:i w:val="false"/>
          <w:iCs w:val="false"/>
          <w:sz w:val="21"/>
          <w:szCs w:val="21"/>
        </w:rPr>
        <w:t xml:space="preserve">Final rule: Medical Devices; Quality System Regulation Amendments, 89 FR 7496 (2 February 2024), Docket FDA-2021-N-0507, RIN 0910-AH99</w:t>
      </w:r>
    </w:p>
    <w:p>
      <w:pPr>
        <w:pStyle w:val="ListParagraph"/>
        <w:numPr>
          <w:ilvl w:val="0"/>
          <w:numId w:val="2"/>
        </w:numPr>
        <w:spacing w:after="60"/>
      </w:pPr>
      <w:r>
        <w:rPr>
          <w:b w:val="false"/>
          <w:bCs w:val="false"/>
          <w:i w:val="false"/>
          <w:iCs w:val="false"/>
          <w:sz w:val="21"/>
          <w:szCs w:val="21"/>
        </w:rPr>
        <w:t xml:space="preserve">Correction, 89 FR 82945 (15 October 2024): restores the "batch or lot" definition in §820.3(a)</w:t>
      </w:r>
    </w:p>
    <w:p>
      <w:pPr>
        <w:pStyle w:val="ListParagraph"/>
        <w:numPr>
          <w:ilvl w:val="0"/>
          <w:numId w:val="2"/>
        </w:numPr>
        <w:spacing w:after="60"/>
      </w:pPr>
      <w:r>
        <w:rPr>
          <w:b w:val="false"/>
          <w:bCs w:val="false"/>
          <w:i w:val="false"/>
          <w:iCs w:val="false"/>
          <w:sz w:val="21"/>
          <w:szCs w:val="21"/>
        </w:rPr>
        <w:t xml:space="preserve">Proposed rule, 87 FR 10119 (23 February 2022), including Table 1, FDA's only official subpart-level mapping</w:t>
      </w:r>
    </w:p>
    <w:p>
      <w:pPr>
        <w:pStyle w:val="ListParagraph"/>
        <w:numPr>
          <w:ilvl w:val="0"/>
          <w:numId w:val="2"/>
        </w:numPr>
        <w:spacing w:after="60"/>
      </w:pPr>
      <w:r>
        <w:rPr>
          <w:b w:val="false"/>
          <w:bCs w:val="false"/>
          <w:i w:val="false"/>
          <w:iCs w:val="false"/>
          <w:sz w:val="21"/>
          <w:szCs w:val="21"/>
        </w:rPr>
        <w:t xml:space="preserve">Medical Devices; Quality Management System Regulation Technical Amendments, 90 FR 55978 (4 December 2025): 179 sections in 18 parts</w:t>
      </w:r>
    </w:p>
    <w:p>
      <w:pPr>
        <w:pStyle w:val="ListParagraph"/>
        <w:numPr>
          <w:ilvl w:val="0"/>
          <w:numId w:val="2"/>
        </w:numPr>
        <w:spacing w:after="60"/>
      </w:pPr>
      <w:r>
        <w:rPr>
          <w:b w:val="false"/>
          <w:bCs w:val="false"/>
          <w:i w:val="false"/>
          <w:iCs w:val="false"/>
          <w:sz w:val="21"/>
          <w:szCs w:val="21"/>
        </w:rPr>
        <w:t xml:space="preserve">21 CFR 4.2 and 4.4 (combination products); 21 CFR Parts 803, 806, 821, 830; 21 CFR Part 11</w:t>
      </w:r>
    </w:p>
    <w:p>
      <w:pPr>
        <w:pStyle w:val="ListParagraph"/>
        <w:numPr>
          <w:ilvl w:val="0"/>
          <w:numId w:val="2"/>
        </w:numPr>
        <w:spacing w:after="60"/>
      </w:pPr>
      <w:r>
        <w:rPr>
          <w:b w:val="false"/>
          <w:bCs w:val="false"/>
          <w:i w:val="false"/>
          <w:iCs w:val="false"/>
          <w:sz w:val="21"/>
          <w:szCs w:val="21"/>
        </w:rPr>
        <w:t xml:space="preserve">ISO 13485:2016(E), third edition; ISO 9000:2015(E) Clause 3 (read-only at no cost via the ANSI IBR portal, ibr.ansi.org)</w:t>
      </w:r>
    </w:p>
    <w:p>
      <w:pPr>
        <w:pStyle w:val="Heading3"/>
      </w:pPr>
      <w:r>
        <w:t xml:space="preserve">FDA implementation and enforcement</w:t>
      </w:r>
    </w:p>
    <w:p>
      <w:pPr>
        <w:pStyle w:val="ListParagraph"/>
        <w:numPr>
          <w:ilvl w:val="0"/>
          <w:numId w:val="2"/>
        </w:numPr>
        <w:spacing w:after="60"/>
      </w:pPr>
      <w:r>
        <w:rPr>
          <w:b w:val="false"/>
          <w:bCs w:val="false"/>
          <w:i w:val="false"/>
          <w:iCs w:val="false"/>
          <w:sz w:val="21"/>
          <w:szCs w:val="21"/>
        </w:rPr>
        <w:t xml:space="preserve">FDA, Quality Management System Regulation (QMSR) web page, and Quality Management System Regulation Frequently Asked Questions (13 questions; content current as of 2 February 2026)</w:t>
      </w:r>
    </w:p>
    <w:p>
      <w:pPr>
        <w:pStyle w:val="ListParagraph"/>
        <w:numPr>
          <w:ilvl w:val="0"/>
          <w:numId w:val="2"/>
        </w:numPr>
        <w:spacing w:after="60"/>
      </w:pPr>
      <w:r>
        <w:rPr>
          <w:b w:val="false"/>
          <w:bCs w:val="false"/>
          <w:i w:val="false"/>
          <w:iCs w:val="false"/>
          <w:sz w:val="21"/>
          <w:szCs w:val="21"/>
        </w:rPr>
        <w:t xml:space="preserve">Compliance Program 7382.850, Inspection of Medical Device Manufacturers (implementation date 2 February 2026), including Attachment A (QMS Areas, OAFRs, elements and requirements) and Attachment B (Remote Regulatory Assessments)</w:t>
      </w:r>
    </w:p>
    <w:p>
      <w:pPr>
        <w:pStyle w:val="ListParagraph"/>
        <w:numPr>
          <w:ilvl w:val="0"/>
          <w:numId w:val="2"/>
        </w:numPr>
        <w:spacing w:after="60"/>
      </w:pPr>
      <w:r>
        <w:rPr>
          <w:b w:val="false"/>
          <w:bCs w:val="false"/>
          <w:i w:val="false"/>
          <w:iCs w:val="false"/>
          <w:sz w:val="21"/>
          <w:szCs w:val="21"/>
        </w:rPr>
        <w:t xml:space="preserve">CDRH webinar, Quality Management System Regulation: Key Takeaways (16 December 2025); town halls on Risk and Design and Development (14 January 2026) and Medical Device Risk-Based Inspections (1 April 2026): slides and transcripts on CDRH Learn</w:t>
      </w:r>
    </w:p>
    <w:p>
      <w:pPr>
        <w:pStyle w:val="ListParagraph"/>
        <w:numPr>
          <w:ilvl w:val="0"/>
          <w:numId w:val="2"/>
        </w:numPr>
        <w:spacing w:after="60"/>
      </w:pPr>
      <w:r>
        <w:rPr>
          <w:b w:val="false"/>
          <w:bCs w:val="false"/>
          <w:i w:val="false"/>
          <w:iCs w:val="false"/>
          <w:sz w:val="21"/>
          <w:szCs w:val="21"/>
        </w:rPr>
        <w:t xml:space="preserve">Warning Letters from QMSR-era inspections: Linemaster Switch Corporation (27 May 2026); Koven Technologies, Inc. (21 July 2026); Nipro Renal Solutions USA (24 July 2026)</w:t>
      </w:r>
    </w:p>
    <w:p>
      <w:pPr>
        <w:pStyle w:val="ListParagraph"/>
        <w:numPr>
          <w:ilvl w:val="0"/>
          <w:numId w:val="2"/>
        </w:numPr>
        <w:spacing w:after="60"/>
      </w:pPr>
      <w:r>
        <w:rPr>
          <w:b w:val="false"/>
          <w:bCs w:val="false"/>
          <w:i w:val="false"/>
          <w:iCs w:val="false"/>
          <w:sz w:val="21"/>
          <w:szCs w:val="21"/>
        </w:rPr>
        <w:t xml:space="preserve">FDA Inspection Observations data, FY2025 (fda.gov/inspections-compliance-enforcement-and-criminal-investigations/inspection-references/inspection-observations)</w:t>
      </w:r>
    </w:p>
    <w:p>
      <w:pPr>
        <w:pStyle w:val="ListParagraph"/>
        <w:numPr>
          <w:ilvl w:val="0"/>
          <w:numId w:val="2"/>
        </w:numPr>
        <w:spacing w:after="60"/>
      </w:pPr>
      <w:r>
        <w:rPr>
          <w:b w:val="false"/>
          <w:bCs w:val="false"/>
          <w:i w:val="false"/>
          <w:iCs w:val="false"/>
          <w:sz w:val="21"/>
          <w:szCs w:val="21"/>
        </w:rPr>
        <w:t xml:space="preserve">AAMI TIR102:2019, U.S. FDA 21 CFR mapping to the applicable regulatory requirement references in ISO 13485:2016 (listed on FDA's QMSR page; maps the former Part 820)</w:t>
      </w:r>
    </w:p>
    <w:p>
      <w:pPr>
        <w:pStyle w:val="Heading1"/>
      </w:pPr>
      <w:r>
        <w:t xml:space="preserve">Notes</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QMSR Transition  ·  Participant Handout  ·  Elder Consulting, LLC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400"/>
      <w:outlineLvl w:val="0"/>
    </w:pPr>
    <w:rPr>
      <w:rFonts w:ascii="Cambria" w:cs="Cambria" w:eastAsia="Cambria" w:hAnsi="Cambria"/>
      <w:b/>
      <w:bCs/>
      <w:color w:val="0F2A4A"/>
      <w:sz w:val="32"/>
      <w:szCs w:val="32"/>
    </w:rPr>
  </w:style>
  <w:style w:type="paragraph" w:styleId="Heading2">
    <w:name w:val="Heading 2"/>
    <w:basedOn w:val="Normal"/>
    <w:next w:val="Normal"/>
    <w:qFormat/>
    <w:pPr>
      <w:keepNext/>
      <w:spacing w:after="100" w:before="280"/>
      <w:outlineLvl w:val="1"/>
    </w:pPr>
    <w:rPr>
      <w:rFonts w:ascii="Cambria" w:cs="Cambria" w:eastAsia="Cambria" w:hAnsi="Cambria"/>
      <w:b/>
      <w:bCs/>
      <w:color w:val="0F2A4A"/>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A873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QMSR Transition: Participant Handout</dc:title>
  <dc:creator>Elder Consulting, LLC</dc:creator>
  <dc:description>ISO 13485 &amp; Audit Readiness seminar material</dc:description>
  <cp:lastModifiedBy>Un-named</cp:lastModifiedBy>
  <cp:revision>1</cp:revision>
  <dcterms:created xsi:type="dcterms:W3CDTF">2026-09-16T11:47:20.041Z</dcterms:created>
  <dcterms:modified xsi:type="dcterms:W3CDTF">2026-09-16T11:47:20.045Z</dcterms:modified>
</cp:coreProperties>
</file>

<file path=docProps/custom.xml><?xml version="1.0" encoding="utf-8"?>
<Properties xmlns="http://schemas.openxmlformats.org/officeDocument/2006/custom-properties" xmlns:vt="http://schemas.openxmlformats.org/officeDocument/2006/docPropsVTypes"/>
</file>