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A8730F"/>
          <w:spacing w:val="40"/>
          <w:sz w:val="20"/>
          <w:szCs w:val="20"/>
        </w:rPr>
        <w:t xml:space="preserve">MEDICAL DEVICE SEMINAR  ·  WORKSHOP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F2A4A"/>
          <w:sz w:val="52"/>
          <w:szCs w:val="52"/>
        </w:rPr>
        <w:t xml:space="preserve">Hands-On Exercise Pack</w:t>
      </w:r>
    </w:p>
    <w:p>
      <w:pPr>
        <w:spacing w:after="240"/>
      </w:pPr>
      <w:r>
        <w:rPr>
          <w:color w:val="5A6B7B"/>
          <w:sz w:val="26"/>
          <w:szCs w:val="26"/>
        </w:rPr>
        <w:t xml:space="preserve">Risk Management Workshop (ISO 14971): three exercises, 35 minutes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Participant worksheet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 ·  Elder Consulting, LLC  ·  September 2026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Write on this. Exercise A on pages 2 to 3, Exercise B on pages 4 to 5, Exercise C on page 6.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Device for all three exercises: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a programmable ambulatory infusion pump for home use, with a single-use administration set. The same device as the Excel toolkit.</w:t>
      </w:r>
    </w:p>
    <w:p>
      <w:pPr>
        <w:pBdr>
          <w:bottom w:val="single" w:color="A8730F" w:sz="8" w:space="8"/>
        </w:pBdr>
        <w:spacing w:after="240"/>
      </w:pPr>
      <w:r>
        <w:t xml:space="preserve"/>
      </w:r>
    </w:p>
    <w:p>
      <w:pPr>
        <w:pStyle w:val="Heading3"/>
      </w:pPr>
      <w:r>
        <w:t xml:space="preserve">The device, in one paragraph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battery-powered programmable infusion pump, prescribed for home use and operated by the patient or a lay carer. It delivers a titrated therapy through a single-use administration set over periods of hours to days. It has a drug library with configurable dose limits, updated over a wireless network; an air-in-line detector; an occlusion alarm; and a rechargeable battery with a remaining-time indicator. The therapy is life-sustaining for the indicated population, and the alternative is inpatient infusion.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BF2D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 do not need to know this device. Everything you need is on the page. If a detail matters to your answer and it is not stated, write down the assumption you are making - that is part of the exercise.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Exercise A  ·  Repair the hazard chain</w:t>
      </w:r>
    </w:p>
    <w:p>
      <w:pPr>
        <w:spacing w:after="120" w:before="0"/>
      </w:pPr>
      <w:r>
        <w:rPr>
          <w:b w:val="false"/>
          <w:bCs w:val="false"/>
          <w:i/>
          <w:iCs/>
          <w:color w:val="5A6B7B"/>
          <w:sz w:val="17"/>
          <w:szCs w:val="17"/>
        </w:rPr>
        <w:t xml:space="preserve">15 minutes: 10 in groups of three or four, 5 taking answers.</w:t>
      </w:r>
    </w:p>
    <w:p>
      <w:pPr>
        <w:pStyle w:val="Heading3"/>
      </w:pPr>
      <w:r>
        <w:t xml:space="preserve">The row, exactly as it appears in the file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3100"/>
        <w:gridCol w:w="6980"/>
      </w:tblGrid>
      <w:tr>
        <w:trPr>
          <w:tblHeader/>
        </w:trPr>
        <w:tc>
          <w:tcPr>
            <w:tcW w:type="dxa" w:w="31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 row says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HZ-15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Device function or part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Pumping mechanism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Pump failure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Foreseeable sequence of events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Pump fails.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Hazardous situation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Pump failure.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Harm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Harm to patient.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MDR Annex I GSPR link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P1 / P2 / Severity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 /  2  /  3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Basis for the estimate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Initial risk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Acceptable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Risk control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Mitigated by design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Verification of implementation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Verification of effectiveness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Residual P1 / P2 / Severity</w:t>
            </w:r>
          </w:p>
        </w:tc>
        <w:tc>
          <w:tcPr>
            <w:tcW w:type="dxa" w:w="69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9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3"/>
      </w:pPr>
      <w:r>
        <w:t xml:space="preserve">Step 1  ·  Take the row apart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 each of the four positions in the chain, write what the row has actually put there, and say whether it is empty, duplicated, or in the wrong position.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374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 row actually says</w:t>
            </w:r>
          </w:p>
        </w:tc>
        <w:tc>
          <w:tcPr>
            <w:tcW w:type="dxa" w:w="374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Problem</w:t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 (3.4)</w:t>
            </w:r>
          </w:p>
        </w:tc>
        <w:tc>
          <w:tcPr>
            <w:tcW w:type="dxa" w:w="37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Foreseeable sequence of events (5.4)</w:t>
            </w:r>
          </w:p>
        </w:tc>
        <w:tc>
          <w:tcPr>
            <w:tcW w:type="dxa" w:w="37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Hazardous situation (3.5)</w:t>
            </w:r>
          </w:p>
        </w:tc>
        <w:tc>
          <w:tcPr>
            <w:tcW w:type="dxa" w:w="37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Harm (3.3)</w:t>
            </w:r>
          </w:p>
        </w:tc>
        <w:tc>
          <w:tcPr>
            <w:tcW w:type="dxa" w:w="37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7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Step 2  ·  Rebuild it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Write as many rows as this hazard needs - </w:t>
      </w:r>
      <w:r>
        <w:rPr>
          <w:b/>
          <w:bCs/>
          <w:i w:val="false"/>
          <w:iCs w:val="false"/>
          <w:sz w:val="21"/>
          <w:szCs w:val="21"/>
        </w:rPr>
        <w:t xml:space="preserve">one per hazardous situation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. For each, assign P1, P2 and severity, and write the basis you would cite for each probability. Use extra paper if you need more than three rows.</w:t>
      </w:r>
    </w:p>
    <w:p>
      <w:r>
        <w:br w:type="page"/>
      </w:r>
    </w:p>
    <w:p>
      <w:pPr>
        <w:pStyle w:val="Heading3"/>
      </w:pPr>
      <w:r>
        <w:t xml:space="preserve">Exercise A, step 2  ·  Rebuild grid</w:t>
      </w:r>
    </w:p>
    <w:p>
      <w:pPr>
        <w:spacing w:after="120" w:before="0"/>
      </w:pPr>
      <w:r>
        <w:rPr>
          <w:b w:val="false"/>
          <w:bCs w:val="false"/>
          <w:i/>
          <w:iCs/>
          <w:color w:val="5A6B7B"/>
          <w:sz w:val="17"/>
          <w:szCs w:val="17"/>
        </w:rPr>
        <w:t xml:space="preserve">Rows 1 and 2 below; row 3 and step 3 are on the next page.</w:t>
      </w:r>
    </w:p>
    <w:p>
      <w:pPr>
        <w:spacing w:after="60" w:before="0"/>
      </w:pPr>
      <w:r>
        <w:rPr>
          <w:b/>
          <w:bCs/>
          <w:i w:val="false"/>
          <w:iCs w:val="false"/>
          <w:sz w:val="21"/>
          <w:szCs w:val="21"/>
        </w:rPr>
        <w:t xml:space="preserve">Row 1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Foreseeable sequence of events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Hazardous situation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Harm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P1 and its basis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P2 and its basis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MDR Annex I link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0"/>
      </w:pPr>
      <w:r>
        <w:rPr>
          <w:b/>
          <w:bCs/>
          <w:i w:val="false"/>
          <w:iCs w:val="false"/>
          <w:sz w:val="21"/>
          <w:szCs w:val="21"/>
        </w:rPr>
        <w:t xml:space="preserve">Row 2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Foreseeable sequence of events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Hazardous situation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Harm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P1 and its basis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P2 and its basis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MDR Annex I link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spacing w:after="60" w:before="0"/>
      </w:pPr>
      <w:r>
        <w:rPr>
          <w:b/>
          <w:bCs/>
          <w:i w:val="false"/>
          <w:iCs w:val="false"/>
          <w:sz w:val="21"/>
          <w:szCs w:val="21"/>
        </w:rPr>
        <w:t xml:space="preserve">Row 3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Foreseeable sequence of events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Hazardous situation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Harm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P1 and its basis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P2 and its basis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Severity</w:t>
            </w:r>
          </w:p>
        </w:tc>
        <w:tc>
          <w:tcPr>
            <w:tcW w:type="dxa" w:w="72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MDR Annex I link</w:t>
            </w:r>
          </w:p>
        </w:tc>
        <w:tc>
          <w:tcPr>
            <w:tcW w:type="dxa" w:w="7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</w:pPr>
      <w:r>
        <w:t xml:space="preserve">Step 3  ·  Write the finding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Draft the deficiency a notified body reviewer would raise against the original row. Cite the clause. One or two sentences.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BD2D9" w:sz="4"/>
          <w:right w:val="none" w:color="FFFFFF" w:sz="0"/>
          <w:insideH w:val="single" w:color="CBD2D9" w:sz="4"/>
          <w:insideV w:val="none" w:color="FFFFFF" w:sz="0"/>
        </w:tblBorders>
      </w:tblPr>
      <w:tblGrid>
        <w:gridCol w:w="10080"/>
      </w:tblGrid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Exercise B  ·  Red-team the file</w:t>
      </w:r>
    </w:p>
    <w:p>
      <w:pPr>
        <w:spacing w:after="120" w:before="0"/>
      </w:pPr>
      <w:r>
        <w:rPr>
          <w:b w:val="false"/>
          <w:bCs w:val="false"/>
          <w:i/>
          <w:iCs/>
          <w:color w:val="5A6B7B"/>
          <w:sz w:val="17"/>
          <w:szCs w:val="17"/>
        </w:rPr>
        <w:t xml:space="preserve">14 minutes: 9 in groups, 5 taking answers, one finding per table with no repeats.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You are the notified body technical reviewer assessing this technical documentation. You have the excerpt below and nothing else. There are at least </w:t>
      </w:r>
      <w:r>
        <w:rPr>
          <w:b/>
          <w:bCs/>
          <w:i w:val="false"/>
          <w:iCs w:val="false"/>
          <w:sz w:val="21"/>
          <w:szCs w:val="21"/>
        </w:rPr>
        <w:t xml:space="preserve">six defensible findings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. Write them, cite the clause or the MDR Annex I point, then rank them: which one would you raise as a major nonconformity, and why?</w:t>
      </w:r>
    </w:p>
    <w:p>
      <w:pPr>
        <w:pStyle w:val="Heading3"/>
      </w:pPr>
      <w:r>
        <w:t xml:space="preserve">The excerpt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2400"/>
        <w:gridCol w:w="3540"/>
        <w:gridCol w:w="4140"/>
      </w:tblGrid>
      <w:tr>
        <w:trPr>
          <w:tblHeader/>
        </w:trPr>
        <w:tc>
          <w:tcPr>
            <w:tcW w:type="dxa" w:w="24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4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HZ-16</w:t>
            </w:r>
          </w:p>
        </w:tc>
        <w:tc>
          <w:tcPr>
            <w:tcW w:type="dxa" w:w="414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HZ-11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Hazardous situation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Alarm silenced.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Residue and microbial load transferred between patients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Harm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Delay of therapy.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Cross-infection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MDR Annex I link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1, 11.1, 11.2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Initial P1 / P2 / S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 /  5  /  4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 /  2  /  3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Basis for the estimate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Engineering judgement.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Cleaning validation CV-03; material compatibility MC-11 over 200 cycles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Initial risk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acceptable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Acceptable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Risk control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Warning added to IFU section 6 telling the user not to silence the alarm without checking the line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Validated cleaning agent list and procedure in the IFU; compatibility-tested enclosure material; label symbol pointing to the cleaning section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Control category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 (information for safety)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 (information for safety)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 a higher-priority option was not practicable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fully sealed enclosure was rejected on thermal grounds; a single-patient-use durable was rejected on cost of therapy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Residual P1 / P2 / S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 /  1  /  4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 /  2  /  3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Acceptable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Acceptable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Verification of implementation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IFU approval record DOC-2230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IFU approval DOC-2214; label artwork approval LA-118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Verification of effectiveness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CV-03 cleaning validation with the listed agents over 200 cycles; MC-11 material compatibility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Residual risk disclosure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IFU section 7.3; label symbol</w:t>
            </w:r>
          </w:p>
        </w:tc>
      </w:tr>
      <w:tr>
        <w:trPr>
          <w:cantSplit/>
        </w:trPr>
        <w:tc>
          <w:tcPr>
            <w:tcW w:type="dxa" w:w="2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New risks assessed (7.5)</w:t>
            </w:r>
          </w:p>
        </w:tc>
        <w:tc>
          <w:tcPr>
            <w:tcW w:type="dxa" w:w="35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414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RA-NEW-11 (an unlisted agent used anyway)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35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41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Closed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Exercise B  ·  Findings grid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500"/>
        <w:gridCol w:w="6580"/>
        <w:gridCol w:w="1900"/>
        <w:gridCol w:w="1100"/>
      </w:tblGrid>
      <w:tr>
        <w:trPr>
          <w:tblHeader/>
        </w:trPr>
        <w:tc>
          <w:tcPr>
            <w:tcW w:type="dxa" w:w="5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9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Clause or GSPR</w:t>
            </w:r>
          </w:p>
        </w:tc>
        <w:tc>
          <w:tcPr>
            <w:tcW w:type="dxa" w:w="11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Major?</w:t>
            </w:r>
          </w:p>
        </w:tc>
      </w:tr>
      <w:tr>
        <w:trPr>
          <w:cantSplit/>
        </w:trPr>
        <w:tc>
          <w:tcPr>
            <w:tcW w:type="dxa" w:w="5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5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5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5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Which one is the major nonconformity, and why?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BD2D9" w:sz="4"/>
          <w:right w:val="none" w:color="FFFFFF" w:sz="0"/>
          <w:insideH w:val="single" w:color="CBD2D9" w:sz="4"/>
          <w:insideV w:val="none" w:color="FFFFFF" w:sz="0"/>
        </w:tblBorders>
      </w:tblPr>
      <w:tblGrid>
        <w:gridCol w:w="10080"/>
      </w:tblGrid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Is there anything in this excerpt that is done well?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BD2D9" w:sz="4"/>
          <w:right w:val="none" w:color="FFFFFF" w:sz="0"/>
          <w:insideH w:val="single" w:color="CBD2D9" w:sz="4"/>
          <w:insideV w:val="none" w:color="FFFFFF" w:sz="0"/>
        </w:tblBorders>
      </w:tblPr>
      <w:tblGrid>
        <w:gridCol w:w="10080"/>
      </w:tblGrid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Exercise C  ·  Your 30-day plan</w:t>
      </w:r>
    </w:p>
    <w:p>
      <w:pPr>
        <w:spacing w:after="120" w:before="0"/>
      </w:pPr>
      <w:r>
        <w:rPr>
          <w:b w:val="false"/>
          <w:bCs w:val="false"/>
          <w:i/>
          <w:iCs/>
          <w:color w:val="5A6B7B"/>
          <w:sz w:val="17"/>
          <w:szCs w:val="17"/>
        </w:rPr>
        <w:t xml:space="preserve">8 minutes: 5 writing on your own, 3 sharing first actions and Q&amp;A.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 "what should we improve" but "what will I have done by this day next month". One action per row. An owner who is in the building. A date inside 30 days.</w:t>
      </w:r>
    </w:p>
    <w:tbl>
      <w:tblPr>
        <w:tblW w:type="dxa" w:w="1008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</w:tblPr>
      <w:tblGrid>
        <w:gridCol w:w="400"/>
        <w:gridCol w:w="3100"/>
        <w:gridCol w:w="1800"/>
        <w:gridCol w:w="1300"/>
        <w:gridCol w:w="1100"/>
        <w:gridCol w:w="2380"/>
      </w:tblGrid>
      <w:tr>
        <w:trPr>
          <w:tblHeader/>
        </w:trPr>
        <w:tc>
          <w:tcPr>
            <w:tcW w:type="dxa" w:w="4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 will change</w:t>
            </w:r>
          </w:p>
        </w:tc>
        <w:tc>
          <w:tcPr>
            <w:tcW w:type="dxa" w:w="18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Clause or GSPR it answers</w:t>
            </w:r>
          </w:p>
        </w:tc>
        <w:tc>
          <w:tcPr>
            <w:tcW w:type="dxa" w:w="13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Done by</w:t>
            </w:r>
          </w:p>
        </w:tc>
        <w:tc>
          <w:tcPr>
            <w:tcW w:type="dxa" w:w="2380"/>
            <w:shd w:fill="0F2A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I will know it worked</w:t>
            </w:r>
          </w:p>
        </w:tc>
      </w:tr>
      <w:tr>
        <w:trPr>
          <w:cantSplit/>
        </w:trPr>
        <w:tc>
          <w:tcPr>
            <w:tcW w:type="dxa" w:w="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F5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If you need prompts: six checks from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Does the risk management plan state what you do when the probability of occurrence of harm cannot be estimated? (Clause 4.4 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Does every risk control have a verification of EFFECTIVENESS record, distinct from its implementation record? (Clause 7.2)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Does any justification for skipping a higher-priority control option rest on cost? (MDR Annex I point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Does the procedure have a Clause 7.6 completeness step, applied to the acceptable rows too?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Can you find the risk file revision that one old complaint produced? (Clauses 10.3 and 10.4)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 the acceptability criteria in the risk management plan and the benefit-risk acceptability parameters in the clinical evaluation plan agree?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Notes</w:t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CBD2D9" w:sz="4"/>
          <w:right w:val="none" w:color="FFFFFF" w:sz="0"/>
          <w:insideH w:val="single" w:color="CBD2D9" w:sz="4"/>
          <w:insideV w:val="none" w:color="FFFFFF" w:sz="0"/>
        </w:tblBorders>
      </w:tblPr>
      <w:tblGrid>
        <w:gridCol w:w="10080"/>
      </w:tblGrid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8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20" w:before="0"/>
      </w:pPr>
      <w:r>
        <w:rPr>
          <w:b w:val="false"/>
          <w:bCs w:val="false"/>
          <w:i/>
          <w:iCs/>
          <w:color w:val="5A6B7B"/>
          <w:sz w:val="17"/>
          <w:szCs w:val="17"/>
        </w:rPr>
        <w:t xml:space="preserve">Prepared by Elder Consulting, LLC. Workshop material; not legal or regulatory advice.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Risk Management (ISO 14971)  ·  Exercise Pack  ·  Elder Consulting, LLC   |   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400"/>
      <w:outlineLvl w:val="0"/>
    </w:pPr>
    <w:rPr>
      <w:rFonts w:ascii="Cambria" w:cs="Cambria" w:eastAsia="Cambria" w:hAnsi="Cambria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cs="Cambria" w:eastAsia="Cambria" w:hAnsi="Cambria"/>
      <w:b/>
      <w:bCs/>
      <w:color w:val="0F2A4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A873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Management Workshop (ISO 14971) - Hands-On Exercise Pack</dc:title>
  <dc:creator>Elder Consulting, LLC</dc:creator>
  <dc:description>Risk Management Workshop (ISO 14971) seminar material</dc:description>
  <cp:lastModifiedBy>Un-named</cp:lastModifiedBy>
  <cp:revision>1</cp:revision>
  <dcterms:created xsi:type="dcterms:W3CDTF">2026-09-16T13:01:47.857Z</dcterms:created>
  <dcterms:modified xsi:type="dcterms:W3CDTF">2026-09-16T13:01:47.857Z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