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A8730F"/>
          <w:spacing w:val="40"/>
          <w:sz w:val="20"/>
          <w:szCs w:val="20"/>
        </w:rPr>
        <w:t xml:space="preserve">SPEAKER COPY  ·  NOT FOR DISTRIBUTION</w:t>
      </w:r>
    </w:p>
    <w:p>
      <w:pPr>
        <w:spacing w:after="120"/>
      </w:pPr>
      <w:r>
        <w:rPr>
          <w:rFonts w:ascii="Cambria" w:cs="Cambria" w:eastAsia="Cambria" w:hAnsi="Cambria"/>
          <w:b/>
          <w:bCs/>
          <w:color w:val="0F2A4A"/>
          <w:sz w:val="52"/>
          <w:szCs w:val="52"/>
        </w:rPr>
        <w:t xml:space="preserve">Facilitator Guide</w:t>
      </w:r>
    </w:p>
    <w:p>
      <w:pPr>
        <w:spacing w:after="240"/>
      </w:pPr>
      <w:r>
        <w:rPr>
          <w:color w:val="5A6B7B"/>
          <w:sz w:val="26"/>
          <w:szCs w:val="26"/>
        </w:rPr>
        <w:t xml:space="preserve">Risk Management Workshop (ISO 14971): timings, model answers and the questions that come</w:t>
      </w:r>
    </w:p>
    <w:p>
      <w:pPr>
        <w:spacing w:after="60"/>
      </w:pPr>
      <w:r>
        <w:rPr>
          <w:b/>
          <w:bCs/>
          <w:i w:val="false"/>
          <w:iCs w:val="false"/>
          <w:sz w:val="21"/>
          <w:szCs w:val="21"/>
        </w:rPr>
        <w:t xml:space="preserve">Speaker copy</w:t>
      </w:r>
      <w:r>
        <w:rPr>
          <w:b w:val="false"/>
          <w:bCs w:val="false"/>
          <w:i w:val="false"/>
          <w:iCs w:val="false"/>
          <w:sz w:val="21"/>
          <w:szCs w:val="21"/>
        </w:rPr>
        <w:t xml:space="preserve">  ·  Elder Consulting, LLC  ·  September 2026</w:t>
      </w:r>
    </w:p>
    <w:p>
      <w:pPr>
        <w:spacing w:after="60"/>
      </w:pPr>
      <w:r>
        <w:rPr>
          <w:b w:val="false"/>
          <w:bCs w:val="false"/>
          <w:i w:val="false"/>
          <w:iCs w:val="false"/>
          <w:sz w:val="21"/>
          <w:szCs w:val="21"/>
        </w:rPr>
        <w:t xml:space="preserve">This carries the model answers to all three exercises. Do not hand it out.</w:t>
      </w:r>
    </w:p>
    <w:p>
      <w:pPr>
        <w:spacing w:after="60"/>
      </w:pPr>
      <w:r>
        <w:rPr>
          <w:b w:val="false"/>
          <w:bCs w:val="false"/>
          <w:i w:val="false"/>
          <w:iCs w:val="false"/>
          <w:sz w:val="21"/>
          <w:szCs w:val="21"/>
        </w:rPr>
        <w:t xml:space="preserve">Companions: 39-slide deck with timed speaker notes; Participant Handout; Hands-On Exercise Pack; ISO 14971 Risk File Toolkit.</w:t>
      </w:r>
    </w:p>
    <w:p>
      <w:pPr>
        <w:pBdr>
          <w:bottom w:val="single" w:color="A8730F" w:sz="8" w:space="8"/>
        </w:pBdr>
        <w:spacing w:after="240"/>
      </w:pPr>
      <w:r>
        <w:t xml:space="preserve"/>
      </w:r>
    </w:p>
    <w:p>
      <w:pPr>
        <w:pStyle w:val="Heading1"/>
      </w:pPr>
      <w:r>
        <w:t xml:space="preserve">1  Before you present this</w:t>
      </w:r>
    </w:p>
    <w:p>
      <w:pPr>
        <w:pStyle w:val="Heading2"/>
      </w:pPr>
      <w:r>
        <w:t xml:space="preserve">1.1  Accuracy checklist</w:t>
      </w:r>
    </w:p>
    <w:p>
      <w:pPr>
        <w:spacing w:after="120" w:before="0"/>
      </w:pPr>
      <w:r>
        <w:rPr>
          <w:b w:val="false"/>
          <w:bCs w:val="false"/>
          <w:i w:val="false"/>
          <w:iCs w:val="false"/>
          <w:sz w:val="21"/>
          <w:szCs w:val="21"/>
        </w:rPr>
        <w:t xml:space="preserve">The content was verified in September 2026. Five things in it have a short shelf life. Re-check each one and update the deck and handout before delivery.</w:t>
      </w:r>
    </w:p>
    <w:p>
      <w:pPr>
        <w:pStyle w:val="ListParagraph"/>
        <w:numPr>
          <w:ilvl w:val="0"/>
          <w:numId w:val="2"/>
        </w:numPr>
        <w:spacing w:after="80"/>
      </w:pPr>
      <w:r>
        <w:rPr>
          <w:b/>
          <w:bCs/>
          <w:i w:val="false"/>
          <w:iCs w:val="false"/>
          <w:sz w:val="21"/>
          <w:szCs w:val="21"/>
        </w:rPr>
        <w:t xml:space="preserve">The MDR harmonised-standard citation.</w:t>
      </w:r>
      <w:r>
        <w:rPr>
          <w:b w:val="false"/>
          <w:bCs w:val="false"/>
          <w:i w:val="false"/>
          <w:iCs w:val="false"/>
          <w:sz w:val="21"/>
          <w:szCs w:val="21"/>
        </w:rPr>
        <w:t xml:space="preserve"> Confirm EN ISO 14971:2019 with A11:2021 is still cited with no end of legal effect, on the current Commission summary list of harmonised standards for Regulation (EU) 2017/745. Slide 12 and handout section 4.2 state the June 2026 position.</w:t>
      </w:r>
    </w:p>
    <w:p>
      <w:pPr>
        <w:pStyle w:val="ListParagraph"/>
        <w:numPr>
          <w:ilvl w:val="0"/>
          <w:numId w:val="2"/>
        </w:numPr>
        <w:spacing w:after="80"/>
      </w:pPr>
      <w:r>
        <w:rPr>
          <w:b/>
          <w:bCs/>
          <w:i w:val="false"/>
          <w:iCs w:val="false"/>
          <w:sz w:val="21"/>
          <w:szCs w:val="21"/>
        </w:rPr>
        <w:t xml:space="preserve">The FDA recognition entry</w:t>
      </w:r>
      <w:r>
        <w:rPr>
          <w:b w:val="false"/>
          <w:bCs w:val="false"/>
          <w:i w:val="false"/>
          <w:iCs w:val="false"/>
          <w:sz w:val="21"/>
          <w:szCs w:val="21"/>
        </w:rPr>
        <w:t xml:space="preserve"> for ISO 14971. Check the recognized consensus standards database for the currently recognized edition and any transition notice. Slide 11 deliberately does not quote a recognition number, for this reason.</w:t>
      </w:r>
    </w:p>
    <w:p>
      <w:pPr>
        <w:pStyle w:val="ListParagraph"/>
        <w:numPr>
          <w:ilvl w:val="0"/>
          <w:numId w:val="2"/>
        </w:numPr>
        <w:spacing w:after="80"/>
      </w:pPr>
      <w:r>
        <w:rPr>
          <w:b/>
          <w:bCs/>
          <w:i w:val="false"/>
          <w:iCs w:val="false"/>
          <w:sz w:val="21"/>
          <w:szCs w:val="21"/>
        </w:rPr>
        <w:t xml:space="preserve">MDCG guidance.</w:t>
      </w:r>
      <w:r>
        <w:rPr>
          <w:b w:val="false"/>
          <w:bCs w:val="false"/>
          <w:i w:val="false"/>
          <w:iCs w:val="false"/>
          <w:sz w:val="21"/>
          <w:szCs w:val="21"/>
        </w:rPr>
        <w:t xml:space="preserve"> Slide 34 and handout section 7.3 state that there is no MDCG guidance dedicated to risk management and none in the published pipeline. Re-check the MDCG index; if one has appeared, it changes the section.</w:t>
      </w:r>
    </w:p>
    <w:p>
      <w:pPr>
        <w:pStyle w:val="ListParagraph"/>
        <w:numPr>
          <w:ilvl w:val="0"/>
          <w:numId w:val="2"/>
        </w:numPr>
        <w:spacing w:after="80"/>
      </w:pPr>
      <w:r>
        <w:rPr>
          <w:b/>
          <w:bCs/>
          <w:i w:val="false"/>
          <w:iCs w:val="false"/>
          <w:sz w:val="21"/>
          <w:szCs w:val="21"/>
        </w:rPr>
        <w:t xml:space="preserve">Any new edition or amendment of ISO 14971 or ISO/TR 24971.</w:t>
      </w:r>
      <w:r>
        <w:rPr>
          <w:b w:val="false"/>
          <w:bCs w:val="false"/>
          <w:i w:val="false"/>
          <w:iCs w:val="false"/>
          <w:sz w:val="21"/>
          <w:szCs w:val="21"/>
        </w:rPr>
        <w:t xml:space="preserve"> ISO 14971:2019 was confirmed in March 2025 with no changes, so nothing was pending as of September 2026. ISO/TS 24971-2:2026 on machine learning was published in June 2026.</w:t>
      </w:r>
    </w:p>
    <w:p>
      <w:pPr>
        <w:pStyle w:val="ListParagraph"/>
        <w:numPr>
          <w:ilvl w:val="0"/>
          <w:numId w:val="2"/>
        </w:numPr>
        <w:spacing w:after="80"/>
      </w:pPr>
      <w:r>
        <w:rPr>
          <w:b/>
          <w:bCs/>
          <w:i w:val="false"/>
          <w:iCs w:val="false"/>
          <w:sz w:val="21"/>
          <w:szCs w:val="21"/>
        </w:rPr>
        <w:t xml:space="preserve">Team-NB position papers.</w:t>
      </w:r>
      <w:r>
        <w:rPr>
          <w:b w:val="false"/>
          <w:bCs w:val="false"/>
          <w:i w:val="false"/>
          <w:iCs w:val="false"/>
          <w:sz w:val="21"/>
          <w:szCs w:val="21"/>
        </w:rPr>
        <w:t xml:space="preserve"> V3 of the technical documentation paper is dated 9 April 2025. Check for a later version before quoting it on slides 25 and 30.</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FBF2DE" w:color="auto" w:val="clear"/>
            <w:tcMar>
              <w:top w:type="dxa" w:w="140"/>
              <w:left w:type="dxa" w:w="200"/>
              <w:bottom w:type="dxa" w:w="140"/>
              <w:right w:type="dxa" w:w="200"/>
            </w:tcMar>
          </w:tcPr>
          <w:p>
            <w:pPr>
              <w:spacing w:after="60"/>
            </w:pPr>
            <w:r>
              <w:rPr>
                <w:b/>
                <w:bCs/>
                <w:i w:val="false"/>
                <w:iCs w:val="false"/>
                <w:sz w:val="20"/>
                <w:szCs w:val="20"/>
              </w:rPr>
              <w:t xml:space="preserve">A claim to be careful with.</w:t>
            </w:r>
            <w:r>
              <w:rPr>
                <w:b w:val="false"/>
                <w:bCs w:val="false"/>
                <w:i w:val="false"/>
                <w:iCs w:val="false"/>
                <w:sz w:val="20"/>
                <w:szCs w:val="20"/>
              </w:rPr>
              <w:t xml:space="preserve"> The statement that Annex ZA addresses only MDR Annex I Chapter I points 3, 4, 5, 8 and 9 is central to slide 12 and to handout section 4.2. It comes from the Annex ZA correspondence table. If you have access to the standard, read Table ZA.1 yourself before presenting it, and say "as I read the table" rather than asserting it flatly if you have not.</w:t>
            </w:r>
          </w:p>
        </w:tc>
      </w:tr>
    </w:tbl>
    <w:p>
      <w:pPr>
        <w:pStyle w:val="Heading2"/>
      </w:pPr>
      <w:r>
        <w:t xml:space="preserve">1.2  Room setup</w:t>
      </w:r>
    </w:p>
    <w:p>
      <w:pPr>
        <w:pStyle w:val="ListParagraph"/>
        <w:numPr>
          <w:ilvl w:val="0"/>
          <w:numId w:val="3"/>
        </w:numPr>
        <w:spacing w:after="60"/>
      </w:pPr>
      <w:r>
        <w:rPr>
          <w:b w:val="false"/>
          <w:bCs w:val="false"/>
          <w:i w:val="false"/>
          <w:iCs w:val="false"/>
          <w:sz w:val="21"/>
          <w:szCs w:val="21"/>
        </w:rPr>
        <w:t xml:space="preserve">Tables of three or four. Exercises A and B are group work; C is individual.</w:t>
      </w:r>
    </w:p>
    <w:p>
      <w:pPr>
        <w:pStyle w:val="ListParagraph"/>
        <w:numPr>
          <w:ilvl w:val="0"/>
          <w:numId w:val="3"/>
        </w:numPr>
        <w:spacing w:after="60"/>
      </w:pPr>
      <w:r>
        <w:rPr>
          <w:b w:val="false"/>
          <w:bCs w:val="false"/>
          <w:i w:val="false"/>
          <w:iCs w:val="false"/>
          <w:sz w:val="21"/>
          <w:szCs w:val="21"/>
        </w:rPr>
        <w:t xml:space="preserve">Print the Exercise Pack single-sided. People write on it and turn pages back and forth between the excerpt and the grid.</w:t>
      </w:r>
    </w:p>
    <w:p>
      <w:pPr>
        <w:pStyle w:val="ListParagraph"/>
        <w:numPr>
          <w:ilvl w:val="0"/>
          <w:numId w:val="3"/>
        </w:numPr>
        <w:spacing w:after="60"/>
      </w:pPr>
      <w:r>
        <w:rPr>
          <w:b w:val="false"/>
          <w:bCs w:val="false"/>
          <w:i w:val="false"/>
          <w:iCs w:val="false"/>
          <w:sz w:val="21"/>
          <w:szCs w:val="21"/>
        </w:rPr>
        <w:t xml:space="preserve">Have the Excel toolkit open on a second screen if you have one. It is useful in the Exercise A and Exercise B debriefs and essential in Exercise C.</w:t>
      </w:r>
    </w:p>
    <w:p>
      <w:pPr>
        <w:pStyle w:val="ListParagraph"/>
        <w:numPr>
          <w:ilvl w:val="0"/>
          <w:numId w:val="3"/>
        </w:numPr>
        <w:spacing w:after="60"/>
      </w:pPr>
      <w:r>
        <w:rPr>
          <w:b w:val="false"/>
          <w:bCs w:val="false"/>
          <w:i w:val="false"/>
          <w:iCs w:val="false"/>
          <w:sz w:val="21"/>
          <w:szCs w:val="21"/>
        </w:rPr>
        <w:t xml:space="preserve">Whiteboard or flip chart for the hazard chain on slide 16 and for collecting Exercise B findings.</w:t>
      </w:r>
    </w:p>
    <w:p>
      <w:pPr>
        <w:pStyle w:val="Heading2"/>
      </w:pPr>
      <w:r>
        <w:t xml:space="preserve">1.3  If you are short of time</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900"/>
        <w:gridCol w:w="8180"/>
      </w:tblGrid>
      <w:tr>
        <w:trPr>
          <w:tblHeader/>
        </w:trPr>
        <w:tc>
          <w:tcPr>
            <w:tcW w:type="dxa" w:w="19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Running late by</w:t>
            </w:r>
          </w:p>
        </w:tc>
        <w:tc>
          <w:tcPr>
            <w:tcW w:type="dxa" w:w="81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Cut this</w:t>
            </w:r>
          </w:p>
        </w:tc>
      </w:tr>
      <w:tr>
        <w:trPr>
          <w:cantSplit/>
        </w:trPr>
        <w:tc>
          <w:tcPr>
            <w:tcW w:type="dxa" w:w="1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5 minutes</w:t>
            </w:r>
          </w:p>
        </w:tc>
        <w:tc>
          <w:tcPr>
            <w:tcW w:type="dxa" w:w="8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Slide 14 (where they agree and differ) - the handout carries the table. Compress slide 8 to the third definition only</w:t>
            </w:r>
          </w:p>
        </w:tc>
      </w:tr>
      <w:tr>
        <w:trPr>
          <w:cantSplit/>
        </w:trPr>
        <w:tc>
          <w:tcPr>
            <w:tcW w:type="dxa" w:w="1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10 minutes</w:t>
            </w:r>
          </w:p>
        </w:tc>
        <w:tc>
          <w:tcPr>
            <w:tcW w:type="dxa" w:w="8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above, plus slide 34 (interfaces), and slide 33 reduced to the Annex III point 1(b) row - the joint that is most often audited</w:t>
            </w:r>
          </w:p>
        </w:tc>
      </w:tr>
      <w:tr>
        <w:trPr>
          <w:cantSplit/>
        </w:trPr>
        <w:tc>
          <w:tcPr>
            <w:tcW w:type="dxa" w:w="1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15 minutes</w:t>
            </w:r>
          </w:p>
        </w:tc>
        <w:tc>
          <w:tcPr>
            <w:tcW w:type="dxa" w:w="8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above, plus drop Exercise C to 4 minutes and take no answers. Never cut Exercise A or B - they are the workshop</w:t>
            </w:r>
          </w:p>
        </w:tc>
      </w:tr>
    </w:tbl>
    <w:p>
      <w:r>
        <w:br w:type="page"/>
      </w:r>
    </w:p>
    <w:p>
      <w:pPr>
        <w:pStyle w:val="Heading1"/>
      </w:pPr>
      <w:r>
        <w:t xml:space="preserve">2  Exercise A  ·  Model answer</w:t>
      </w:r>
    </w:p>
    <w:p>
      <w:pPr>
        <w:spacing w:after="120" w:before="0"/>
      </w:pPr>
      <w:r>
        <w:rPr>
          <w:b/>
          <w:bCs/>
          <w:i w:val="false"/>
          <w:iCs w:val="false"/>
          <w:sz w:val="21"/>
          <w:szCs w:val="21"/>
        </w:rPr>
        <w:t xml:space="preserve">Timing:</w:t>
      </w:r>
      <w:r>
        <w:rPr>
          <w:b w:val="false"/>
          <w:bCs w:val="false"/>
          <w:i w:val="false"/>
          <w:iCs w:val="false"/>
          <w:sz w:val="21"/>
          <w:szCs w:val="21"/>
        </w:rPr>
        <w:t xml:space="preserve"> 10 minutes in groups, 5 minutes taking answers. Take answers before showing slide 19.</w:t>
      </w:r>
    </w:p>
    <w:p>
      <w:pPr>
        <w:pStyle w:val="Heading2"/>
      </w:pPr>
      <w:r>
        <w:t xml:space="preserve">2.1  Step 1: what the row actually says</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700"/>
        <w:gridCol w:w="2000"/>
        <w:gridCol w:w="6380"/>
      </w:tblGrid>
      <w:tr>
        <w:trPr>
          <w:tblHeader/>
        </w:trPr>
        <w:tc>
          <w:tcPr>
            <w:tcW w:type="dxa" w:w="17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Position</w:t>
            </w:r>
          </w:p>
        </w:tc>
        <w:tc>
          <w:tcPr>
            <w:tcW w:type="dxa" w:w="20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What the row says</w:t>
            </w:r>
          </w:p>
        </w:tc>
        <w:tc>
          <w:tcPr>
            <w:tcW w:type="dxa" w:w="63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The problem</w:t>
            </w:r>
          </w:p>
        </w:tc>
      </w:tr>
      <w:tr>
        <w:trPr>
          <w:cantSplit/>
        </w:trP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Hazard</w:t>
            </w:r>
          </w:p>
        </w:tc>
        <w:tc>
          <w:tcPr>
            <w:tcW w:type="dxa" w:w="20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"Pump failure"</w:t>
            </w:r>
          </w:p>
        </w:tc>
        <w:tc>
          <w:tcPr>
            <w:tcW w:type="dxa" w:w="6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Not a hazard. A hazard is a potential source of harm; "pump failure" is a failure mode. The hazard here is energy - mechanical, in one of several forms</w:t>
            </w:r>
          </w:p>
        </w:tc>
      </w:tr>
      <w:tr>
        <w:trPr>
          <w:cantSplit/>
        </w:trPr>
        <w:tc>
          <w:tcPr>
            <w:tcW w:type="dxa" w:w="17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Sequence of events</w:t>
            </w:r>
          </w:p>
        </w:tc>
        <w:tc>
          <w:tcPr>
            <w:tcW w:type="dxa" w:w="20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"Pump fails."</w:t>
            </w:r>
          </w:p>
        </w:tc>
        <w:tc>
          <w:tcPr>
            <w:tcW w:type="dxa" w:w="63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Not a sequence. A sequence has a first event, an intermediate condition and an exposure. This is a state, restated</w:t>
            </w:r>
          </w:p>
        </w:tc>
      </w:tr>
      <w:tr>
        <w:trPr>
          <w:cantSplit/>
        </w:trP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Hazardous situation</w:t>
            </w:r>
          </w:p>
        </w:tc>
        <w:tc>
          <w:tcPr>
            <w:tcW w:type="dxa" w:w="20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"Pump failure."</w:t>
            </w:r>
          </w:p>
        </w:tc>
        <w:tc>
          <w:tcPr>
            <w:tcW w:type="dxa" w:w="6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Duplicated from the hazard column. A hazardous situation is a circumstance in which people are exposed</w:t>
            </w:r>
          </w:p>
        </w:tc>
      </w:tr>
      <w:tr>
        <w:trPr>
          <w:cantSplit/>
        </w:trPr>
        <w:tc>
          <w:tcPr>
            <w:tcW w:type="dxa" w:w="17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Harm</w:t>
            </w:r>
          </w:p>
        </w:tc>
        <w:tc>
          <w:tcPr>
            <w:tcW w:type="dxa" w:w="20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"Harm to patient."</w:t>
            </w:r>
          </w:p>
        </w:tc>
        <w:tc>
          <w:tcPr>
            <w:tcW w:type="dxa" w:w="63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Circular. A harm is physical injury or damage to health: over-infusion causing hypotension, loss of therapy, and so on</w:t>
            </w:r>
          </w:p>
        </w:tc>
      </w:tr>
    </w:tbl>
    <w:p>
      <w:pPr>
        <w:pStyle w:val="Heading2"/>
      </w:pPr>
      <w:r>
        <w:t xml:space="preserve">2.2  Step 2: the rebuild</w:t>
      </w:r>
    </w:p>
    <w:p>
      <w:pPr>
        <w:spacing w:after="120" w:before="0"/>
      </w:pPr>
      <w:r>
        <w:rPr>
          <w:b w:val="false"/>
          <w:bCs w:val="false"/>
          <w:i w:val="false"/>
          <w:iCs w:val="false"/>
          <w:sz w:val="21"/>
          <w:szCs w:val="21"/>
        </w:rPr>
        <w:t xml:space="preserve">The single line becomes </w:t>
      </w:r>
      <w:r>
        <w:rPr>
          <w:b/>
          <w:bCs/>
          <w:i w:val="false"/>
          <w:iCs w:val="false"/>
          <w:sz w:val="21"/>
          <w:szCs w:val="21"/>
        </w:rPr>
        <w:t xml:space="preserve">three rows</w:t>
      </w:r>
      <w:r>
        <w:rPr>
          <w:b w:val="false"/>
          <w:bCs w:val="false"/>
          <w:i w:val="false"/>
          <w:iCs w:val="false"/>
          <w:sz w:val="21"/>
          <w:szCs w:val="21"/>
        </w:rPr>
        <w:t xml:space="preserve">, because the pumping mechanism reaches three distinct hazardous situations by three distinct sequences, with genuinely different severities and probabilities.</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400"/>
        <w:gridCol w:w="1500"/>
        <w:gridCol w:w="3400"/>
        <w:gridCol w:w="1700"/>
        <w:gridCol w:w="1700"/>
        <w:gridCol w:w="460"/>
        <w:gridCol w:w="460"/>
        <w:gridCol w:w="460"/>
      </w:tblGrid>
      <w:tr>
        <w:trPr>
          <w:tblHeader/>
        </w:trPr>
        <w:tc>
          <w:tcPr>
            <w:tcW w:type="dxa" w:w="400"/>
            <w:shd w:fill="0F2A4A" w:color="auto" w:val="clear"/>
            <w:tcMar>
              <w:top w:type="dxa" w:w="70"/>
              <w:left w:type="dxa" w:w="100"/>
              <w:bottom w:type="dxa" w:w="70"/>
              <w:right w:type="dxa" w:w="100"/>
            </w:tcMar>
            <w:vAlign w:val="top"/>
          </w:tcPr>
          <w:p>
            <w:pPr>
              <w:spacing w:after="40"/>
            </w:pPr>
            <w:r>
              <w:rPr>
                <w:b/>
                <w:bCs/>
                <w:i w:val="false"/>
                <w:iCs w:val="false"/>
                <w:color w:val="FFFFFF"/>
                <w:sz w:val="17"/>
                <w:szCs w:val="17"/>
              </w:rPr>
              <w:t xml:space="preserve">#</w:t>
            </w:r>
          </w:p>
        </w:tc>
        <w:tc>
          <w:tcPr>
            <w:tcW w:type="dxa" w:w="1500"/>
            <w:shd w:fill="0F2A4A" w:color="auto" w:val="clear"/>
            <w:tcMar>
              <w:top w:type="dxa" w:w="70"/>
              <w:left w:type="dxa" w:w="100"/>
              <w:bottom w:type="dxa" w:w="70"/>
              <w:right w:type="dxa" w:w="100"/>
            </w:tcMar>
            <w:vAlign w:val="top"/>
          </w:tcPr>
          <w:p>
            <w:pPr>
              <w:spacing w:after="40"/>
            </w:pPr>
            <w:r>
              <w:rPr>
                <w:b/>
                <w:bCs/>
                <w:i w:val="false"/>
                <w:iCs w:val="false"/>
                <w:color w:val="FFFFFF"/>
                <w:sz w:val="17"/>
                <w:szCs w:val="17"/>
              </w:rPr>
              <w:t xml:space="preserve">Hazard</w:t>
            </w:r>
          </w:p>
        </w:tc>
        <w:tc>
          <w:tcPr>
            <w:tcW w:type="dxa" w:w="3400"/>
            <w:shd w:fill="0F2A4A" w:color="auto" w:val="clear"/>
            <w:tcMar>
              <w:top w:type="dxa" w:w="70"/>
              <w:left w:type="dxa" w:w="100"/>
              <w:bottom w:type="dxa" w:w="70"/>
              <w:right w:type="dxa" w:w="100"/>
            </w:tcMar>
            <w:vAlign w:val="top"/>
          </w:tcPr>
          <w:p>
            <w:pPr>
              <w:spacing w:after="40"/>
            </w:pPr>
            <w:r>
              <w:rPr>
                <w:b/>
                <w:bCs/>
                <w:i w:val="false"/>
                <w:iCs w:val="false"/>
                <w:color w:val="FFFFFF"/>
                <w:sz w:val="17"/>
                <w:szCs w:val="17"/>
              </w:rPr>
              <w:t xml:space="preserve">Sequence of events</w:t>
            </w:r>
          </w:p>
        </w:tc>
        <w:tc>
          <w:tcPr>
            <w:tcW w:type="dxa" w:w="1700"/>
            <w:shd w:fill="0F2A4A" w:color="auto" w:val="clear"/>
            <w:tcMar>
              <w:top w:type="dxa" w:w="70"/>
              <w:left w:type="dxa" w:w="100"/>
              <w:bottom w:type="dxa" w:w="70"/>
              <w:right w:type="dxa" w:w="100"/>
            </w:tcMar>
            <w:vAlign w:val="top"/>
          </w:tcPr>
          <w:p>
            <w:pPr>
              <w:spacing w:after="40"/>
            </w:pPr>
            <w:r>
              <w:rPr>
                <w:b/>
                <w:bCs/>
                <w:i w:val="false"/>
                <w:iCs w:val="false"/>
                <w:color w:val="FFFFFF"/>
                <w:sz w:val="17"/>
                <w:szCs w:val="17"/>
              </w:rPr>
              <w:t xml:space="preserve">Hazardous situation</w:t>
            </w:r>
          </w:p>
        </w:tc>
        <w:tc>
          <w:tcPr>
            <w:tcW w:type="dxa" w:w="1700"/>
            <w:shd w:fill="0F2A4A" w:color="auto" w:val="clear"/>
            <w:tcMar>
              <w:top w:type="dxa" w:w="70"/>
              <w:left w:type="dxa" w:w="100"/>
              <w:bottom w:type="dxa" w:w="70"/>
              <w:right w:type="dxa" w:w="100"/>
            </w:tcMar>
            <w:vAlign w:val="top"/>
          </w:tcPr>
          <w:p>
            <w:pPr>
              <w:spacing w:after="40"/>
            </w:pPr>
            <w:r>
              <w:rPr>
                <w:b/>
                <w:bCs/>
                <w:i w:val="false"/>
                <w:iCs w:val="false"/>
                <w:color w:val="FFFFFF"/>
                <w:sz w:val="17"/>
                <w:szCs w:val="17"/>
              </w:rPr>
              <w:t xml:space="preserve">Harm</w:t>
            </w:r>
          </w:p>
        </w:tc>
        <w:tc>
          <w:tcPr>
            <w:tcW w:type="dxa" w:w="460"/>
            <w:shd w:fill="0F2A4A" w:color="auto" w:val="clear"/>
            <w:tcMar>
              <w:top w:type="dxa" w:w="70"/>
              <w:left w:type="dxa" w:w="100"/>
              <w:bottom w:type="dxa" w:w="70"/>
              <w:right w:type="dxa" w:w="100"/>
            </w:tcMar>
            <w:vAlign w:val="top"/>
          </w:tcPr>
          <w:p>
            <w:pPr>
              <w:spacing w:after="40"/>
            </w:pPr>
            <w:r>
              <w:rPr>
                <w:b/>
                <w:bCs/>
                <w:i w:val="false"/>
                <w:iCs w:val="false"/>
                <w:color w:val="FFFFFF"/>
                <w:sz w:val="17"/>
                <w:szCs w:val="17"/>
              </w:rPr>
              <w:t xml:space="preserve">P1</w:t>
            </w:r>
          </w:p>
        </w:tc>
        <w:tc>
          <w:tcPr>
            <w:tcW w:type="dxa" w:w="460"/>
            <w:shd w:fill="0F2A4A" w:color="auto" w:val="clear"/>
            <w:tcMar>
              <w:top w:type="dxa" w:w="70"/>
              <w:left w:type="dxa" w:w="100"/>
              <w:bottom w:type="dxa" w:w="70"/>
              <w:right w:type="dxa" w:w="100"/>
            </w:tcMar>
            <w:vAlign w:val="top"/>
          </w:tcPr>
          <w:p>
            <w:pPr>
              <w:spacing w:after="40"/>
            </w:pPr>
            <w:r>
              <w:rPr>
                <w:b/>
                <w:bCs/>
                <w:i w:val="false"/>
                <w:iCs w:val="false"/>
                <w:color w:val="FFFFFF"/>
                <w:sz w:val="17"/>
                <w:szCs w:val="17"/>
              </w:rPr>
              <w:t xml:space="preserve">P2</w:t>
            </w:r>
          </w:p>
        </w:tc>
        <w:tc>
          <w:tcPr>
            <w:tcW w:type="dxa" w:w="460"/>
            <w:shd w:fill="0F2A4A" w:color="auto" w:val="clear"/>
            <w:tcMar>
              <w:top w:type="dxa" w:w="70"/>
              <w:left w:type="dxa" w:w="100"/>
              <w:bottom w:type="dxa" w:w="70"/>
              <w:right w:type="dxa" w:w="100"/>
            </w:tcMar>
            <w:vAlign w:val="top"/>
          </w:tcPr>
          <w:p>
            <w:pPr>
              <w:spacing w:after="40"/>
            </w:pPr>
            <w:r>
              <w:rPr>
                <w:b/>
                <w:bCs/>
                <w:i w:val="false"/>
                <w:iCs w:val="false"/>
                <w:color w:val="FFFFFF"/>
                <w:sz w:val="17"/>
                <w:szCs w:val="17"/>
              </w:rPr>
              <w:t xml:space="preserve">S</w:t>
            </w:r>
          </w:p>
        </w:tc>
      </w:tr>
      <w:tr>
        <w:trPr>
          <w:cantSplit/>
        </w:trPr>
        <w:tc>
          <w:tcPr>
            <w:tcW w:type="dxa" w:w="400"/>
            <w:shd w:fill="F5F8FB" w:color="auto" w:val="clear"/>
            <w:tcMar>
              <w:top w:type="dxa" w:w="70"/>
              <w:left w:type="dxa" w:w="100"/>
              <w:bottom w:type="dxa" w:w="70"/>
              <w:right w:type="dxa" w:w="100"/>
            </w:tcMar>
            <w:vAlign w:val="top"/>
          </w:tcPr>
          <w:p>
            <w:pPr>
              <w:spacing w:after="40"/>
            </w:pPr>
            <w:r>
              <w:rPr>
                <w:b/>
                <w:bCs/>
                <w:i w:val="false"/>
                <w:iCs w:val="false"/>
                <w:sz w:val="17"/>
                <w:szCs w:val="17"/>
              </w:rPr>
              <w:t xml:space="preserve">1</w:t>
            </w:r>
          </w:p>
        </w:tc>
        <w:tc>
          <w:tcPr>
            <w:tcW w:type="dxa" w:w="150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Energy - mechanical (unintended delivery)</w:t>
            </w:r>
          </w:p>
        </w:tc>
        <w:tc>
          <w:tcPr>
            <w:tcW w:type="dxa" w:w="340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A downstream occlusion raises pressure in the compliant administration set; the occlusion clears and the stored volume is released before the pump can decompress the line</w:t>
            </w:r>
          </w:p>
        </w:tc>
        <w:tc>
          <w:tcPr>
            <w:tcW w:type="dxa" w:w="170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Patient receives a bolus above the prescribed rate</w:t>
            </w:r>
          </w:p>
        </w:tc>
        <w:tc>
          <w:tcPr>
            <w:tcW w:type="dxa" w:w="170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Over-infusion: hypotension and respiratory depression</w:t>
            </w:r>
          </w:p>
        </w:tc>
        <w:tc>
          <w:tcPr>
            <w:tcW w:type="dxa" w:w="46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4</w:t>
            </w:r>
          </w:p>
        </w:tc>
        <w:tc>
          <w:tcPr>
            <w:tcW w:type="dxa" w:w="46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4</w:t>
            </w:r>
          </w:p>
        </w:tc>
        <w:tc>
          <w:tcPr>
            <w:tcW w:type="dxa" w:w="46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4</w:t>
            </w:r>
          </w:p>
        </w:tc>
      </w:tr>
      <w:tr>
        <w:trPr>
          <w:cantSplit/>
        </w:trPr>
        <w:tc>
          <w:tcPr>
            <w:tcW w:type="dxa" w:w="400"/>
            <w:shd w:fill="FFFFFF" w:color="auto" w:val="clear"/>
            <w:tcMar>
              <w:top w:type="dxa" w:w="70"/>
              <w:left w:type="dxa" w:w="100"/>
              <w:bottom w:type="dxa" w:w="70"/>
              <w:right w:type="dxa" w:w="100"/>
            </w:tcMar>
            <w:vAlign w:val="top"/>
          </w:tcPr>
          <w:p>
            <w:pPr>
              <w:spacing w:after="40"/>
            </w:pPr>
            <w:r>
              <w:rPr>
                <w:b/>
                <w:bCs/>
                <w:i w:val="false"/>
                <w:iCs w:val="false"/>
                <w:sz w:val="17"/>
                <w:szCs w:val="17"/>
              </w:rPr>
              <w:t xml:space="preserve">2</w:t>
            </w:r>
          </w:p>
        </w:tc>
        <w:tc>
          <w:tcPr>
            <w:tcW w:type="dxa" w:w="150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Energy - mechanical (delivery stops)</w:t>
            </w:r>
          </w:p>
        </w:tc>
        <w:tc>
          <w:tcPr>
            <w:tcW w:type="dxa" w:w="340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The drive train wears beyond the qualified cycle count; the pump stalls and the stall is not detected by the motion sensor</w:t>
            </w:r>
          </w:p>
        </w:tc>
        <w:tc>
          <w:tcPr>
            <w:tcW w:type="dxa" w:w="170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Therapy stops without the user being alerted</w:t>
            </w:r>
          </w:p>
        </w:tc>
        <w:tc>
          <w:tcPr>
            <w:tcW w:type="dxa" w:w="170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Under-infusion: loss of therapy</w:t>
            </w:r>
          </w:p>
        </w:tc>
        <w:tc>
          <w:tcPr>
            <w:tcW w:type="dxa" w:w="46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3</w:t>
            </w:r>
          </w:p>
        </w:tc>
        <w:tc>
          <w:tcPr>
            <w:tcW w:type="dxa" w:w="46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3</w:t>
            </w:r>
          </w:p>
        </w:tc>
        <w:tc>
          <w:tcPr>
            <w:tcW w:type="dxa" w:w="460"/>
            <w:shd w:fill="FFFFFF"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4</w:t>
            </w:r>
          </w:p>
        </w:tc>
      </w:tr>
      <w:tr>
        <w:trPr>
          <w:cantSplit/>
        </w:trPr>
        <w:tc>
          <w:tcPr>
            <w:tcW w:type="dxa" w:w="400"/>
            <w:shd w:fill="F5F8FB" w:color="auto" w:val="clear"/>
            <w:tcMar>
              <w:top w:type="dxa" w:w="70"/>
              <w:left w:type="dxa" w:w="100"/>
              <w:bottom w:type="dxa" w:w="70"/>
              <w:right w:type="dxa" w:w="100"/>
            </w:tcMar>
            <w:vAlign w:val="top"/>
          </w:tcPr>
          <w:p>
            <w:pPr>
              <w:spacing w:after="40"/>
            </w:pPr>
            <w:r>
              <w:rPr>
                <w:b/>
                <w:bCs/>
                <w:i w:val="false"/>
                <w:iCs w:val="false"/>
                <w:sz w:val="17"/>
                <w:szCs w:val="17"/>
              </w:rPr>
              <w:t xml:space="preserve">3</w:t>
            </w:r>
          </w:p>
        </w:tc>
        <w:tc>
          <w:tcPr>
            <w:tcW w:type="dxa" w:w="150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Energy - mechanical (inaccurate delivery)</w:t>
            </w:r>
          </w:p>
        </w:tc>
        <w:tc>
          <w:tcPr>
            <w:tcW w:type="dxa" w:w="340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The plunger seal creeps over the infusion period; delivered volume drifts below the set rate, within the alarm window</w:t>
            </w:r>
          </w:p>
        </w:tc>
        <w:tc>
          <w:tcPr>
            <w:tcW w:type="dxa" w:w="170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Patient receives less than the prescribed rate, undetected</w:t>
            </w:r>
          </w:p>
        </w:tc>
        <w:tc>
          <w:tcPr>
            <w:tcW w:type="dxa" w:w="170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Under-infusion: therapeutic failure</w:t>
            </w:r>
          </w:p>
        </w:tc>
        <w:tc>
          <w:tcPr>
            <w:tcW w:type="dxa" w:w="46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3</w:t>
            </w:r>
          </w:p>
        </w:tc>
        <w:tc>
          <w:tcPr>
            <w:tcW w:type="dxa" w:w="46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4</w:t>
            </w:r>
          </w:p>
        </w:tc>
        <w:tc>
          <w:tcPr>
            <w:tcW w:type="dxa" w:w="460"/>
            <w:shd w:fill="F5F8FB" w:color="auto" w:val="clear"/>
            <w:tcMar>
              <w:top w:type="dxa" w:w="70"/>
              <w:left w:type="dxa" w:w="100"/>
              <w:bottom w:type="dxa" w:w="70"/>
              <w:right w:type="dxa" w:w="100"/>
            </w:tcMar>
            <w:vAlign w:val="top"/>
          </w:tcPr>
          <w:p>
            <w:pPr>
              <w:spacing w:after="40"/>
            </w:pPr>
            <w:r>
              <w:rPr>
                <w:b w:val="false"/>
                <w:bCs w:val="false"/>
                <w:i w:val="false"/>
                <w:iCs w:val="false"/>
                <w:sz w:val="17"/>
                <w:szCs w:val="17"/>
              </w:rPr>
              <w:t xml:space="preserve">3</w:t>
            </w:r>
          </w:p>
        </w:tc>
      </w:tr>
    </w:tbl>
    <w:p>
      <w:pPr>
        <w:pStyle w:val="Heading3"/>
      </w:pPr>
      <w:r>
        <w:t xml:space="preserve">The bases to insist on</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760"/>
        <w:gridCol w:w="4660"/>
        <w:gridCol w:w="4660"/>
      </w:tblGrid>
      <w:tr>
        <w:trPr>
          <w:tblHeader/>
        </w:trPr>
        <w:tc>
          <w:tcPr>
            <w:tcW w:type="dxa" w:w="76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Row</w:t>
            </w:r>
          </w:p>
        </w:tc>
        <w:tc>
          <w:tcPr>
            <w:tcW w:type="dxa" w:w="466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P1 basis</w:t>
            </w:r>
          </w:p>
        </w:tc>
        <w:tc>
          <w:tcPr>
            <w:tcW w:type="dxa" w:w="466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P2 basis</w:t>
            </w:r>
          </w:p>
        </w:tc>
      </w:tr>
      <w:tr>
        <w:trPr>
          <w:cantSplit/>
        </w:trPr>
        <w:tc>
          <w:tcPr>
            <w:tcW w:type="dxa" w:w="76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1</w:t>
            </w:r>
          </w:p>
        </w:tc>
        <w:tc>
          <w:tcPr>
            <w:tcW w:type="dxa" w:w="466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Complaint trend over the installed base, plus a bench measurement of post-occlusion bolus volume against the specified limit</w:t>
            </w:r>
          </w:p>
        </w:tc>
        <w:tc>
          <w:tcPr>
            <w:tcW w:type="dxa" w:w="466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patient is unattended at home; a bolus of this size acts within minutes and nobody is present to intervene. Hence a high conditional probability</w:t>
            </w:r>
          </w:p>
        </w:tc>
      </w:tr>
      <w:tr>
        <w:trPr>
          <w:cantSplit/>
        </w:trPr>
        <w:tc>
          <w:tcPr>
            <w:tcW w:type="dxa" w:w="76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2</w:t>
            </w:r>
          </w:p>
        </w:tc>
        <w:tc>
          <w:tcPr>
            <w:tcW w:type="dxa" w:w="466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Drive-train cycle-life test and the observed service age at failure in returned units</w:t>
            </w:r>
          </w:p>
        </w:tc>
        <w:tc>
          <w:tcPr>
            <w:tcW w:type="dxa" w:w="466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 stall with no alert persists until the next scheduled check. For a life-sustaining therapy that is a high conditional probability, but lower than row 1 because a carer may notice the absence of infusion</w:t>
            </w:r>
          </w:p>
        </w:tc>
      </w:tr>
      <w:tr>
        <w:trPr>
          <w:cantSplit/>
        </w:trPr>
        <w:tc>
          <w:tcPr>
            <w:tcW w:type="dxa" w:w="76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3</w:t>
            </w:r>
          </w:p>
        </w:tc>
        <w:tc>
          <w:tcPr>
            <w:tcW w:type="dxa" w:w="466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Seal creep measured over the maximum infusion duration, across the temperature range</w:t>
            </w:r>
          </w:p>
        </w:tc>
        <w:tc>
          <w:tcPr>
            <w:tcW w:type="dxa" w:w="466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Drift inside the alarm window is by definition undetected by the device, so it persists for the whole infusion - a high conditional probability, but the harm is therapeutic failure rather than an acute event</w:t>
            </w:r>
          </w:p>
        </w:tc>
      </w:tr>
    </w:tbl>
    <w:p>
      <w:pPr>
        <w:pStyle w:val="Heading3"/>
      </w:pPr>
      <w:r>
        <w:t xml:space="preserve">The GSPR links, and why they matter</w:t>
      </w:r>
    </w:p>
    <w:p>
      <w:pPr>
        <w:spacing w:after="120" w:before="0"/>
      </w:pPr>
      <w:r>
        <w:rPr>
          <w:b w:val="false"/>
          <w:bCs w:val="false"/>
          <w:i w:val="false"/>
          <w:iCs w:val="false"/>
          <w:sz w:val="21"/>
          <w:szCs w:val="21"/>
        </w:rPr>
        <w:t xml:space="preserve">Most files link a row like this to Annex I point 4 and stop. This device </w:t>
      </w:r>
      <w:r>
        <w:rPr>
          <w:b/>
          <w:bCs/>
          <w:i w:val="false"/>
          <w:iCs w:val="false"/>
          <w:sz w:val="21"/>
          <w:szCs w:val="21"/>
        </w:rPr>
        <w:t xml:space="preserve">supplies substances to the patient</w:t>
      </w:r>
      <w:r>
        <w:rPr>
          <w:b w:val="false"/>
          <w:bCs w:val="false"/>
          <w:i w:val="false"/>
          <w:iCs w:val="false"/>
          <w:sz w:val="21"/>
          <w:szCs w:val="21"/>
        </w:rPr>
        <w:t xml:space="preserve">, so Chapter II point 21 is directly on point: 21.1 requires that the amount to be delivered can be set and maintained accurately, and 21.2 requires the device to be fitted with the means of preventing and/or indicating any inadequacies in the amount delivered which could pose a danger. Row 1 also engages 14.2(a), risk of injury in connection with physical features including the volume/pressure ratio. Row 2 engages 18.1, single fault condition in a non-implantable active device.</w:t>
      </w:r>
    </w:p>
    <w:p>
      <w:pPr>
        <w:pStyle w:val="Heading2"/>
      </w:pPr>
      <w:r>
        <w:t xml:space="preserve">2.3  Step 3: the deficiency</w:t>
      </w:r>
    </w:p>
    <w:tbl>
      <w:tblPr>
        <w:tblW w:type="dxa" w:w="10080"/>
        <w:tblBorders>
          <w:top w:val="single" w:color="A8730F" w:sz="6"/>
          <w:left w:val="single" w:color="A8730F" w:sz="6"/>
          <w:bottom w:val="single" w:color="A8730F" w:sz="6"/>
          <w:right w:val="single" w:color="A8730F" w:sz="6"/>
          <w:insideH w:val="single" w:color="A8730F" w:sz="6"/>
          <w:insideV w:val="single" w:color="A8730F" w:sz="6"/>
        </w:tblBorders>
      </w:tblPr>
      <w:tblGrid>
        <w:gridCol w:w="10080"/>
      </w:tblGrid>
      <w:tr>
        <w:trPr>
          <w:cantSplit/>
        </w:trPr>
        <w:tc>
          <w:tcPr>
            <w:tcW w:type="dxa" w:w="10080"/>
            <w:shd w:fill="FFFFFF" w:color="auto" w:val="clear"/>
            <w:tcMar>
              <w:top w:type="dxa" w:w="120"/>
              <w:left w:type="dxa" w:w="200"/>
              <w:bottom w:type="dxa" w:w="120"/>
              <w:right w:type="dxa" w:w="200"/>
            </w:tcMar>
          </w:tcPr>
          <w:p>
            <w:pPr>
              <w:spacing w:after="40"/>
            </w:pPr>
            <w:r>
              <w:rPr>
                <w:b/>
                <w:bCs/>
                <w:color w:val="A8730F"/>
                <w:sz w:val="16"/>
                <w:szCs w:val="16"/>
              </w:rPr>
              <w:t xml:space="preserve">MODEL DEFICIENCY   </w:t>
            </w:r>
            <w:r>
              <w:rPr>
                <w:b/>
                <w:bCs/>
                <w:color w:val="0F2A4A"/>
                <w:sz w:val="20"/>
                <w:szCs w:val="20"/>
              </w:rPr>
              <w:t xml:space="preserve">What a reviewer would write against HZ-15</w:t>
            </w:r>
          </w:p>
          <w:p>
            <w:pPr>
              <w:spacing w:after="40"/>
            </w:pPr>
            <w:r>
              <w:rPr>
                <w:rFonts w:ascii="Courier New" w:cs="Courier New" w:eastAsia="Courier New" w:hAnsi="Courier New"/>
                <w:b w:val="false"/>
                <w:bCs w:val="false"/>
                <w:i w:val="false"/>
                <w:iCs w:val="false"/>
                <w:sz w:val="19"/>
                <w:szCs w:val="19"/>
              </w:rPr>
              <w:t xml:space="preserve">The risk management file does not identify the foreseeable sequences of events by</w:t>
            </w:r>
          </w:p>
          <w:p>
            <w:pPr>
              <w:spacing w:after="40"/>
            </w:pPr>
            <w:r>
              <w:rPr>
                <w:rFonts w:ascii="Courier New" w:cs="Courier New" w:eastAsia="Courier New" w:hAnsi="Courier New"/>
                <w:b w:val="false"/>
                <w:bCs w:val="false"/>
                <w:i w:val="false"/>
                <w:iCs w:val="false"/>
                <w:sz w:val="19"/>
                <w:szCs w:val="19"/>
              </w:rPr>
              <w:t xml:space="preserve">which the identified hazard leads to a hazardous situation, and does not distinguish</w:t>
            </w:r>
          </w:p>
          <w:p>
            <w:pPr>
              <w:spacing w:after="40"/>
            </w:pPr>
            <w:r>
              <w:rPr>
                <w:rFonts w:ascii="Courier New" w:cs="Courier New" w:eastAsia="Courier New" w:hAnsi="Courier New"/>
                <w:b w:val="false"/>
                <w:bCs w:val="false"/>
                <w:i w:val="false"/>
                <w:iCs w:val="false"/>
                <w:sz w:val="19"/>
                <w:szCs w:val="19"/>
              </w:rPr>
              <w:t xml:space="preserve">the hazardous situation from the hazard or from the harm (ISO 14971:2019, 5.4). No</w:t>
            </w:r>
          </w:p>
          <w:p>
            <w:pPr>
              <w:spacing w:after="40"/>
            </w:pPr>
            <w:r>
              <w:rPr>
                <w:rFonts w:ascii="Courier New" w:cs="Courier New" w:eastAsia="Courier New" w:hAnsi="Courier New"/>
                <w:b w:val="false"/>
                <w:bCs w:val="false"/>
                <w:i w:val="false"/>
                <w:iCs w:val="false"/>
                <w:sz w:val="19"/>
                <w:szCs w:val="19"/>
              </w:rPr>
              <w:t xml:space="preserve">basis is recorded for the probability estimate (5.5). The stated risk control is not</w:t>
            </w:r>
          </w:p>
          <w:p>
            <w:pPr>
              <w:spacing w:after="40"/>
            </w:pPr>
            <w:r>
              <w:rPr>
                <w:rFonts w:ascii="Courier New" w:cs="Courier New" w:eastAsia="Courier New" w:hAnsi="Courier New"/>
                <w:b w:val="false"/>
                <w:bCs w:val="false"/>
                <w:i w:val="false"/>
                <w:iCs w:val="false"/>
                <w:sz w:val="19"/>
                <w:szCs w:val="19"/>
              </w:rPr>
              <w:t xml:space="preserve">identified, and is not traceable to a verification of implementation or of</w:t>
            </w:r>
          </w:p>
          <w:p>
            <w:pPr>
              <w:spacing w:after="40"/>
            </w:pPr>
            <w:r>
              <w:rPr>
                <w:rFonts w:ascii="Courier New" w:cs="Courier New" w:eastAsia="Courier New" w:hAnsi="Courier New"/>
                <w:b w:val="false"/>
                <w:bCs w:val="false"/>
                <w:i w:val="false"/>
                <w:iCs w:val="false"/>
                <w:sz w:val="19"/>
                <w:szCs w:val="19"/>
              </w:rPr>
              <w:t xml:space="preserve">effectiveness (7.2). No residual risk has been evaluated (7.3). The row is</w:t>
            </w:r>
          </w:p>
          <w:p>
            <w:pPr>
              <w:spacing w:after="40"/>
            </w:pPr>
            <w:r>
              <w:rPr>
                <w:rFonts w:ascii="Courier New" w:cs="Courier New" w:eastAsia="Courier New" w:hAnsi="Courier New"/>
                <w:b w:val="false"/>
                <w:bCs w:val="false"/>
                <w:i w:val="false"/>
                <w:iCs w:val="false"/>
                <w:sz w:val="19"/>
                <w:szCs w:val="19"/>
              </w:rPr>
              <w:t xml:space="preserve">not linked to any general safety and performance requirement (MDR Annex II</w:t>
            </w:r>
          </w:p>
          <w:p>
            <w:pPr>
              <w:spacing w:after="40"/>
            </w:pPr>
            <w:r>
              <w:rPr>
                <w:rFonts w:ascii="Courier New" w:cs="Courier New" w:eastAsia="Courier New" w:hAnsi="Courier New"/>
                <w:b w:val="false"/>
                <w:bCs w:val="false"/>
                <w:i w:val="false"/>
                <w:iCs w:val="false"/>
                <w:sz w:val="19"/>
                <w:szCs w:val="19"/>
              </w:rPr>
              <w:t xml:space="preserve">point 4).</w:t>
            </w:r>
          </w:p>
        </w:tc>
      </w:tr>
    </w:tbl>
    <w:p>
      <w:pPr>
        <w:pStyle w:val="Heading2"/>
      </w:pPr>
      <w:r>
        <w:t xml:space="preserve">2.4  What the room reliably gets wrong</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900"/>
        <w:gridCol w:w="7180"/>
      </w:tblGrid>
      <w:tr>
        <w:trPr>
          <w:tblHeader/>
        </w:trPr>
        <w:tc>
          <w:tcPr>
            <w:tcW w:type="dxa" w:w="29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Pattern</w:t>
            </w:r>
          </w:p>
        </w:tc>
        <w:tc>
          <w:tcPr>
            <w:tcW w:type="dxa" w:w="71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What to say</w:t>
            </w:r>
          </w:p>
        </w:tc>
      </w:tr>
      <w:tr>
        <w:trPr>
          <w:cantSplit/>
        </w:trPr>
        <w:tc>
          <w:tcPr>
            <w:tcW w:type="dxa" w:w="2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Rebuilding one row instead of several</w:t>
            </w:r>
          </w:p>
        </w:tc>
        <w:tc>
          <w:tcPr>
            <w:tcW w:type="dxa" w:w="7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hazard reached more than one hazardous situation. A single rebuilt row has renamed the problem, not analysed it. This is the most common outcome and it is worth 30 seconds</w:t>
            </w:r>
          </w:p>
        </w:tc>
      </w:tr>
      <w:tr>
        <w:trPr>
          <w:cantSplit/>
        </w:trPr>
        <w:tc>
          <w:tcPr>
            <w:tcW w:type="dxa" w:w="2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A sequence that is one step long</w:t>
            </w:r>
          </w:p>
        </w:tc>
        <w:tc>
          <w:tcPr>
            <w:tcW w:type="dxa" w:w="7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"Pump fails" is a state, not a sequence. Clause 5.4 says sequences, plural, and combinations of events</w:t>
            </w:r>
          </w:p>
        </w:tc>
      </w:tr>
      <w:tr>
        <w:trPr>
          <w:cantSplit/>
        </w:trPr>
        <w:tc>
          <w:tcPr>
            <w:tcW w:type="dxa" w:w="2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P1 and P2 assigned without separating the evidence</w:t>
            </w:r>
          </w:p>
        </w:tc>
        <w:tc>
          <w:tcPr>
            <w:tcW w:type="dxa" w:w="7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Ask: which half of that number is engineering and which half is clinical? If they cannot say, they have one number wearing two hats</w:t>
            </w:r>
          </w:p>
        </w:tc>
      </w:tr>
      <w:tr>
        <w:trPr>
          <w:cantSplit/>
        </w:trPr>
        <w:tc>
          <w:tcPr>
            <w:tcW w:type="dxa" w:w="2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The harm written as a regulatory event</w:t>
            </w:r>
          </w:p>
        </w:tc>
        <w:tc>
          <w:tcPr>
            <w:tcW w:type="dxa" w:w="7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 harm is physical injury or damage to health (3.3). "Reportable incident", "complaint" and "recall" are consequences of harm, not harms. This is the subtle one - name it explicitly</w:t>
            </w:r>
          </w:p>
        </w:tc>
      </w:tr>
    </w:tbl>
    <w:p>
      <w:r>
        <w:br w:type="page"/>
      </w:r>
    </w:p>
    <w:p>
      <w:pPr>
        <w:pStyle w:val="Heading1"/>
      </w:pPr>
      <w:r>
        <w:t xml:space="preserve">3  Exercise B  ·  Model answer</w:t>
      </w:r>
    </w:p>
    <w:p>
      <w:pPr>
        <w:spacing w:after="120" w:before="0"/>
      </w:pPr>
      <w:r>
        <w:rPr>
          <w:b/>
          <w:bCs/>
          <w:i w:val="false"/>
          <w:iCs w:val="false"/>
          <w:sz w:val="21"/>
          <w:szCs w:val="21"/>
        </w:rPr>
        <w:t xml:space="preserve">Timing:</w:t>
      </w:r>
      <w:r>
        <w:rPr>
          <w:b w:val="false"/>
          <w:bCs w:val="false"/>
          <w:i w:val="false"/>
          <w:iCs w:val="false"/>
          <w:sz w:val="21"/>
          <w:szCs w:val="21"/>
        </w:rPr>
        <w:t xml:space="preserve"> 9 minutes in groups, 5 minutes round the room, one finding per table with no repeats. Collect findings on the board before showing slide 29.</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400"/>
        <w:gridCol w:w="7680"/>
        <w:gridCol w:w="2000"/>
      </w:tblGrid>
      <w:tr>
        <w:trPr>
          <w:tblHeader/>
        </w:trPr>
        <w:tc>
          <w:tcPr>
            <w:tcW w:type="dxa" w:w="4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t>
            </w:r>
          </w:p>
        </w:tc>
        <w:tc>
          <w:tcPr>
            <w:tcW w:type="dxa" w:w="76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Finding</w:t>
            </w:r>
          </w:p>
        </w:tc>
        <w:tc>
          <w:tcPr>
            <w:tcW w:type="dxa" w:w="20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Cite</w:t>
            </w:r>
          </w:p>
        </w:tc>
      </w:tr>
      <w:tr>
        <w:trPr>
          <w:cantSplit/>
        </w:trPr>
        <w:tc>
          <w:tcPr>
            <w:tcW w:type="dxa" w:w="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1</w:t>
            </w:r>
          </w:p>
        </w:tc>
        <w:tc>
          <w:tcPr>
            <w:tcW w:type="dxa" w:w="768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MAJOR.</w:t>
            </w:r>
            <w:r>
              <w:rPr>
                <w:b w:val="false"/>
                <w:bCs w:val="false"/>
                <w:i w:val="false"/>
                <w:iCs w:val="false"/>
                <w:sz w:val="19"/>
                <w:szCs w:val="19"/>
              </w:rPr>
              <w:t xml:space="preserve"> A risk control in the information-for-safety category (a warning in the IFU) is credited with reducing P1 from 5 to 1 and P2 from 5 to 1. Information for safety does not reduce the probability that the hazardous situation arises: a sentence in an instruction manual cannot stop a user silencing an alarm. The residual risk estimate is therefore unsupported, and the verification of effectiveness that would have to support a four-band claim is absent</w:t>
            </w:r>
          </w:p>
        </w:tc>
        <w:tc>
          <w:tcPr>
            <w:tcW w:type="dxa" w:w="20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7.1, 7.2, 7.3</w:t>
            </w:r>
          </w:p>
        </w:tc>
      </w:tr>
      <w:tr>
        <w:trPr>
          <w:cantSplit/>
        </w:trPr>
        <w:tc>
          <w:tcPr>
            <w:tcW w:type="dxa" w:w="4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2</w:t>
            </w:r>
          </w:p>
        </w:tc>
        <w:tc>
          <w:tcPr>
            <w:tcW w:type="dxa" w:w="76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order of priority was not worked on HZ-16: the justification for not using a higher-priority option is blank. A self-re-arming alarm silence, or a silence with a hard time limit, is an available protective measure and is not discussed</w:t>
            </w:r>
          </w:p>
        </w:tc>
        <w:tc>
          <w:tcPr>
            <w:tcW w:type="dxa" w:w="20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7.1; MDR Annex I point 4</w:t>
            </w:r>
          </w:p>
        </w:tc>
      </w:tr>
      <w:tr>
        <w:trPr>
          <w:cantSplit/>
        </w:trPr>
        <w:tc>
          <w:tcPr>
            <w:tcW w:type="dxa" w:w="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3</w:t>
            </w:r>
          </w:p>
        </w:tc>
        <w:tc>
          <w:tcPr>
            <w:tcW w:type="dxa" w:w="76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HZ-11 justifies rejecting a higher-priority option partly on </w:t>
            </w:r>
            <w:r>
              <w:rPr>
                <w:b/>
                <w:bCs/>
                <w:i w:val="false"/>
                <w:iCs w:val="false"/>
                <w:sz w:val="19"/>
                <w:szCs w:val="19"/>
              </w:rPr>
              <w:t xml:space="preserve">cost of therapy</w:t>
            </w:r>
            <w:r>
              <w:rPr>
                <w:b w:val="false"/>
                <w:bCs w:val="false"/>
                <w:i w:val="false"/>
                <w:iCs w:val="false"/>
                <w:sz w:val="19"/>
                <w:szCs w:val="19"/>
              </w:rPr>
              <w:t xml:space="preserve">. Under MDR Annex I point 2 the only permitted limit on reducing risks as far as possible is the benefit-risk ratio. The thermal argument is admissible; the cost argument is not</w:t>
            </w:r>
          </w:p>
        </w:tc>
        <w:tc>
          <w:tcPr>
            <w:tcW w:type="dxa" w:w="20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MDR Annex I point 2</w:t>
            </w:r>
          </w:p>
        </w:tc>
      </w:tr>
      <w:tr>
        <w:trPr>
          <w:cantSplit/>
        </w:trPr>
        <w:tc>
          <w:tcPr>
            <w:tcW w:type="dxa" w:w="4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4</w:t>
            </w:r>
          </w:p>
        </w:tc>
        <w:tc>
          <w:tcPr>
            <w:tcW w:type="dxa" w:w="76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HZ-16 relies entirely on information for safety and records no disclosure of the residual risk in the accompanying information</w:t>
            </w:r>
          </w:p>
        </w:tc>
        <w:tc>
          <w:tcPr>
            <w:tcW w:type="dxa" w:w="20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8; MDR Annex I point 4</w:t>
            </w:r>
          </w:p>
        </w:tc>
      </w:tr>
      <w:tr>
        <w:trPr>
          <w:cantSplit/>
        </w:trPr>
        <w:tc>
          <w:tcPr>
            <w:tcW w:type="dxa" w:w="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5</w:t>
            </w:r>
          </w:p>
        </w:tc>
        <w:tc>
          <w:tcPr>
            <w:tcW w:type="dxa" w:w="76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"Engineering judgement" is not a recorded basis for a risk estimate, and the estimate sits at the top of both probability scales, where the consequences of being wrong are largest</w:t>
            </w:r>
          </w:p>
        </w:tc>
        <w:tc>
          <w:tcPr>
            <w:tcW w:type="dxa" w:w="20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5.5</w:t>
            </w:r>
          </w:p>
        </w:tc>
      </w:tr>
      <w:tr>
        <w:trPr>
          <w:cantSplit/>
        </w:trPr>
        <w:tc>
          <w:tcPr>
            <w:tcW w:type="dxa" w:w="4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6</w:t>
            </w:r>
          </w:p>
        </w:tc>
        <w:tc>
          <w:tcPr>
            <w:tcW w:type="dxa" w:w="76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 assessment of risks arising from HZ-16’s risk control measure. A warning changes user behaviour and can introduce a new hazardous situation - for example, a user who checks the line instead of responding to the underlying alarm condition</w:t>
            </w:r>
          </w:p>
        </w:tc>
        <w:tc>
          <w:tcPr>
            <w:tcW w:type="dxa" w:w="20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7.5</w:t>
            </w:r>
          </w:p>
        </w:tc>
      </w:tr>
      <w:tr>
        <w:trPr>
          <w:cantSplit/>
        </w:trPr>
        <w:tc>
          <w:tcPr>
            <w:tcW w:type="dxa" w:w="4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7</w:t>
            </w:r>
          </w:p>
        </w:tc>
        <w:tc>
          <w:tcPr>
            <w:tcW w:type="dxa" w:w="76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HZ-16 is linked to GSPR 1 only. It is a use-error hazard involving an alarm on a home-use device: points 5 (use error), 18.4 (alarm systems), 21.2 (indicating inadequacies in delivery) and 22.1 (devices for use by lay persons) are all engaged</w:t>
            </w:r>
          </w:p>
        </w:tc>
        <w:tc>
          <w:tcPr>
            <w:tcW w:type="dxa" w:w="20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MDR Annex I</w:t>
            </w:r>
          </w:p>
        </w:tc>
      </w:tr>
    </w:tbl>
    <w:p>
      <w:pPr>
        <w:pStyle w:val="Heading3"/>
      </w:pPr>
      <w:r>
        <w:t xml:space="preserve">Ranking: why finding 1 is the major</w:t>
      </w:r>
    </w:p>
    <w:p>
      <w:pPr>
        <w:spacing w:after="120" w:before="0"/>
      </w:pPr>
      <w:r>
        <w:rPr>
          <w:b w:val="false"/>
          <w:bCs w:val="false"/>
          <w:i w:val="false"/>
          <w:iCs w:val="false"/>
          <w:sz w:val="21"/>
          <w:szCs w:val="21"/>
        </w:rPr>
        <w:t xml:space="preserve">It is not a documentation gap, it is an unsupported safety conclusion. The residual risk verdict for a severity-4 hazard rests on a probability reduction the control category cannot deliver, and the record that would have to support it does not exist. The device shipped on that conclusion. Findings 2 to 7 are all real, but they are gaps in the argument rather than a wrong answer.</w:t>
      </w:r>
    </w:p>
    <w:p>
      <w:pPr>
        <w:pStyle w:val="Heading3"/>
      </w:pPr>
      <w:r>
        <w:t xml:space="preserve">The fair word for HZ-11 - do not skip this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E8F3EE" w:color="auto" w:val="clear"/>
            <w:tcMar>
              <w:top w:type="dxa" w:w="140"/>
              <w:left w:type="dxa" w:w="200"/>
              <w:bottom w:type="dxa" w:w="140"/>
              <w:right w:type="dxa" w:w="200"/>
            </w:tcMar>
          </w:tcPr>
          <w:p>
            <w:pPr>
              <w:spacing w:after="60"/>
            </w:pPr>
            <w:r>
              <w:rPr>
                <w:b w:val="false"/>
                <w:bCs w:val="false"/>
                <w:i w:val="false"/>
                <w:iCs w:val="false"/>
                <w:sz w:val="20"/>
                <w:szCs w:val="20"/>
              </w:rPr>
              <w:t xml:space="preserve">HZ-11 is a </w:t>
            </w:r>
            <w:r>
              <w:rPr>
                <w:b/>
                <w:bCs/>
                <w:i w:val="false"/>
                <w:iCs w:val="false"/>
                <w:sz w:val="20"/>
                <w:szCs w:val="20"/>
              </w:rPr>
              <w:t xml:space="preserve">good row</w:t>
            </w:r>
            <w:r>
              <w:rPr>
                <w:b w:val="false"/>
                <w:bCs w:val="false"/>
                <w:i w:val="false"/>
                <w:iCs w:val="false"/>
                <w:sz w:val="20"/>
                <w:szCs w:val="20"/>
              </w:rPr>
              <w:t xml:space="preserve">, and saying so is what shows the room what "good" looks like. Its numbers are honest: an information-for-safety control that changed nothing numerically, which is exactly the right answer. It has both verifications, with the effectiveness verification tied to the agents actually named in the IFU over the claimed service life. It has a residual risk disclosure reference. It has a Clause 7.5 assessment of the new risk the control creates (an unlisted agent used anyway). One clause of its justification is wrong. That is the only thing to fix.</w:t>
            </w:r>
          </w:p>
        </w:tc>
      </w:tr>
    </w:tbl>
    <w:p>
      <w:pPr>
        <w:pStyle w:val="Heading3"/>
      </w:pPr>
      <w:r>
        <w:t xml:space="preserve">If the room stalls</w:t>
      </w:r>
    </w:p>
    <w:p>
      <w:pPr>
        <w:pStyle w:val="ListParagraph"/>
        <w:numPr>
          <w:ilvl w:val="0"/>
          <w:numId w:val="3"/>
        </w:numPr>
        <w:spacing w:after="60"/>
      </w:pPr>
      <w:r>
        <w:rPr>
          <w:b w:val="false"/>
          <w:bCs w:val="false"/>
          <w:i w:val="false"/>
          <w:iCs w:val="false"/>
          <w:sz w:val="21"/>
          <w:szCs w:val="21"/>
        </w:rPr>
        <w:t xml:space="preserve">Prompt: "read the residual risk numbers next to the control category." That gets finding 1 out within a minute.</w:t>
      </w:r>
    </w:p>
    <w:p>
      <w:pPr>
        <w:pStyle w:val="ListParagraph"/>
        <w:numPr>
          <w:ilvl w:val="0"/>
          <w:numId w:val="3"/>
        </w:numPr>
        <w:spacing w:after="60"/>
      </w:pPr>
      <w:r>
        <w:rPr>
          <w:b w:val="false"/>
          <w:bCs w:val="false"/>
          <w:i w:val="false"/>
          <w:iCs w:val="false"/>
          <w:sz w:val="21"/>
          <w:szCs w:val="21"/>
        </w:rPr>
        <w:t xml:space="preserve">Second prompt: "look at what is blank." That gets findings 2, 4, 6 and part of 5.</w:t>
      </w:r>
    </w:p>
    <w:p>
      <w:pPr>
        <w:pStyle w:val="ListParagraph"/>
        <w:numPr>
          <w:ilvl w:val="0"/>
          <w:numId w:val="3"/>
        </w:numPr>
        <w:spacing w:after="60"/>
      </w:pPr>
      <w:r>
        <w:rPr>
          <w:b w:val="false"/>
          <w:bCs w:val="false"/>
          <w:i w:val="false"/>
          <w:iCs w:val="false"/>
          <w:sz w:val="21"/>
          <w:szCs w:val="21"/>
        </w:rPr>
        <w:t xml:space="preserve">Third prompt, only if needed: "is every reason for not doing more an admissible reason?" That gets finding 3, which is the one groups almost never find unaided.</w:t>
      </w:r>
    </w:p>
    <w:p>
      <w:r>
        <w:br w:type="page"/>
      </w:r>
    </w:p>
    <w:p>
      <w:pPr>
        <w:pStyle w:val="Heading1"/>
      </w:pPr>
      <w:r>
        <w:t xml:space="preserve">4  Exercise C and the toolkit’s delivered state</w:t>
      </w:r>
    </w:p>
    <w:p>
      <w:pPr>
        <w:spacing w:after="120" w:before="0"/>
      </w:pPr>
      <w:r>
        <w:rPr>
          <w:b/>
          <w:bCs/>
          <w:i w:val="false"/>
          <w:iCs w:val="false"/>
          <w:sz w:val="21"/>
          <w:szCs w:val="21"/>
        </w:rPr>
        <w:t xml:space="preserve">Timing:</w:t>
      </w:r>
      <w:r>
        <w:rPr>
          <w:b w:val="false"/>
          <w:bCs w:val="false"/>
          <w:i w:val="false"/>
          <w:iCs w:val="false"/>
          <w:sz w:val="21"/>
          <w:szCs w:val="21"/>
        </w:rPr>
        <w:t xml:space="preserve"> 5 minutes individual writing, 3 minutes sharing and Q&amp;A. Take two or three first actions out loud; do not go round the room.</w:t>
      </w:r>
    </w:p>
    <w:p>
      <w:pPr>
        <w:spacing w:after="120" w:before="0"/>
      </w:pPr>
      <w:r>
        <w:rPr>
          <w:b w:val="false"/>
          <w:bCs w:val="false"/>
          <w:i w:val="false"/>
          <w:iCs w:val="false"/>
          <w:sz w:val="21"/>
          <w:szCs w:val="21"/>
        </w:rPr>
        <w:t xml:space="preserve">The toolkit ships in a deliberately imperfect state so that the Dashboard has something to report. If you demonstrate it, these are the five things it flags and why each one is there.</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3600"/>
        <w:gridCol w:w="6480"/>
      </w:tblGrid>
      <w:tr>
        <w:trPr>
          <w:tblHeader/>
        </w:trPr>
        <w:tc>
          <w:tcPr>
            <w:tcW w:type="dxa" w:w="36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What the Dashboard reports</w:t>
            </w:r>
          </w:p>
        </w:tc>
        <w:tc>
          <w:tcPr>
            <w:tcW w:type="dxa" w:w="64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Why it is there</w:t>
            </w:r>
          </w:p>
        </w:tc>
      </w:tr>
      <w:tr>
        <w:trPr>
          <w:cantSplit/>
        </w:trPr>
        <w:tc>
          <w:tcPr>
            <w:tcW w:type="dxa" w:w="36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1 hazard row with no MDR GSPR link, and 1 with no stated basis for the estimate</w:t>
            </w:r>
          </w:p>
        </w:tc>
        <w:tc>
          <w:tcPr>
            <w:tcW w:type="dxa" w:w="64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HZ-15, the collapsed row from Exercise A. Both flags come from the same row</w:t>
            </w:r>
          </w:p>
        </w:tc>
      </w:tr>
      <w:tr>
        <w:trPr>
          <w:cantSplit/>
        </w:trPr>
        <w:tc>
          <w:tcPr>
            <w:tcW w:type="dxa" w:w="36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1 risk control with effectiveness not verified, and 1 with no order-of-priority justification</w:t>
            </w:r>
          </w:p>
        </w:tc>
        <w:tc>
          <w:tcPr>
            <w:tcW w:type="dxa" w:w="64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RC-16, the control from Exercise B. It has an implementation record and nothing else</w:t>
            </w:r>
          </w:p>
        </w:tc>
      </w:tr>
      <w:tr>
        <w:trPr>
          <w:cantSplit/>
        </w:trPr>
        <w:tc>
          <w:tcPr>
            <w:tcW w:type="dxa" w:w="36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1 category-3 control with no residual risk disclosure reference</w:t>
            </w:r>
          </w:p>
        </w:tc>
        <w:tc>
          <w:tcPr>
            <w:tcW w:type="dxa" w:w="64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HZ-16 again. The three flags on this pair are the point of Exercise B</w:t>
            </w:r>
          </w:p>
        </w:tc>
      </w:tr>
      <w:tr>
        <w:trPr>
          <w:cantSplit/>
        </w:trPr>
        <w:tc>
          <w:tcPr>
            <w:tcW w:type="dxa" w:w="36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1 benefit-risk record that is not complete</w:t>
            </w:r>
          </w:p>
        </w:tc>
        <w:tc>
          <w:tcPr>
            <w:tcW w:type="dxa" w:w="64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OVERALL row on the Benefit-Risk sheet. Its conclusion and approval are blank because the overall benefit-risk conclusion is the last thing anyone does</w:t>
            </w:r>
          </w:p>
        </w:tc>
      </w:tr>
      <w:tr>
        <w:trPr>
          <w:cantSplit/>
        </w:trPr>
        <w:tc>
          <w:tcPr>
            <w:tcW w:type="dxa" w:w="36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Overall residual risk inputs recorded: 0 of 9; risk management file index: not started</w:t>
            </w:r>
          </w:p>
        </w:tc>
        <w:tc>
          <w:tcPr>
            <w:tcW w:type="dxa" w:w="64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Left blank on purpose. Filling these in is the natural follow-on exercise after the workshop</w:t>
            </w:r>
          </w:p>
        </w:tc>
      </w:tr>
      <w:tr>
        <w:trPr>
          <w:cantSplit/>
        </w:trPr>
        <w:tc>
          <w:tcPr>
            <w:tcW w:type="dxa" w:w="36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1 open post-production item whose risk file rows were not updated</w:t>
            </w:r>
          </w:p>
        </w:tc>
        <w:tc>
          <w:tcPr>
            <w:tcW w:type="dxa" w:w="64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PP-005, the returned pumps whose battery indicator did not trigger. It invalidates the estimate for HZ-05 and the file has not caught up - which is exactly what an open Clause 10 item looks like in real life</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FBF2DE" w:color="auto" w:val="clear"/>
            <w:tcMar>
              <w:top w:type="dxa" w:w="140"/>
              <w:left w:type="dxa" w:w="200"/>
              <w:bottom w:type="dxa" w:w="140"/>
              <w:right w:type="dxa" w:w="200"/>
            </w:tcMar>
          </w:tcPr>
          <w:p>
            <w:pPr>
              <w:spacing w:after="60"/>
            </w:pPr>
            <w:r>
              <w:rPr>
                <w:b/>
                <w:bCs/>
                <w:i w:val="false"/>
                <w:iCs w:val="false"/>
                <w:sz w:val="20"/>
                <w:szCs w:val="20"/>
              </w:rPr>
              <w:t xml:space="preserve">There is one more defect, and it is the best one in the workbook.</w:t>
            </w:r>
            <w:r>
              <w:rPr>
                <w:b w:val="false"/>
                <w:bCs w:val="false"/>
                <w:i w:val="false"/>
                <w:iCs w:val="false"/>
                <w:sz w:val="20"/>
                <w:szCs w:val="20"/>
              </w:rPr>
              <w:t xml:space="preserve"> RC-11’s order-of-priority justification on the Risk Controls sheet reads: "a single-patient-use durable was rejected on cost of therapy" and then carries a note saying cost is not admissible under MDR Annex I point 2. No formula flags it, because no formula can. If someone finds it unprompted, that is the moment the session has worked.</w:t>
            </w:r>
          </w:p>
        </w:tc>
      </w:tr>
    </w:tbl>
    <w:p>
      <w:pPr>
        <w:pStyle w:val="Heading3"/>
      </w:pPr>
      <w:r>
        <w:t xml:space="preserve">Exit criteria on delivery</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7180"/>
        <w:gridCol w:w="2900"/>
      </w:tblGrid>
      <w:tr>
        <w:trPr>
          <w:tblHeader/>
        </w:trPr>
        <w:tc>
          <w:tcPr>
            <w:tcW w:type="dxa" w:w="71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Criterion</w:t>
            </w:r>
          </w:p>
        </w:tc>
        <w:tc>
          <w:tcPr>
            <w:tcW w:type="dxa" w:w="29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Reads</w:t>
            </w:r>
          </w:p>
        </w:tc>
      </w:tr>
      <w:tr>
        <w:trPr>
          <w:cantSplit/>
        </w:trPr>
        <w:tc>
          <w:tcPr>
            <w:tcW w:type="dxa" w:w="718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Every unacceptable initial risk has a risk control measure</w:t>
            </w:r>
          </w:p>
        </w:tc>
        <w:tc>
          <w:tcPr>
            <w:tcW w:type="dxa" w:w="29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Yes</w:t>
            </w:r>
          </w:p>
        </w:tc>
      </w:tr>
      <w:tr>
        <w:trPr>
          <w:cantSplit/>
        </w:trPr>
        <w:tc>
          <w:tcPr>
            <w:tcW w:type="dxa" w:w="718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Every risk control measure has both verifications</w:t>
            </w:r>
          </w:p>
        </w:tc>
        <w:tc>
          <w:tcPr>
            <w:tcW w:type="dxa" w:w="29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 - 1 missing</w:t>
            </w:r>
          </w:p>
        </w:tc>
      </w:tr>
      <w:tr>
        <w:trPr>
          <w:cantSplit/>
        </w:trPr>
        <w:tc>
          <w:tcPr>
            <w:tcW w:type="dxa" w:w="718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Every unacceptable residual risk has a complete benefit-risk record</w:t>
            </w:r>
          </w:p>
        </w:tc>
        <w:tc>
          <w:tcPr>
            <w:tcW w:type="dxa" w:w="29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 - 1 outstanding</w:t>
            </w:r>
          </w:p>
        </w:tc>
      </w:tr>
      <w:tr>
        <w:trPr>
          <w:cantSplit/>
        </w:trPr>
        <w:tc>
          <w:tcPr>
            <w:tcW w:type="dxa" w:w="718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The overall residual risk has been evaluated against the declared criteria</w:t>
            </w:r>
          </w:p>
        </w:tc>
        <w:tc>
          <w:tcPr>
            <w:tcW w:type="dxa" w:w="29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w:t>
            </w:r>
          </w:p>
        </w:tc>
      </w:tr>
      <w:tr>
        <w:trPr>
          <w:cantSplit/>
        </w:trPr>
        <w:tc>
          <w:tcPr>
            <w:tcW w:type="dxa" w:w="718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Traceability is complete on every row</w:t>
            </w:r>
          </w:p>
        </w:tc>
        <w:tc>
          <w:tcPr>
            <w:tcW w:type="dxa" w:w="29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 - 3 rows incomplete</w:t>
            </w:r>
          </w:p>
        </w:tc>
      </w:tr>
      <w:tr>
        <w:trPr>
          <w:cantSplit/>
        </w:trPr>
        <w:tc>
          <w:tcPr>
            <w:tcW w:type="dxa" w:w="718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The production and post-production loop is current</w:t>
            </w:r>
          </w:p>
        </w:tc>
        <w:tc>
          <w:tcPr>
            <w:tcW w:type="dxa" w:w="29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 - 2 open or overdue</w:t>
            </w:r>
          </w:p>
        </w:tc>
      </w:tr>
    </w:tbl>
    <w:p>
      <w:pPr>
        <w:spacing w:after="120" w:before="0"/>
      </w:pPr>
      <w:r>
        <w:rPr>
          <w:b w:val="false"/>
          <w:bCs w:val="false"/>
          <w:i/>
          <w:iCs/>
          <w:color w:val="5A6B7B"/>
          <w:sz w:val="17"/>
          <w:szCs w:val="17"/>
        </w:rPr>
        <w:t xml:space="preserve">Four of the four residual risks the criteria do not accept (HZ-02, HZ-03, HZ-07, HZ-12) do have complete benefit-risk records. Every severity-5 row ends "Not acceptable" under the example matrix, which is deliberate: it forces a benefit-risk record for every death-capable hazard, which is what happens on a real infusion pump.</w:t>
      </w:r>
    </w:p>
    <w:p>
      <w:pPr>
        <w:pStyle w:val="Heading1"/>
      </w:pPr>
      <w:r>
        <w:t xml:space="preserve">5  Questions that always come, and the short answers</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500"/>
        <w:gridCol w:w="7580"/>
      </w:tblGrid>
      <w:tr>
        <w:trPr>
          <w:tblHeader/>
        </w:trPr>
        <w:tc>
          <w:tcPr>
            <w:tcW w:type="dxa" w:w="25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The question</w:t>
            </w:r>
          </w:p>
        </w:tc>
        <w:tc>
          <w:tcPr>
            <w:tcW w:type="dxa" w:w="75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The answer</w:t>
            </w:r>
          </w:p>
        </w:tc>
      </w:tr>
      <w:tr>
        <w:trPr>
          <w:cantSplit/>
        </w:trPr>
        <w:tc>
          <w:tcPr>
            <w:tcW w:type="dxa" w:w="25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Do we have to use ISO 14971?</w:t>
            </w:r>
          </w:p>
        </w:tc>
        <w:tc>
          <w:tcPr>
            <w:tcW w:type="dxa" w:w="75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Not as law, in either jurisdiction. In the EU it is voluntary but harmonised, and the presumption of conformity covers only what Annex ZA lists. For FDA it is not incorporated into Part 820 but is a recognized consensus standard, and the activity is inspected through ISO 13485 regardless. In practice everyone uses it, because the alternative is inventing a defensible process from scratch and then defending the invention</w:t>
            </w:r>
          </w:p>
        </w:tc>
      </w:tr>
      <w:tr>
        <w:trPr>
          <w:cantSplit/>
        </w:trPr>
        <w:tc>
          <w:tcPr>
            <w:tcW w:type="dxa" w:w="25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Can we keep our three-band matrix?</w:t>
            </w:r>
          </w:p>
        </w:tc>
        <w:tc>
          <w:tcPr>
            <w:tcW w:type="dxa" w:w="75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You can, but be ready to say which clause the middle band implements. ISO 14971:2019 does not have one - the amber "acceptable with justification" band is a hold-over from the 2007 edition. And under MDR Annex I point 2 the middle band does not create a stopping point that cost can justify</w:t>
            </w:r>
          </w:p>
        </w:tc>
      </w:tr>
      <w:tr>
        <w:trPr>
          <w:cantSplit/>
        </w:trPr>
        <w:tc>
          <w:tcPr>
            <w:tcW w:type="dxa" w:w="25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How many rows should our risk file have?</w:t>
            </w:r>
          </w:p>
        </w:tc>
        <w:tc>
          <w:tcPr>
            <w:tcW w:type="dxa" w:w="75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Wrong question. One per hazardous situation, which the device determines, not a target. But a file with fewer rows than the device has failure modes has collapsed the analysis somewhere, and that is findable</w:t>
            </w:r>
          </w:p>
        </w:tc>
      </w:tr>
      <w:tr>
        <w:trPr>
          <w:cantSplit/>
        </w:trPr>
        <w:tc>
          <w:tcPr>
            <w:tcW w:type="dxa" w:w="25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Can we run one risk file for both markets?</w:t>
            </w:r>
          </w:p>
        </w:tc>
        <w:tc>
          <w:tcPr>
            <w:tcW w:type="dxa" w:w="75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Yes, and you should. Build to the stricter test, which is the EU’s AFAP obligation, and make sure the FDA-facing trail through the ISO 13485 clauses is visible. The handout has the mapping in sections 4.1 and 4.2</w:t>
            </w:r>
          </w:p>
        </w:tc>
      </w:tr>
      <w:tr>
        <w:trPr>
          <w:cantSplit/>
        </w:trPr>
        <w:tc>
          <w:tcPr>
            <w:tcW w:type="dxa" w:w="25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Is a risk priority number acceptable?</w:t>
            </w:r>
          </w:p>
        </w:tc>
        <w:tc>
          <w:tcPr>
            <w:tcW w:type="dxa" w:w="75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Not as the basis for acceptance. Team-NB’s V3 position paper of April 2025 says the MDR does not permit risk acceptance based on RPN alone or on a "green" zone; each risk must be decided individually against predefined criteria. RPN is fine for prioritising work</w:t>
            </w:r>
          </w:p>
        </w:tc>
      </w:tr>
      <w:tr>
        <w:trPr>
          <w:cantSplit/>
        </w:trPr>
        <w:tc>
          <w:tcPr>
            <w:tcW w:type="dxa" w:w="25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What about FMEA?</w:t>
            </w:r>
          </w:p>
        </w:tc>
        <w:tc>
          <w:tcPr>
            <w:tcW w:type="dxa" w:w="75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An FMEA is a useful input and not a risk analysis. It starts from failure modes, so it does not reach hazards that arise without a failure - use error, foreseeable misuse, material interactions, and normal use outside the intended environment. Use it to feed Clause 5.4, not to replace it</w:t>
            </w:r>
          </w:p>
        </w:tc>
      </w:tr>
      <w:tr>
        <w:trPr>
          <w:cantSplit/>
        </w:trPr>
        <w:tc>
          <w:tcPr>
            <w:tcW w:type="dxa" w:w="25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Our notified body asked for the seven content deviations. Now what?</w:t>
            </w:r>
          </w:p>
        </w:tc>
        <w:tc>
          <w:tcPr>
            <w:tcW w:type="dxa" w:w="75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Ask which document they are citing. The seven deviations belong to EN ISO 14971:2012, withdrawn, with conflicting national standards withdrawn by 30 June 2020. A11:2021 has none. What they may actually want is your position on the requirements Annex ZA does not cover - points 1, 2, 6 and 7 - and that is a fair question with a different answer</w:t>
            </w:r>
          </w:p>
        </w:tc>
      </w:tr>
    </w:tbl>
    <w:p>
      <w:pPr>
        <w:pStyle w:val="Heading1"/>
      </w:pPr>
      <w:r>
        <w:t xml:space="preserve">6  Timing sheet</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700"/>
        <w:gridCol w:w="1500"/>
        <w:gridCol w:w="6880"/>
      </w:tblGrid>
      <w:tr>
        <w:trPr>
          <w:tblHeader/>
        </w:trPr>
        <w:tc>
          <w:tcPr>
            <w:tcW w:type="dxa" w:w="17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Time</w:t>
            </w:r>
          </w:p>
        </w:tc>
        <w:tc>
          <w:tcPr>
            <w:tcW w:type="dxa" w:w="15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Slides</w:t>
            </w:r>
          </w:p>
        </w:tc>
        <w:tc>
          <w:tcPr>
            <w:tcW w:type="dxa" w:w="68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Section</w:t>
            </w:r>
          </w:p>
        </w:tc>
      </w:tr>
      <w:tr>
        <w:trPr>
          <w:cantSplit/>
        </w:trP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0:00 - 0:05</w:t>
            </w:r>
          </w:p>
        </w:tc>
        <w:tc>
          <w:tcPr>
            <w:tcW w:type="dxa" w:w="15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 to 4</w:t>
            </w:r>
          </w:p>
        </w:tc>
        <w:tc>
          <w:tcPr>
            <w:tcW w:type="dxa" w:w="68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Opening: the asymmetry, objectives, agenda, room poll</w:t>
            </w:r>
          </w:p>
        </w:tc>
      </w:tr>
      <w:tr>
        <w:trPr>
          <w:cantSplit/>
        </w:trPr>
        <w:tc>
          <w:tcPr>
            <w:tcW w:type="dxa" w:w="17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0:05 - 0:18</w:t>
            </w:r>
          </w:p>
        </w:tc>
        <w:tc>
          <w:tcPr>
            <w:tcW w:type="dxa" w:w="15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5 to 9</w:t>
            </w:r>
          </w:p>
        </w:tc>
        <w:tc>
          <w:tcPr>
            <w:tcW w:type="dxa" w:w="68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 The file is the argument</w:t>
            </w:r>
          </w:p>
        </w:tc>
      </w:tr>
      <w:tr>
        <w:trPr>
          <w:cantSplit/>
        </w:trP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0:18 - 0:30</w:t>
            </w:r>
          </w:p>
        </w:tc>
        <w:tc>
          <w:tcPr>
            <w:tcW w:type="dxa" w:w="15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10 to 14</w:t>
            </w:r>
          </w:p>
        </w:tc>
        <w:tc>
          <w:tcPr>
            <w:tcW w:type="dxa" w:w="68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2. Two regulators, one standard</w:t>
            </w:r>
          </w:p>
        </w:tc>
      </w:tr>
      <w:tr>
        <w:trPr>
          <w:cantSplit/>
        </w:trPr>
        <w:tc>
          <w:tcPr>
            <w:tcW w:type="dxa" w:w="17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0:30 - 0:45</w:t>
            </w:r>
          </w:p>
        </w:tc>
        <w:tc>
          <w:tcPr>
            <w:tcW w:type="dxa" w:w="15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15 to 20</w:t>
            </w:r>
          </w:p>
        </w:tc>
        <w:tc>
          <w:tcPr>
            <w:tcW w:type="dxa" w:w="68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Exercise A: brief, work, model answer, debrief</w:t>
            </w:r>
          </w:p>
        </w:tc>
      </w:tr>
      <w:tr>
        <w:trPr>
          <w:cantSplit/>
        </w:trP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0:45 - 0:58</w:t>
            </w:r>
          </w:p>
        </w:tc>
        <w:tc>
          <w:tcPr>
            <w:tcW w:type="dxa" w:w="15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21 to 25</w:t>
            </w:r>
          </w:p>
        </w:tc>
        <w:tc>
          <w:tcPr>
            <w:tcW w:type="dxa" w:w="68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3. Risk control and residual risk</w:t>
            </w:r>
          </w:p>
        </w:tc>
      </w:tr>
      <w:tr>
        <w:trPr>
          <w:cantSplit/>
        </w:trPr>
        <w:tc>
          <w:tcPr>
            <w:tcW w:type="dxa" w:w="17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0:58 - 1:12</w:t>
            </w:r>
          </w:p>
        </w:tc>
        <w:tc>
          <w:tcPr>
            <w:tcW w:type="dxa" w:w="15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26 to 30</w:t>
            </w:r>
          </w:p>
        </w:tc>
        <w:tc>
          <w:tcPr>
            <w:tcW w:type="dxa" w:w="68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Exercise B: brief, work, model answer, how a reviewer walks a file</w:t>
            </w:r>
          </w:p>
        </w:tc>
      </w:tr>
      <w:tr>
        <w:trPr>
          <w:cantSplit/>
        </w:trP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1:12 - 1:22</w:t>
            </w:r>
          </w:p>
        </w:tc>
        <w:tc>
          <w:tcPr>
            <w:tcW w:type="dxa" w:w="15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31 to 34</w:t>
            </w:r>
          </w:p>
        </w:tc>
        <w:tc>
          <w:tcPr>
            <w:tcW w:type="dxa" w:w="68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4. Closing the loop</w:t>
            </w:r>
          </w:p>
        </w:tc>
      </w:tr>
      <w:tr>
        <w:trPr>
          <w:cantSplit/>
        </w:trPr>
        <w:tc>
          <w:tcPr>
            <w:tcW w:type="dxa" w:w="17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1:22 - 1:30</w:t>
            </w:r>
          </w:p>
        </w:tc>
        <w:tc>
          <w:tcPr>
            <w:tcW w:type="dxa" w:w="15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35 to 39</w:t>
            </w:r>
          </w:p>
        </w:tc>
        <w:tc>
          <w:tcPr>
            <w:tcW w:type="dxa" w:w="68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Exercise C, ten things, sources, close and Q&amp;A</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E8F3EE" w:color="auto" w:val="clear"/>
            <w:tcMar>
              <w:top w:type="dxa" w:w="140"/>
              <w:left w:type="dxa" w:w="200"/>
              <w:bottom w:type="dxa" w:w="140"/>
              <w:right w:type="dxa" w:w="200"/>
            </w:tcMar>
          </w:tcPr>
          <w:p>
            <w:pPr>
              <w:spacing w:after="60"/>
            </w:pPr>
            <w:r>
              <w:rPr>
                <w:b w:val="false"/>
                <w:bCs w:val="false"/>
                <w:i w:val="false"/>
                <w:iCs w:val="false"/>
                <w:sz w:val="20"/>
                <w:szCs w:val="20"/>
              </w:rPr>
              <w:t xml:space="preserve">If there is time left at the end, offer to walk one of the room’s own hazard rows on the screen. It is the most useful ten minutes of the session and it is worth over-running for.</w:t>
            </w:r>
          </w:p>
        </w:tc>
      </w:tr>
    </w:tbl>
    <w:p>
      <w:pPr>
        <w:spacing w:after="200"/>
      </w:pPr>
      <w:r>
        <w:t xml:space="preserve"/>
      </w:r>
    </w:p>
    <w:p>
      <w:pPr>
        <w:spacing w:after="120" w:before="0"/>
      </w:pPr>
      <w:r>
        <w:rPr>
          <w:b w:val="false"/>
          <w:bCs w:val="false"/>
          <w:i/>
          <w:iCs/>
          <w:color w:val="5A6B7B"/>
          <w:sz w:val="17"/>
          <w:szCs w:val="17"/>
        </w:rPr>
        <w:t xml:space="preserve">Prepared by Elder Consulting, LLC. Speaker copy. Workshop material; not legal or regulatory advice.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6"/>
        <w:szCs w:val="16"/>
      </w:rPr>
      <w:t xml:space="preserve">Risk Management (ISO 14971)  ·  Facilitator Guide  ·  SPEAKER COPY   |   Page </w:t>
    </w:r>
    <w:r>
      <w:rPr>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bullet"/>
      <w:lvlText w:val="☐"/>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abstractNum w:abstractNumId="63" w15:restartNumberingAfterBreak="0">
    <w:multiLevelType w:val="hybridMultilevel"/>
    <w:lvl w:ilvl="0" w15:tentative="1">
      <w:start w:val="1"/>
      <w:numFmt w:val="decimal"/>
      <w:lvlText w:val="%1."/>
      <w:lvlJc w:val="left"/>
      <w:pPr>
        <w:ind w:left="540" w:hanging="360"/>
      </w:pPr>
    </w:lvl>
  </w:abstractNum>
  <w:abstractNum w:abstractNumId="64" w15:restartNumberingAfterBreak="0">
    <w:multiLevelType w:val="hybridMultilevel"/>
    <w:lvl w:ilvl="0" w15:tentative="1">
      <w:start w:val="1"/>
      <w:numFmt w:val="decimal"/>
      <w:lvlText w:val="%1."/>
      <w:lvlJc w:val="left"/>
      <w:pPr>
        <w:ind w:left="540" w:hanging="360"/>
      </w:pPr>
    </w:lvl>
  </w:abstractNum>
  <w:abstractNum w:abstractNumId="65" w15:restartNumberingAfterBreak="0">
    <w:multiLevelType w:val="hybridMultilevel"/>
    <w:lvl w:ilvl="0" w15:tentative="1">
      <w:start w:val="1"/>
      <w:numFmt w:val="decimal"/>
      <w:lvlText w:val="%1."/>
      <w:lvlJc w:val="left"/>
      <w:pPr>
        <w:ind w:left="540" w:hanging="360"/>
      </w:pPr>
    </w:lvl>
  </w:abstractNum>
  <w:abstractNum w:abstractNumId="66" w15:restartNumberingAfterBreak="0">
    <w:multiLevelType w:val="hybridMultilevel"/>
    <w:lvl w:ilvl="0" w15:tentative="1">
      <w:start w:val="1"/>
      <w:numFmt w:val="decimal"/>
      <w:lvlText w:val="%1."/>
      <w:lvlJc w:val="left"/>
      <w:pPr>
        <w:ind w:left="540" w:hanging="360"/>
      </w:pPr>
    </w:lvl>
  </w:abstractNum>
  <w:abstractNum w:abstractNumId="67" w15:restartNumberingAfterBreak="0">
    <w:multiLevelType w:val="hybridMultilevel"/>
    <w:lvl w:ilvl="0" w15:tentative="1">
      <w:start w:val="1"/>
      <w:numFmt w:val="decimal"/>
      <w:lvlText w:val="%1."/>
      <w:lvlJc w:val="left"/>
      <w:pPr>
        <w:ind w:left="540" w:hanging="360"/>
      </w:pPr>
    </w:lvl>
  </w:abstractNum>
  <w:abstractNum w:abstractNumId="68" w15:restartNumberingAfterBreak="0">
    <w:multiLevelType w:val="hybridMultilevel"/>
    <w:lvl w:ilvl="0" w15:tentative="1">
      <w:start w:val="1"/>
      <w:numFmt w:val="decimal"/>
      <w:lvlText w:val="%1."/>
      <w:lvlJc w:val="left"/>
      <w:pPr>
        <w:ind w:left="540" w:hanging="360"/>
      </w:pPr>
    </w:lvl>
  </w:abstractNum>
  <w:abstractNum w:abstractNumId="69" w15:restartNumberingAfterBreak="0">
    <w:multiLevelType w:val="hybridMultilevel"/>
    <w:lvl w:ilvl="0" w15:tentative="1">
      <w:start w:val="1"/>
      <w:numFmt w:val="decimal"/>
      <w:lvlText w:val="%1."/>
      <w:lvlJc w:val="left"/>
      <w:pPr>
        <w:ind w:left="540" w:hanging="360"/>
      </w:pPr>
    </w:lvl>
  </w:abstractNum>
  <w:abstractNum w:abstractNumId="70" w15:restartNumberingAfterBreak="0">
    <w:multiLevelType w:val="hybridMultilevel"/>
    <w:lvl w:ilvl="0" w15:tentative="1">
      <w:start w:val="1"/>
      <w:numFmt w:val="decimal"/>
      <w:lvlText w:val="%1."/>
      <w:lvlJc w:val="left"/>
      <w:pPr>
        <w:ind w:left="540" w:hanging="360"/>
      </w:pPr>
    </w:lvl>
  </w:abstractNum>
  <w:abstractNum w:abstractNumId="71" w15:restartNumberingAfterBreak="0">
    <w:multiLevelType w:val="hybridMultilevel"/>
    <w:lvl w:ilvl="0" w15:tentative="1">
      <w:start w:val="1"/>
      <w:numFmt w:val="decimal"/>
      <w:lvlText w:val="%1."/>
      <w:lvlJc w:val="left"/>
      <w:pPr>
        <w:ind w:left="540" w:hanging="360"/>
      </w:pPr>
    </w:lvl>
  </w:abstractNum>
  <w:abstractNum w:abstractNumId="72" w15:restartNumberingAfterBreak="0">
    <w:multiLevelType w:val="hybridMultilevel"/>
    <w:lvl w:ilvl="0" w15:tentative="1">
      <w:start w:val="1"/>
      <w:numFmt w:val="decimal"/>
      <w:lvlText w:val="%1."/>
      <w:lvlJc w:val="left"/>
      <w:pPr>
        <w:ind w:left="540" w:hanging="360"/>
      </w:pPr>
    </w:lvl>
  </w:abstractNum>
  <w:abstractNum w:abstractNumId="73" w15:restartNumberingAfterBreak="0">
    <w:multiLevelType w:val="hybridMultilevel"/>
    <w:lvl w:ilvl="0" w15:tentative="1">
      <w:start w:val="1"/>
      <w:numFmt w:val="decimal"/>
      <w:lvlText w:val="%1."/>
      <w:lvlJc w:val="left"/>
      <w:pPr>
        <w:ind w:left="540" w:hanging="360"/>
      </w:pPr>
    </w:lvl>
  </w:abstractNum>
  <w:abstractNum w:abstractNumId="74" w15:restartNumberingAfterBreak="0">
    <w:multiLevelType w:val="hybridMultilevel"/>
    <w:lvl w:ilvl="0" w15:tentative="1">
      <w:start w:val="1"/>
      <w:numFmt w:val="decimal"/>
      <w:lvlText w:val="%1."/>
      <w:lvlJc w:val="left"/>
      <w:pPr>
        <w:ind w:left="540" w:hanging="360"/>
      </w:pPr>
    </w:lvl>
  </w:abstractNum>
  <w:abstractNum w:abstractNumId="75" w15:restartNumberingAfterBreak="0">
    <w:multiLevelType w:val="hybridMultilevel"/>
    <w:lvl w:ilvl="0" w15:tentative="1">
      <w:start w:val="1"/>
      <w:numFmt w:val="decimal"/>
      <w:lvlText w:val="%1."/>
      <w:lvlJc w:val="left"/>
      <w:pPr>
        <w:ind w:left="540" w:hanging="360"/>
      </w:pPr>
    </w:lvl>
  </w:abstractNum>
  <w:abstractNum w:abstractNumId="76" w15:restartNumberingAfterBreak="0">
    <w:multiLevelType w:val="hybridMultilevel"/>
    <w:lvl w:ilvl="0" w15:tentative="1">
      <w:start w:val="1"/>
      <w:numFmt w:val="decimal"/>
      <w:lvlText w:val="%1."/>
      <w:lvlJc w:val="left"/>
      <w:pPr>
        <w:ind w:left="540" w:hanging="360"/>
      </w:pPr>
    </w:lvl>
  </w:abstractNum>
  <w:abstractNum w:abstractNumId="77" w15:restartNumberingAfterBreak="0">
    <w:multiLevelType w:val="hybridMultilevel"/>
    <w:lvl w:ilvl="0" w15:tentative="1">
      <w:start w:val="1"/>
      <w:numFmt w:val="decimal"/>
      <w:lvlText w:val="%1."/>
      <w:lvlJc w:val="left"/>
      <w:pPr>
        <w:ind w:left="540" w:hanging="360"/>
      </w:pPr>
    </w:lvl>
  </w:abstractNum>
  <w:abstractNum w:abstractNumId="78" w15:restartNumberingAfterBreak="0">
    <w:multiLevelType w:val="hybridMultilevel"/>
    <w:lvl w:ilvl="0" w15:tentative="1">
      <w:start w:val="1"/>
      <w:numFmt w:val="decimal"/>
      <w:lvlText w:val="%1."/>
      <w:lvlJc w:val="left"/>
      <w:pPr>
        <w:ind w:left="540" w:hanging="360"/>
      </w:pPr>
    </w:lvl>
  </w:abstractNum>
  <w:abstractNum w:abstractNumId="79" w15:restartNumberingAfterBreak="0">
    <w:multiLevelType w:val="hybridMultilevel"/>
    <w:lvl w:ilvl="0" w15:tentative="1">
      <w:start w:val="1"/>
      <w:numFmt w:val="decimal"/>
      <w:lvlText w:val="%1."/>
      <w:lvlJc w:val="left"/>
      <w:pPr>
        <w:ind w:left="540" w:hanging="360"/>
      </w:pPr>
    </w:lvl>
  </w:abstractNum>
  <w:abstractNum w:abstractNumId="80" w15:restartNumberingAfterBreak="0">
    <w:multiLevelType w:val="hybridMultilevel"/>
    <w:lvl w:ilvl="0" w15:tentative="1">
      <w:start w:val="1"/>
      <w:numFmt w:val="decimal"/>
      <w:lvlText w:val="%1."/>
      <w:lvlJc w:val="left"/>
      <w:pPr>
        <w:ind w:left="540" w:hanging="360"/>
      </w:pPr>
    </w:lvl>
  </w:abstractNum>
  <w:abstractNum w:abstractNumId="81" w15:restartNumberingAfterBreak="0">
    <w:multiLevelType w:val="hybridMultilevel"/>
    <w:lvl w:ilvl="0" w15:tentative="1">
      <w:start w:val="1"/>
      <w:numFmt w:val="decimal"/>
      <w:lvlText w:val="%1."/>
      <w:lvlJc w:val="left"/>
      <w:pPr>
        <w:ind w:left="540" w:hanging="360"/>
      </w:pPr>
    </w:lvl>
  </w:abstractNum>
  <w:abstractNum w:abstractNumId="82" w15:restartNumberingAfterBreak="0">
    <w:multiLevelType w:val="hybridMultilevel"/>
    <w:lvl w:ilvl="0" w15:tentative="1">
      <w:start w:val="1"/>
      <w:numFmt w:val="decimal"/>
      <w:lvlText w:val="%1."/>
      <w:lvlJc w:val="left"/>
      <w:pPr>
        <w:ind w:left="540" w:hanging="360"/>
      </w:pPr>
    </w:lvl>
  </w:abstractNum>
  <w:abstractNum w:abstractNumId="8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400"/>
      <w:outlineLvl w:val="0"/>
    </w:pPr>
    <w:rPr>
      <w:rFonts w:ascii="Cambria" w:cs="Cambria" w:eastAsia="Cambria" w:hAnsi="Cambria"/>
      <w:b/>
      <w:bCs/>
      <w:color w:val="0F2A4A"/>
      <w:sz w:val="32"/>
      <w:szCs w:val="32"/>
    </w:rPr>
  </w:style>
  <w:style w:type="paragraph" w:styleId="Heading2">
    <w:name w:val="Heading 2"/>
    <w:basedOn w:val="Normal"/>
    <w:next w:val="Normal"/>
    <w:qFormat/>
    <w:pPr>
      <w:keepNext/>
      <w:spacing w:after="100" w:before="280"/>
      <w:outlineLvl w:val="1"/>
    </w:pPr>
    <w:rPr>
      <w:rFonts w:ascii="Cambria" w:cs="Cambria" w:eastAsia="Cambria" w:hAnsi="Cambria"/>
      <w:b/>
      <w:bCs/>
      <w:color w:val="0F2A4A"/>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A8730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Management Workshop (ISO 14971) - Facilitator Guide</dc:title>
  <dc:creator>Elder Consulting, LLC</dc:creator>
  <dc:description>Risk Management Workshop (ISO 14971) seminar material</dc:description>
  <cp:lastModifiedBy>Un-named</cp:lastModifiedBy>
  <cp:revision>1</cp:revision>
  <dcterms:created xsi:type="dcterms:W3CDTF">2026-09-16T13:01:47.916Z</dcterms:created>
  <dcterms:modified xsi:type="dcterms:W3CDTF">2026-09-16T13:01:47.916Z</dcterms:modified>
</cp:coreProperties>
</file>

<file path=docProps/custom.xml><?xml version="1.0" encoding="utf-8"?>
<Properties xmlns="http://schemas.openxmlformats.org/officeDocument/2006/custom-properties" xmlns:vt="http://schemas.openxmlformats.org/officeDocument/2006/docPropsVTypes"/>
</file>