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A8730F"/>
          <w:spacing w:val="40"/>
          <w:sz w:val="20"/>
          <w:szCs w:val="20"/>
        </w:rPr>
        <w:t xml:space="preserve">MEDICAL DEVICE SEMINAR  ·  WORKSHOP</w:t>
      </w:r>
    </w:p>
    <w:p>
      <w:pPr>
        <w:spacing w:after="120"/>
      </w:pPr>
      <w:r>
        <w:rPr>
          <w:rFonts w:ascii="Cambria" w:cs="Cambria" w:eastAsia="Cambria" w:hAnsi="Cambria"/>
          <w:b/>
          <w:bCs/>
          <w:color w:val="0F2A4A"/>
          <w:sz w:val="52"/>
          <w:szCs w:val="52"/>
        </w:rPr>
        <w:t xml:space="preserve">Risk Management Workshop</w:t>
      </w:r>
    </w:p>
    <w:p>
      <w:pPr>
        <w:spacing w:after="240"/>
      </w:pPr>
      <w:r>
        <w:rPr>
          <w:color w:val="5A6B7B"/>
          <w:sz w:val="26"/>
          <w:szCs w:val="26"/>
        </w:rPr>
        <w:t xml:space="preserve">ISO 14971 in practice: aligning risk files with EU MDR and FDA expectations</w:t>
      </w:r>
    </w:p>
    <w:p>
      <w:pPr>
        <w:spacing w:after="60"/>
      </w:pPr>
      <w:r>
        <w:rPr>
          <w:b/>
          <w:bCs/>
          <w:i w:val="false"/>
          <w:iCs w:val="false"/>
          <w:sz w:val="21"/>
          <w:szCs w:val="21"/>
        </w:rPr>
        <w:t xml:space="preserve">Participant handout</w:t>
      </w:r>
      <w:r>
        <w:rPr>
          <w:b w:val="false"/>
          <w:bCs w:val="false"/>
          <w:i w:val="false"/>
          <w:iCs w:val="false"/>
          <w:sz w:val="21"/>
          <w:szCs w:val="21"/>
        </w:rPr>
        <w:t xml:space="preserve">  ·  Elder Consulting, LLC  ·  September 2026</w:t>
      </w:r>
    </w:p>
    <w:p>
      <w:pPr>
        <w:spacing w:after="60"/>
      </w:pPr>
      <w:r>
        <w:rPr>
          <w:b w:val="false"/>
          <w:bCs w:val="false"/>
          <w:i w:val="false"/>
          <w:iCs w:val="false"/>
          <w:sz w:val="21"/>
          <w:szCs w:val="21"/>
        </w:rPr>
        <w:t xml:space="preserve">Duration 90 minutes, of which 35 minutes are hands-on exercises.</w:t>
      </w:r>
    </w:p>
    <w:p>
      <w:pPr>
        <w:spacing w:after="60"/>
      </w:pPr>
      <w:r>
        <w:rPr>
          <w:b w:val="false"/>
          <w:bCs w:val="false"/>
          <w:i w:val="false"/>
          <w:iCs w:val="false"/>
          <w:sz w:val="21"/>
          <w:szCs w:val="21"/>
        </w:rPr>
        <w:t xml:space="preserve">Companion materials: Hands-On Exercise Pack; ISO 14971 Risk File Toolkit (Excel, 10 sheets); Facilitator Guide (speaker copy).</w:t>
      </w:r>
    </w:p>
    <w:p>
      <w:pPr>
        <w:pBdr>
          <w:bottom w:val="single" w:color="A8730F" w:sz="8" w:space="8"/>
        </w:pBdr>
        <w:spacing w:after="240"/>
      </w:pPr>
      <w:r>
        <w:t xml:space="preserve"/>
      </w:r>
    </w:p>
    <w:p>
      <w:pPr>
        <w:pStyle w:val="Heading1"/>
      </w:pPr>
      <w:r>
        <w:t xml:space="preserve">1  How to use this handout</w:t>
      </w:r>
    </w:p>
    <w:p>
      <w:pPr>
        <w:spacing w:after="120" w:before="0"/>
      </w:pPr>
      <w:r>
        <w:rPr>
          <w:b w:val="false"/>
          <w:bCs w:val="false"/>
          <w:i w:val="false"/>
          <w:iCs w:val="false"/>
          <w:sz w:val="21"/>
          <w:szCs w:val="21"/>
        </w:rPr>
        <w:t xml:space="preserve">This is the reference, not the script. Sections 2 to 7 follow the workshop; sections 8 and 9 are reference material you will want after the session. Every factual claim carries its source in section 10.</w:t>
      </w:r>
    </w:p>
    <w:p>
      <w:pPr>
        <w:spacing w:after="120" w:before="0"/>
      </w:pPr>
      <w:r>
        <w:rPr>
          <w:b w:val="false"/>
          <w:bCs w:val="false"/>
          <w:i w:val="false"/>
          <w:iCs w:val="false"/>
          <w:sz w:val="21"/>
          <w:szCs w:val="21"/>
        </w:rPr>
        <w:t xml:space="preserve">Nothing here is legal or regulatory advice. Content was verified in September 2026. Harmonised-standard citations, MDCG guidance and FDA recognition entries change; re-verify before you rely on any of it as evidence.</w:t>
      </w:r>
    </w:p>
    <w:p>
      <w:pPr>
        <w:pStyle w:val="Heading3"/>
      </w:pPr>
      <w:r>
        <w:t xml:space="preserve">Agenda</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900"/>
        <w:gridCol w:w="8180"/>
      </w:tblGrid>
      <w:tr>
        <w:trPr>
          <w:tblHeader/>
        </w:trPr>
        <w:tc>
          <w:tcPr>
            <w:tcW w:type="dxa" w:w="19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Time</w:t>
            </w:r>
          </w:p>
        </w:tc>
        <w:tc>
          <w:tcPr>
            <w:tcW w:type="dxa" w:w="81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Section</w:t>
            </w:r>
          </w:p>
        </w:tc>
      </w:tr>
      <w:tr>
        <w:trPr>
          <w:cantSplit/>
        </w:trP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0:00 - 0:05</w:t>
            </w:r>
          </w:p>
        </w:tc>
        <w:tc>
          <w:tcPr>
            <w:tcW w:type="dxa" w:w="8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Opening: the asymmetry, objectives, room poll</w:t>
            </w:r>
          </w:p>
        </w:tc>
      </w:tr>
      <w:tr>
        <w:trPr>
          <w:cantSplit/>
        </w:trP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0:05 - 0:18</w:t>
            </w:r>
          </w:p>
        </w:tc>
        <w:tc>
          <w:tcPr>
            <w:tcW w:type="dxa" w:w="8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 The file is the argument: what ISO 14971:2019 actually requires</w:t>
            </w:r>
          </w:p>
        </w:tc>
      </w:tr>
      <w:tr>
        <w:trPr>
          <w:cantSplit/>
        </w:trP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0:18 - 0:30</w:t>
            </w:r>
          </w:p>
        </w:tc>
        <w:tc>
          <w:tcPr>
            <w:tcW w:type="dxa" w:w="8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2. Two regulators, one standard: where EU and FDA expectations part</w:t>
            </w:r>
          </w:p>
        </w:tc>
      </w:tr>
      <w:tr>
        <w:trPr>
          <w:cantSplit/>
        </w:trP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0:30 - 0:45</w:t>
            </w:r>
          </w:p>
        </w:tc>
        <w:tc>
          <w:tcPr>
            <w:tcW w:type="dxa" w:w="8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Exercise A: repair the hazard chain (15 min)</w:t>
            </w:r>
          </w:p>
        </w:tc>
      </w:tr>
      <w:tr>
        <w:trPr>
          <w:cantSplit/>
        </w:trP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0:45 - 0:58</w:t>
            </w:r>
          </w:p>
        </w:tc>
        <w:tc>
          <w:tcPr>
            <w:tcW w:type="dxa" w:w="8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3. Risk control and residual risk that survive review</w:t>
            </w:r>
          </w:p>
        </w:tc>
      </w:tr>
      <w:tr>
        <w:trPr>
          <w:cantSplit/>
        </w:trP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0:58 - 1:12</w:t>
            </w:r>
          </w:p>
        </w:tc>
        <w:tc>
          <w:tcPr>
            <w:tcW w:type="dxa" w:w="8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Exercise B: red-team a risk file against the GSPRs (14 min)</w:t>
            </w:r>
          </w:p>
        </w:tc>
      </w:tr>
      <w:tr>
        <w:trPr>
          <w:cantSplit/>
        </w:trP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1:12 - 1:22</w:t>
            </w:r>
          </w:p>
        </w:tc>
        <w:tc>
          <w:tcPr>
            <w:tcW w:type="dxa" w:w="8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4. Closing the loop: production and post-production information</w:t>
            </w:r>
          </w:p>
        </w:tc>
      </w:tr>
      <w:tr>
        <w:trPr>
          <w:cantSplit/>
        </w:trP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1:22 - 1:30</w:t>
            </w:r>
          </w:p>
        </w:tc>
        <w:tc>
          <w:tcPr>
            <w:tcW w:type="dxa" w:w="8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Exercise C: your 30-day plan, takeaways, Q&amp;A (8 min)</w:t>
            </w:r>
          </w:p>
        </w:tc>
      </w:tr>
    </w:tbl>
    <w:p>
      <w:pPr>
        <w:pStyle w:val="Heading1"/>
      </w:pPr>
      <w:r>
        <w:t xml:space="preserve">2  The file is the argument, not the archive</w:t>
      </w:r>
    </w:p>
    <w:p>
      <w:pPr>
        <w:spacing w:after="120" w:before="0"/>
      </w:pPr>
      <w:r>
        <w:rPr>
          <w:b w:val="false"/>
          <w:bCs w:val="false"/>
          <w:i w:val="false"/>
          <w:iCs w:val="false"/>
          <w:sz w:val="21"/>
          <w:szCs w:val="21"/>
        </w:rPr>
        <w:t xml:space="preserve">ISO 14971:2019 Clause 3.25 defines the risk management file as </w:t>
      </w:r>
      <w:r>
        <w:rPr>
          <w:b/>
          <w:bCs/>
          <w:i w:val="false"/>
          <w:iCs w:val="false"/>
          <w:sz w:val="21"/>
          <w:szCs w:val="21"/>
        </w:rPr>
        <w:t xml:space="preserve">the set of records and other documents that are produced by risk management</w:t>
      </w:r>
      <w:r>
        <w:rPr>
          <w:b w:val="false"/>
          <w:bCs w:val="false"/>
          <w:i w:val="false"/>
          <w:iCs w:val="false"/>
          <w:sz w:val="21"/>
          <w:szCs w:val="21"/>
        </w:rPr>
        <w:t xml:space="preserve">. That is the whole definition: no list of contents, no format, no template. The content requirements are distributed through the standard, because almost every clause ends with a sentence sending its output to the file.</w:t>
      </w:r>
    </w:p>
    <w:p>
      <w:pPr>
        <w:spacing w:after="120" w:before="0"/>
      </w:pPr>
      <w:r>
        <w:rPr>
          <w:b w:val="false"/>
          <w:bCs w:val="false"/>
          <w:i w:val="false"/>
          <w:iCs w:val="false"/>
          <w:sz w:val="21"/>
          <w:szCs w:val="21"/>
        </w:rPr>
        <w:t xml:space="preserve">The obligation that turns a folder into a file is in Clause 4.5. The file must provide </w:t>
      </w:r>
      <w:r>
        <w:rPr>
          <w:b/>
          <w:bCs/>
          <w:i w:val="false"/>
          <w:iCs w:val="false"/>
          <w:sz w:val="21"/>
          <w:szCs w:val="21"/>
        </w:rPr>
        <w:t xml:space="preserve">traceability for each identified hazard</w:t>
      </w:r>
      <w:r>
        <w:rPr>
          <w:b w:val="false"/>
          <w:bCs w:val="false"/>
          <w:i w:val="false"/>
          <w:iCs w:val="false"/>
          <w:sz w:val="21"/>
          <w:szCs w:val="21"/>
        </w:rPr>
        <w:t xml:space="preserve"> to the risk analysis, the risk evaluation, the risk control measures, and the assessment of the acceptability of any residual risk. The file may be a set of references to records held elsewhere; what it may not be is unwalkable.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bCs/>
                <w:i w:val="false"/>
                <w:iCs w:val="false"/>
                <w:sz w:val="20"/>
                <w:szCs w:val="20"/>
              </w:rPr>
              <w:t xml:space="preserve">The practical test.</w:t>
            </w:r>
            <w:r>
              <w:rPr>
                <w:b w:val="false"/>
                <w:bCs w:val="false"/>
                <w:i w:val="false"/>
                <w:iCs w:val="false"/>
                <w:sz w:val="20"/>
                <w:szCs w:val="20"/>
              </w:rPr>
              <w:t xml:space="preserve"> A reviewer picks one hazard, usually from the device’s clinical profile or from your own complaint data rather than from your index, and walks it end to end. If the file holds for the row they picked at random, they believe the rest. If it breaks, they pick three more.</w:t>
            </w:r>
          </w:p>
        </w:tc>
      </w:tr>
    </w:tbl>
    <w:p>
      <w:pPr>
        <w:pStyle w:val="Heading3"/>
      </w:pPr>
      <w:r>
        <w:t xml:space="preserve">What the file has to be able to answer</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3200"/>
        <w:gridCol w:w="6880"/>
      </w:tblGrid>
      <w:tr>
        <w:trPr>
          <w:tblHeader/>
        </w:trPr>
        <w:tc>
          <w:tcPr>
            <w:tcW w:type="dxa" w:w="32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A reviewer asks</w:t>
            </w:r>
          </w:p>
        </w:tc>
        <w:tc>
          <w:tcPr>
            <w:tcW w:type="dxa" w:w="68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The file answers it from</w:t>
            </w:r>
          </w:p>
        </w:tc>
      </w:tr>
      <w:tr>
        <w:trPr>
          <w:cantSplit/>
        </w:trPr>
        <w:tc>
          <w:tcPr>
            <w:tcW w:type="dxa" w:w="32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Where did this hazard come from?</w:t>
            </w:r>
          </w:p>
        </w:tc>
        <w:tc>
          <w:tcPr>
            <w:tcW w:type="dxa" w:w="68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Clause 5.3 characteristics related to safety; Clause 5.4 hazard identification</w:t>
            </w:r>
          </w:p>
        </w:tc>
      </w:tr>
      <w:tr>
        <w:trPr>
          <w:cantSplit/>
        </w:trPr>
        <w:tc>
          <w:tcPr>
            <w:tcW w:type="dxa" w:w="32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How does this hazard reach a harm?</w:t>
            </w:r>
          </w:p>
        </w:tc>
        <w:tc>
          <w:tcPr>
            <w:tcW w:type="dxa" w:w="68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Clause 5.4 foreseeable sequences of events and the resulting hazardous situation</w:t>
            </w:r>
          </w:p>
        </w:tc>
      </w:tr>
      <w:tr>
        <w:trPr>
          <w:cantSplit/>
        </w:trPr>
        <w:tc>
          <w:tcPr>
            <w:tcW w:type="dxa" w:w="32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Where did this number come from?</w:t>
            </w:r>
          </w:p>
        </w:tc>
        <w:tc>
          <w:tcPr>
            <w:tcW w:type="dxa" w:w="68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Clause 5.5 risk estimation, plus the qualitative or quantitative categorisation system used for probability and severity</w:t>
            </w:r>
          </w:p>
        </w:tc>
      </w:tr>
      <w:tr>
        <w:trPr>
          <w:cantSplit/>
        </w:trPr>
        <w:tc>
          <w:tcPr>
            <w:tcW w:type="dxa" w:w="32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Why is this acceptable?</w:t>
            </w:r>
          </w:p>
        </w:tc>
        <w:tc>
          <w:tcPr>
            <w:tcW w:type="dxa" w:w="68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Clause 4.4 d) criteria; Clause 6 risk evaluation; Clause 7.3 residual risk evaluation</w:t>
            </w:r>
          </w:p>
        </w:tc>
      </w:tr>
      <w:tr>
        <w:trPr>
          <w:cantSplit/>
        </w:trPr>
        <w:tc>
          <w:tcPr>
            <w:tcW w:type="dxa" w:w="32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What did you do about it, and does it work?</w:t>
            </w:r>
          </w:p>
        </w:tc>
        <w:tc>
          <w:tcPr>
            <w:tcW w:type="dxa" w:w="68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Clause 7.1 option analysis; Clause 7.2, both verifications</w:t>
            </w:r>
          </w:p>
        </w:tc>
      </w:tr>
      <w:tr>
        <w:trPr>
          <w:cantSplit/>
        </w:trPr>
        <w:tc>
          <w:tcPr>
            <w:tcW w:type="dxa" w:w="32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What has changed since?</w:t>
            </w:r>
          </w:p>
        </w:tc>
        <w:tc>
          <w:tcPr>
            <w:tcW w:type="dxa" w:w="68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Clause 10.2 collection; 10.3 review; 10.4 actions</w:t>
            </w:r>
          </w:p>
        </w:tc>
      </w:tr>
    </w:tbl>
    <w:p>
      <w:pPr>
        <w:pStyle w:val="Heading2"/>
      </w:pPr>
      <w:r>
        <w:t xml:space="preserve">2.1  The clause structure</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3300"/>
        <w:gridCol w:w="6780"/>
      </w:tblGrid>
      <w:tr>
        <w:trPr>
          <w:tblHeader/>
        </w:trPr>
        <w:tc>
          <w:tcPr>
            <w:tcW w:type="dxa" w:w="33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Clause</w:t>
            </w:r>
          </w:p>
        </w:tc>
        <w:tc>
          <w:tcPr>
            <w:tcW w:type="dxa" w:w="67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Subclauses and what they require</w:t>
            </w:r>
          </w:p>
        </w:tc>
      </w:tr>
      <w:tr>
        <w:trPr>
          <w:cantSplit/>
        </w:trPr>
        <w:tc>
          <w:tcPr>
            <w:tcW w:type="dxa" w:w="3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4  General requirements for risk management system</w:t>
            </w:r>
          </w:p>
        </w:tc>
        <w:tc>
          <w:tcPr>
            <w:tcW w:type="dxa" w:w="67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4.1 risk management process; 4.2 management responsibilities; 4.3 competence of personnel; 4.4 risk management plan; 4.5 risk management file</w:t>
            </w:r>
          </w:p>
        </w:tc>
      </w:tr>
      <w:tr>
        <w:trPr>
          <w:cantSplit/>
        </w:trPr>
        <w:tc>
          <w:tcPr>
            <w:tcW w:type="dxa" w:w="33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5  Risk analysis</w:t>
            </w:r>
          </w:p>
        </w:tc>
        <w:tc>
          <w:tcPr>
            <w:tcW w:type="dxa" w:w="67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5.1 risk analysis process; 5.2 intended use and reasonably foreseeable misuse; 5.3 identification of characteristics related to safety; 5.4 identification of hazards and hazardous situations; 5.5 risk estimation</w:t>
            </w:r>
          </w:p>
        </w:tc>
      </w:tr>
      <w:tr>
        <w:trPr>
          <w:cantSplit/>
        </w:trPr>
        <w:tc>
          <w:tcPr>
            <w:tcW w:type="dxa" w:w="3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6  Risk evaluation</w:t>
            </w:r>
          </w:p>
        </w:tc>
        <w:tc>
          <w:tcPr>
            <w:tcW w:type="dxa" w:w="67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 subclauses. Compare each estimated risk against the criteria defined in the plan. An acceptable risk goes straight to 7.6 and its estimated risk is treated as the residual risk</w:t>
            </w:r>
          </w:p>
        </w:tc>
      </w:tr>
      <w:tr>
        <w:trPr>
          <w:cantSplit/>
        </w:trPr>
        <w:tc>
          <w:tcPr>
            <w:tcW w:type="dxa" w:w="33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7  Risk control</w:t>
            </w:r>
          </w:p>
        </w:tc>
        <w:tc>
          <w:tcPr>
            <w:tcW w:type="dxa" w:w="67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7.1 risk control option analysis; 7.2 implementation of risk control measures; 7.3 residual risk evaluation; 7.4 benefit-risk analysis; 7.5 risks arising from risk control measures; 7.6 completeness of risk control</w:t>
            </w:r>
          </w:p>
        </w:tc>
      </w:tr>
      <w:tr>
        <w:trPr>
          <w:cantSplit/>
        </w:trPr>
        <w:tc>
          <w:tcPr>
            <w:tcW w:type="dxa" w:w="3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8  Evaluation of overall residual risk</w:t>
            </w:r>
          </w:p>
        </w:tc>
        <w:tc>
          <w:tcPr>
            <w:tcW w:type="dxa" w:w="67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 subclauses. A separate evaluation, by the method the plan declared, against the criteria the plan declared</w:t>
            </w:r>
          </w:p>
        </w:tc>
      </w:tr>
      <w:tr>
        <w:trPr>
          <w:cantSplit/>
        </w:trPr>
        <w:tc>
          <w:tcPr>
            <w:tcW w:type="dxa" w:w="33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9  Risk management review</w:t>
            </w:r>
          </w:p>
        </w:tc>
        <w:tc>
          <w:tcPr>
            <w:tcW w:type="dxa" w:w="67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 subclauses. Review before release; the output is the risk management report</w:t>
            </w:r>
          </w:p>
        </w:tc>
      </w:tr>
      <w:tr>
        <w:trPr>
          <w:cantSplit/>
        </w:trPr>
        <w:tc>
          <w:tcPr>
            <w:tcW w:type="dxa" w:w="3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10  Production and post-production activities</w:t>
            </w:r>
          </w:p>
        </w:tc>
        <w:tc>
          <w:tcPr>
            <w:tcW w:type="dxa" w:w="67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10.1 general; 10.2 information collection; 10.3 information review; 10.4 actions</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bCs/>
                <w:i w:val="false"/>
                <w:iCs w:val="false"/>
                <w:sz w:val="20"/>
                <w:szCs w:val="20"/>
              </w:rPr>
              <w:t xml:space="preserve">Two structural points that catch procedures out.</w:t>
            </w:r>
            <w:r>
              <w:rPr>
                <w:b w:val="false"/>
                <w:bCs w:val="false"/>
                <w:i w:val="false"/>
                <w:iCs w:val="false"/>
                <w:sz w:val="20"/>
                <w:szCs w:val="20"/>
              </w:rPr>
              <w:t xml:space="preserve"> First, Clause 7 runs to </w:t>
            </w:r>
            <w:r>
              <w:rPr>
                <w:b/>
                <w:bCs/>
                <w:i w:val="false"/>
                <w:iCs w:val="false"/>
                <w:sz w:val="20"/>
                <w:szCs w:val="20"/>
              </w:rPr>
              <w:t xml:space="preserve">7.6</w:t>
            </w:r>
            <w:r>
              <w:rPr>
                <w:b w:val="false"/>
                <w:bCs w:val="false"/>
                <w:i w:val="false"/>
                <w:iCs w:val="false"/>
                <w:sz w:val="20"/>
                <w:szCs w:val="20"/>
              </w:rPr>
              <w:t xml:space="preserve">, not 7.5. A procedure that ends at 7.5 has no completeness-of-risk-control step.</w:t>
            </w:r>
          </w:p>
          <w:p>
            <w:pPr>
              <w:spacing w:after="60"/>
            </w:pPr>
            <w:r>
              <w:rPr>
                <w:b w:val="false"/>
                <w:bCs w:val="false"/>
                <w:i w:val="false"/>
                <w:iCs w:val="false"/>
                <w:sz w:val="20"/>
                <w:szCs w:val="20"/>
              </w:rPr>
              <w:t xml:space="preserve">Second, Clause 6 routes an acceptable risk straight to 7.6 and directs that the estimated risk be treated as the residual risk. So Clause 7.6 applies to </w:t>
            </w:r>
            <w:r>
              <w:rPr>
                <w:b/>
                <w:bCs/>
                <w:i w:val="false"/>
                <w:iCs w:val="false"/>
                <w:sz w:val="20"/>
                <w:szCs w:val="20"/>
              </w:rPr>
              <w:t xml:space="preserve">every</w:t>
            </w:r>
            <w:r>
              <w:rPr>
                <w:b w:val="false"/>
                <w:bCs w:val="false"/>
                <w:i w:val="false"/>
                <w:iCs w:val="false"/>
                <w:sz w:val="20"/>
                <w:szCs w:val="20"/>
              </w:rPr>
              <w:t xml:space="preserve"> hazardous situation, including the ones that never needed a control. People assume the acceptable ones drop out of the process; they do not.</w:t>
            </w:r>
          </w:p>
        </w:tc>
      </w:tr>
    </w:tbl>
    <w:p>
      <w:pPr>
        <w:spacing w:after="120" w:before="0"/>
      </w:pPr>
      <w:r>
        <w:rPr>
          <w:b w:val="false"/>
          <w:bCs w:val="false"/>
          <w:i/>
          <w:iCs/>
          <w:color w:val="5A6B7B"/>
          <w:sz w:val="17"/>
          <w:szCs w:val="17"/>
        </w:rPr>
        <w:t xml:space="preserve">Clause 2 is also new in the third edition, and it states that there are no normative references in the document. Conforming to ISO 14971 therefore does not pull in ISO/TR 24971: the TR is guidance, not requirement.</w:t>
      </w:r>
    </w:p>
    <w:p>
      <w:pPr>
        <w:pStyle w:val="Heading2"/>
      </w:pPr>
      <w:r>
        <w:t xml:space="preserve">2.2  Three definitions arrived in 2019</w:t>
      </w:r>
    </w:p>
    <w:p>
      <w:pPr>
        <w:spacing w:after="120" w:before="0"/>
      </w:pPr>
      <w:r>
        <w:rPr>
          <w:b w:val="false"/>
          <w:bCs w:val="false"/>
          <w:i w:val="false"/>
          <w:iCs w:val="false"/>
          <w:sz w:val="21"/>
          <w:szCs w:val="21"/>
        </w:rPr>
        <w:t xml:space="preserve">Clause 3 carries 31 definitions (3.1 to 3.31). Most are now sourced from ISO/IEC Guide 63:2019 rather than the older Guide 51 lineage, and defined terms are printed in italics in the body text. Three definitions are entirely new in the third edition, and each one creates an obligation elsewhere.</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000"/>
        <w:gridCol w:w="4040"/>
        <w:gridCol w:w="4040"/>
      </w:tblGrid>
      <w:tr>
        <w:trPr>
          <w:tblHeader/>
        </w:trPr>
        <w:tc>
          <w:tcPr>
            <w:tcW w:type="dxa" w:w="20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Term</w:t>
            </w:r>
          </w:p>
        </w:tc>
        <w:tc>
          <w:tcPr>
            <w:tcW w:type="dxa" w:w="404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Substance</w:t>
            </w:r>
          </w:p>
        </w:tc>
        <w:tc>
          <w:tcPr>
            <w:tcW w:type="dxa" w:w="404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it costs you</w:t>
            </w:r>
          </w:p>
        </w:tc>
      </w:tr>
      <w:tr>
        <w:trPr>
          <w:cantSplit/>
        </w:trP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3.2  benefit</w:t>
            </w:r>
          </w:p>
        </w:tc>
        <w:tc>
          <w:tcPr>
            <w:tcW w:type="dxa" w:w="40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 positive impact or desirable outcome of the use of a medical device on the health of an individual, or a positive impact on patient management or on public health</w:t>
            </w:r>
          </w:p>
        </w:tc>
        <w:tc>
          <w:tcPr>
            <w:tcW w:type="dxa" w:w="40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Clause 7.4 and Clause 8 now expect a characterised benefit: nature, magnitude, probability and duration. "It treats the disease" is not a benefit statement you can weigh a risk against</w:t>
            </w:r>
          </w:p>
        </w:tc>
      </w:tr>
      <w:tr>
        <w:trPr>
          <w:cantSplit/>
        </w:trP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3.15  reasonably foreseeable misuse</w:t>
            </w:r>
          </w:p>
        </w:tc>
        <w:tc>
          <w:tcPr>
            <w:tcW w:type="dxa" w:w="404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Use of a product or system in a way not intended by the manufacturer but which can result from readily predictable human behaviour. Sourced from ISO/IEC Guide 63:2019, 3.8</w:t>
            </w:r>
          </w:p>
        </w:tc>
        <w:tc>
          <w:tcPr>
            <w:tcW w:type="dxa" w:w="404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Clause 5.2 is now "intended use AND reasonably foreseeable misuse". Misuse can be intentional or unintentional, and a workaround you already know about is foreseeable by definition</w:t>
            </w:r>
          </w:p>
        </w:tc>
      </w:tr>
      <w:tr>
        <w:trPr>
          <w:cantSplit/>
        </w:trP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3.28  state of the art</w:t>
            </w:r>
          </w:p>
        </w:tc>
        <w:tc>
          <w:tcPr>
            <w:tcW w:type="dxa" w:w="40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developed stage of technical capability at a given time as regards products, processes and services, based on the relevant consolidated findings of science, technology and experience. Not necessarily the most technologically advanced solution</w:t>
            </w:r>
          </w:p>
        </w:tc>
        <w:tc>
          <w:tcPr>
            <w:tcW w:type="dxa" w:w="40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An input to the Clause 4.2 policy and a named trigger in Clause 10.3. It ages your file with no failure, no complaint and no trend</w:t>
            </w:r>
          </w:p>
        </w:tc>
      </w:tr>
    </w:tbl>
    <w:p>
      <w:pPr>
        <w:spacing w:after="120" w:before="0"/>
      </w:pPr>
      <w:r>
        <w:rPr>
          <w:b w:val="false"/>
          <w:bCs w:val="false"/>
          <w:i/>
          <w:iCs/>
          <w:color w:val="5A6B7B"/>
          <w:sz w:val="17"/>
          <w:szCs w:val="17"/>
        </w:rPr>
        <w:t xml:space="preserve">Clause 3.30 use error is sourced from IEC 62366-1:2015, 3.21. That is the explicit textual bridge between ISO 14971 and usability engineering, and it is why the effectiveness of an information-for-safety control is proven in the usability engineering file or nowhere.</w:t>
      </w:r>
    </w:p>
    <w:p>
      <w:r>
        <w:br w:type="page"/>
      </w:r>
    </w:p>
    <w:p>
      <w:pPr>
        <w:pStyle w:val="Heading1"/>
      </w:pPr>
      <w:r>
        <w:t xml:space="preserve">3  The plan decides the answer before you know it</w:t>
      </w:r>
    </w:p>
    <w:p>
      <w:pPr>
        <w:spacing w:after="120" w:before="0"/>
      </w:pPr>
      <w:r>
        <w:rPr>
          <w:b w:val="false"/>
          <w:bCs w:val="false"/>
          <w:i w:val="false"/>
          <w:iCs w:val="false"/>
          <w:sz w:val="21"/>
          <w:szCs w:val="21"/>
        </w:rPr>
        <w:t xml:space="preserve">Clause 4.4 requires the risk management plan to include seven things. Every one of them is a decision that has to be made </w:t>
      </w:r>
      <w:r>
        <w:rPr>
          <w:b/>
          <w:bCs/>
          <w:i w:val="false"/>
          <w:iCs w:val="false"/>
          <w:sz w:val="21"/>
          <w:szCs w:val="21"/>
        </w:rPr>
        <w:t xml:space="preserve">before</w:t>
      </w:r>
      <w:r>
        <w:rPr>
          <w:b w:val="false"/>
          <w:bCs w:val="false"/>
          <w:i w:val="false"/>
          <w:iCs w:val="false"/>
          <w:sz w:val="21"/>
          <w:szCs w:val="21"/>
        </w:rPr>
        <w:t xml:space="preserve"> the analysis, and the commonest finding in this clause is a plan whose acceptability criteria were evidently written after the risk table had been coloured in. Changes to the plan are themselves recorded in the risk management file, so a plan at revision 1 alongside a risk table at revision 7 is a finding on its own.</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600"/>
        <w:gridCol w:w="5000"/>
        <w:gridCol w:w="4480"/>
      </w:tblGrid>
      <w:tr>
        <w:trPr>
          <w:tblHeader/>
        </w:trPr>
        <w:tc>
          <w:tcPr>
            <w:tcW w:type="dxa" w:w="6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4.4</w:t>
            </w:r>
          </w:p>
        </w:tc>
        <w:tc>
          <w:tcPr>
            <w:tcW w:type="dxa" w:w="50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The plan shall include</w:t>
            </w:r>
          </w:p>
        </w:tc>
        <w:tc>
          <w:tcPr>
            <w:tcW w:type="dxa" w:w="44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it really decides</w:t>
            </w:r>
          </w:p>
        </w:tc>
      </w:tr>
      <w:tr>
        <w:trPr>
          <w:cantSplit/>
        </w:trPr>
        <w:tc>
          <w:tcPr>
            <w:tcW w:type="dxa" w:w="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a)</w:t>
            </w:r>
          </w:p>
        </w:tc>
        <w:tc>
          <w:tcPr>
            <w:tcW w:type="dxa" w:w="5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scope of the planned risk management activities, identifying and describing the device and the life cycle phases covered</w:t>
            </w:r>
          </w:p>
        </w:tc>
        <w:tc>
          <w:tcPr>
            <w:tcW w:type="dxa" w:w="44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What is in and what is excluded, with a reason</w:t>
            </w:r>
          </w:p>
        </w:tc>
      </w:tr>
      <w:tr>
        <w:trPr>
          <w:cantSplit/>
        </w:trPr>
        <w:tc>
          <w:tcPr>
            <w:tcW w:type="dxa" w:w="6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b)</w:t>
            </w:r>
          </w:p>
        </w:tc>
        <w:tc>
          <w:tcPr>
            <w:tcW w:type="dxa" w:w="5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Assignment of responsibilities and authorities</w:t>
            </w:r>
          </w:p>
        </w:tc>
        <w:tc>
          <w:tcPr>
            <w:tcW w:type="dxa" w:w="44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Who may sign a residual risk acceptable, and who may sign the overall residual risk. Two distinct authorities</w:t>
            </w:r>
          </w:p>
        </w:tc>
      </w:tr>
      <w:tr>
        <w:trPr>
          <w:cantSplit/>
        </w:trPr>
        <w:tc>
          <w:tcPr>
            <w:tcW w:type="dxa" w:w="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c)</w:t>
            </w:r>
          </w:p>
        </w:tc>
        <w:tc>
          <w:tcPr>
            <w:tcW w:type="dxa" w:w="5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Requirements for review of risk management activities</w:t>
            </w:r>
          </w:p>
        </w:tc>
        <w:tc>
          <w:tcPr>
            <w:tcW w:type="dxa" w:w="44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milestones that produce the Clause 9 report</w:t>
            </w:r>
          </w:p>
        </w:tc>
      </w:tr>
      <w:tr>
        <w:trPr>
          <w:cantSplit/>
        </w:trPr>
        <w:tc>
          <w:tcPr>
            <w:tcW w:type="dxa" w:w="6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d)</w:t>
            </w:r>
          </w:p>
        </w:tc>
        <w:tc>
          <w:tcPr>
            <w:tcW w:type="dxa" w:w="5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Criteria for risk acceptability, based on the manufacturer’s policy for determining acceptable risk, including criteria for the case where the probability of occurrence of harm cannot be estimated</w:t>
            </w:r>
          </w:p>
        </w:tc>
        <w:tc>
          <w:tcPr>
            <w:tcW w:type="dxa" w:w="44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matrix, the policy behind it, AND the severity-only rule. Most plans are silent on the second half</w:t>
            </w:r>
          </w:p>
        </w:tc>
      </w:tr>
      <w:tr>
        <w:trPr>
          <w:cantSplit/>
        </w:trPr>
        <w:tc>
          <w:tcPr>
            <w:tcW w:type="dxa" w:w="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e)</w:t>
            </w:r>
          </w:p>
        </w:tc>
        <w:tc>
          <w:tcPr>
            <w:tcW w:type="dxa" w:w="5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 method to evaluate overall residual risk, and the criteria for its acceptability</w:t>
            </w:r>
          </w:p>
        </w:tc>
        <w:tc>
          <w:tcPr>
            <w:tcW w:type="dxa" w:w="44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How Clause 8 will be done, decided before the answer is known</w:t>
            </w:r>
          </w:p>
        </w:tc>
      </w:tr>
      <w:tr>
        <w:trPr>
          <w:cantSplit/>
        </w:trPr>
        <w:tc>
          <w:tcPr>
            <w:tcW w:type="dxa" w:w="6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f)</w:t>
            </w:r>
          </w:p>
        </w:tc>
        <w:tc>
          <w:tcPr>
            <w:tcW w:type="dxa" w:w="5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Activities for verification of the implementation and effectiveness of risk control measures</w:t>
            </w:r>
          </w:p>
        </w:tc>
        <w:tc>
          <w:tcPr>
            <w:tcW w:type="dxa" w:w="44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Which record will prove each of the two</w:t>
            </w:r>
          </w:p>
        </w:tc>
      </w:tr>
      <w:tr>
        <w:trPr>
          <w:cantSplit/>
        </w:trPr>
        <w:tc>
          <w:tcPr>
            <w:tcW w:type="dxa" w:w="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g)</w:t>
            </w:r>
          </w:p>
        </w:tc>
        <w:tc>
          <w:tcPr>
            <w:tcW w:type="dxa" w:w="5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Activities related to collection and review of relevant production and post-production information</w:t>
            </w:r>
          </w:p>
        </w:tc>
        <w:tc>
          <w:tcPr>
            <w:tcW w:type="dxa" w:w="44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Whether Clause 10 will happen at all</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bCs/>
                <w:i w:val="false"/>
                <w:iCs w:val="false"/>
                <w:sz w:val="20"/>
                <w:szCs w:val="20"/>
              </w:rPr>
              <w:t xml:space="preserve">The half of 4.4 d) nobody writes.</w:t>
            </w:r>
            <w:r>
              <w:rPr>
                <w:b w:val="false"/>
                <w:bCs w:val="false"/>
                <w:i w:val="false"/>
                <w:iCs w:val="false"/>
                <w:sz w:val="20"/>
                <w:szCs w:val="20"/>
              </w:rPr>
              <w:t xml:space="preserve"> The criteria must include the criteria for the case where the probability of occurrence of harm </w:t>
            </w:r>
            <w:r>
              <w:rPr>
                <w:b/>
                <w:bCs/>
                <w:i w:val="false"/>
                <w:iCs w:val="false"/>
                <w:sz w:val="20"/>
                <w:szCs w:val="20"/>
              </w:rPr>
              <w:t xml:space="preserve">cannot be estimated</w:t>
            </w:r>
            <w:r>
              <w:rPr>
                <w:b w:val="false"/>
                <w:bCs w:val="false"/>
                <w:i w:val="false"/>
                <w:iCs w:val="false"/>
                <w:sz w:val="20"/>
                <w:szCs w:val="20"/>
              </w:rPr>
              <w:t xml:space="preserve">. In practice that means a severity-only evaluation with a stated decision rule. Almost every plan is silent here, and the gap only becomes visible when a novel hazard arrives with no data behind it.</w:t>
            </w:r>
          </w:p>
        </w:tc>
      </w:tr>
    </w:tbl>
    <w:p>
      <w:pPr>
        <w:pStyle w:val="Heading3"/>
      </w:pPr>
      <w:r>
        <w:t xml:space="preserve">The two authorities in 4.4 b)</w:t>
      </w:r>
    </w:p>
    <w:p>
      <w:pPr>
        <w:spacing w:after="120" w:before="0"/>
      </w:pPr>
      <w:r>
        <w:rPr>
          <w:b w:val="false"/>
          <w:bCs w:val="false"/>
          <w:i w:val="false"/>
          <w:iCs w:val="false"/>
          <w:sz w:val="21"/>
          <w:szCs w:val="21"/>
        </w:rPr>
        <w:t xml:space="preserve">Accepting an individual residual risk (Clause 7.3) and accepting the overall residual risk (Clause 8) are different decisions with different consequences, and the plan should name who may make each. In practice the first is usually delegated and the second is not.</w:t>
      </w:r>
    </w:p>
    <w:p>
      <w:pPr>
        <w:pStyle w:val="Heading1"/>
      </w:pPr>
      <w:r>
        <w:t xml:space="preserve">4  Two regulators, one standard</w:t>
      </w:r>
    </w:p>
    <w:p>
      <w:pPr>
        <w:pStyle w:val="Heading2"/>
      </w:pPr>
      <w:r>
        <w:t xml:space="preserve">4.1  FDA: not incorporated, and still inspected</w:t>
      </w:r>
    </w:p>
    <w:p>
      <w:pPr>
        <w:spacing w:after="120" w:before="0"/>
      </w:pPr>
      <w:r>
        <w:rPr>
          <w:b w:val="false"/>
          <w:bCs w:val="false"/>
          <w:i w:val="false"/>
          <w:iCs w:val="false"/>
          <w:sz w:val="21"/>
          <w:szCs w:val="21"/>
        </w:rPr>
        <w:t xml:space="preserve">ISO 14971 is </w:t>
      </w:r>
      <w:r>
        <w:rPr>
          <w:b/>
          <w:bCs/>
          <w:i w:val="false"/>
          <w:iCs w:val="false"/>
          <w:sz w:val="21"/>
          <w:szCs w:val="21"/>
        </w:rPr>
        <w:t xml:space="preserve">not</w:t>
      </w:r>
      <w:r>
        <w:rPr>
          <w:b w:val="false"/>
          <w:bCs w:val="false"/>
          <w:i w:val="false"/>
          <w:iCs w:val="false"/>
          <w:sz w:val="21"/>
          <w:szCs w:val="21"/>
        </w:rPr>
        <w:t xml:space="preserve"> incorporated by reference into 21 CFR Part 820. Section 820.7 incorporates ISO 13485:2016. In the QMSR rulemaking FDA was asked to incorporate ISO 14971 as well and declined, on the basis that the risk management requirements it needs are already captured through ISO 13485.</w:t>
      </w:r>
    </w:p>
    <w:p>
      <w:pPr>
        <w:spacing w:after="120" w:before="0"/>
      </w:pPr>
      <w:r>
        <w:rPr>
          <w:b w:val="false"/>
          <w:bCs w:val="false"/>
          <w:i w:val="false"/>
          <w:iCs w:val="false"/>
          <w:sz w:val="21"/>
          <w:szCs w:val="21"/>
        </w:rPr>
        <w:t xml:space="preserve">Declining to incorporate the standard did not reduce the obligation; it relocated it. Risk management is enforced through the ISO 13485 clauses that Part 820 does incorporate, and an observation is written against those clauses rather than against ISO 14971.</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3100"/>
        <w:gridCol w:w="6980"/>
      </w:tblGrid>
      <w:tr>
        <w:trPr>
          <w:tblHeader/>
        </w:trPr>
        <w:tc>
          <w:tcPr>
            <w:tcW w:type="dxa" w:w="31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Where FDA reaches risk management</w:t>
            </w:r>
          </w:p>
        </w:tc>
        <w:tc>
          <w:tcPr>
            <w:tcW w:type="dxa" w:w="69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it asks for</w:t>
            </w:r>
          </w:p>
        </w:tc>
      </w:tr>
      <w:tr>
        <w:trPr>
          <w:cantSplit/>
        </w:trPr>
        <w:tc>
          <w:tcPr>
            <w:tcW w:type="dxa" w:w="3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ISO 13485 Clause 4.1.2 b)</w:t>
            </w:r>
          </w:p>
        </w:tc>
        <w:tc>
          <w:tcPr>
            <w:tcW w:type="dxa" w:w="6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Apply a risk-based approach to the control of the appropriate processes needed for the quality management system. This is an inspectable element in its own right: Compliance Program 7382.850 lists "Risk-based Approach (Clause 4.1.2 b))" as an element under the Management Oversight QMS Area</w:t>
            </w:r>
          </w:p>
        </w:tc>
      </w:tr>
      <w:tr>
        <w:trPr>
          <w:cantSplit/>
        </w:trPr>
        <w:tc>
          <w:tcPr>
            <w:tcW w:type="dxa" w:w="3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ISO 13485 Clause 7.1</w:t>
            </w:r>
          </w:p>
        </w:tc>
        <w:tc>
          <w:tcPr>
            <w:tcW w:type="dxa" w:w="69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Document one or more processes for risk management in product realization, and retain records arising from risk management</w:t>
            </w:r>
          </w:p>
        </w:tc>
      </w:tr>
      <w:tr>
        <w:trPr>
          <w:cantSplit/>
        </w:trPr>
        <w:tc>
          <w:tcPr>
            <w:tcW w:type="dxa" w:w="3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ISO 13485 Clause 7.3 (design and development)</w:t>
            </w:r>
          </w:p>
        </w:tc>
        <w:tc>
          <w:tcPr>
            <w:tcW w:type="dxa" w:w="6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Risk proportionality throughout design planning, inputs, outputs, review, verification, validation, transfer and change control</w:t>
            </w:r>
          </w:p>
        </w:tc>
      </w:tr>
      <w:tr>
        <w:trPr>
          <w:cantSplit/>
        </w:trPr>
        <w:tc>
          <w:tcPr>
            <w:tcW w:type="dxa" w:w="3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ISO 13485 Clause 7.4 (purchasing)</w:t>
            </w:r>
          </w:p>
        </w:tc>
        <w:tc>
          <w:tcPr>
            <w:tcW w:type="dxa" w:w="69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Supplier evaluation, selection, monitoring and re-evaluation criteria proportionate to the risk associated with the purchased product</w:t>
            </w:r>
          </w:p>
        </w:tc>
      </w:tr>
      <w:tr>
        <w:trPr>
          <w:cantSplit/>
        </w:trPr>
        <w:tc>
          <w:tcPr>
            <w:tcW w:type="dxa" w:w="3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ISO 13485 Clauses 7.5 and 7.6</w:t>
            </w:r>
          </w:p>
        </w:tc>
        <w:tc>
          <w:tcPr>
            <w:tcW w:type="dxa" w:w="69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Production and service provision controls, process validation, and control of monitoring and measuring equipment, each risk-proportionate</w:t>
            </w:r>
          </w:p>
        </w:tc>
      </w:tr>
      <w:tr>
        <w:trPr>
          <w:cantSplit/>
        </w:trPr>
        <w:tc>
          <w:tcPr>
            <w:tcW w:type="dxa" w:w="3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ISO 13485 Clause 8.2 (feedback, complaints, reporting)</w:t>
            </w:r>
          </w:p>
        </w:tc>
        <w:tc>
          <w:tcPr>
            <w:tcW w:type="dxa" w:w="69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Feedback is an input to risk management. This is the FDA analogue of ISO 14971 Clause 10</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EAF0F6" w:color="auto" w:val="clear"/>
            <w:tcMar>
              <w:top w:type="dxa" w:w="140"/>
              <w:left w:type="dxa" w:w="200"/>
              <w:bottom w:type="dxa" w:w="140"/>
              <w:right w:type="dxa" w:w="200"/>
            </w:tcMar>
          </w:tcPr>
          <w:p>
            <w:pPr>
              <w:spacing w:after="60"/>
            </w:pPr>
            <w:r>
              <w:rPr>
                <w:b/>
                <w:bCs/>
                <w:i w:val="false"/>
                <w:iCs w:val="false"/>
                <w:sz w:val="20"/>
                <w:szCs w:val="20"/>
              </w:rPr>
              <w:t xml:space="preserve">The answer to "is ISO 14971 mandatory for FDA?"</w:t>
            </w:r>
            <w:r>
              <w:rPr>
                <w:b w:val="false"/>
                <w:bCs w:val="false"/>
                <w:i w:val="false"/>
                <w:iCs w:val="false"/>
                <w:sz w:val="20"/>
                <w:szCs w:val="20"/>
              </w:rPr>
              <w:t xml:space="preserve"> The standard is not; the activity is. ISO 14971:2019 is an FDA-recognized consensus standard, so conformance can be declared in a submission - but recognition is not incorporation. Check the current recognition entry and any transition notice before citing an edition.</w:t>
            </w:r>
          </w:p>
        </w:tc>
      </w:tr>
    </w:tbl>
    <w:p>
      <w:pPr>
        <w:pStyle w:val="Heading2"/>
      </w:pPr>
      <w:r>
        <w:t xml:space="preserve">4.2  EU: harmonised, but narrowly</w:t>
      </w:r>
    </w:p>
    <w:p>
      <w:pPr>
        <w:spacing w:after="120" w:before="0"/>
      </w:pPr>
      <w:r>
        <w:rPr>
          <w:b w:val="false"/>
          <w:bCs w:val="false"/>
          <w:i w:val="false"/>
          <w:iCs w:val="false"/>
          <w:sz w:val="21"/>
          <w:szCs w:val="21"/>
        </w:rPr>
        <w:t xml:space="preserve">EN ISO 14971:2019 as amended by EN ISO 14971:2019/A11:2021 is a harmonised standard for the MDR, cited by Commission Implementing Decision (EU) 2022/757 of 11 May 2022, OJ L 138, 17.5.2022, p. 27. The equivalent IVDR citation is Decision (EU) 2022/729, OJ L 135, 12.5.2022. Both were still live, with no end of legal effect, on the Commission summary lists generated 17 June 2026.</w:t>
      </w:r>
    </w:p>
    <w:p>
      <w:pPr>
        <w:spacing w:after="120" w:before="0"/>
      </w:pPr>
      <w:r>
        <w:rPr>
          <w:b w:val="false"/>
          <w:bCs w:val="false"/>
          <w:i w:val="false"/>
          <w:iCs w:val="false"/>
          <w:sz w:val="21"/>
          <w:szCs w:val="21"/>
        </w:rPr>
        <w:t xml:space="preserve">Two facts that surprise people. There was </w:t>
      </w:r>
      <w:r>
        <w:rPr>
          <w:b/>
          <w:bCs/>
          <w:i w:val="false"/>
          <w:iCs w:val="false"/>
          <w:sz w:val="21"/>
          <w:szCs w:val="21"/>
        </w:rPr>
        <w:t xml:space="preserve">no harmonised risk management standard under the MDR between 26 May 2021 and 17 May 2022</w:t>
      </w:r>
      <w:r>
        <w:rPr>
          <w:b w:val="false"/>
          <w:bCs w:val="false"/>
          <w:i w:val="false"/>
          <w:iCs w:val="false"/>
          <w:sz w:val="21"/>
          <w:szCs w:val="21"/>
        </w:rPr>
        <w:t xml:space="preserve">, because the base decision could not cite EN ISO 14971:2019 before A11 existed. And A11:2021 does not change a word of the normative text: it replaces the European foreword and adds Annex ZA for the MDR and Annex ZB for the IVDR.</w:t>
      </w:r>
    </w:p>
    <w:p>
      <w:pPr>
        <w:pStyle w:val="Heading3"/>
      </w:pPr>
      <w:r>
        <w:t xml:space="preserve">What Annex ZA covers, and what it does not</w:t>
      </w:r>
    </w:p>
    <w:p>
      <w:pPr>
        <w:spacing w:after="120" w:before="0"/>
      </w:pPr>
      <w:r>
        <w:rPr>
          <w:b w:val="false"/>
          <w:bCs w:val="false"/>
          <w:i w:val="false"/>
          <w:iCs w:val="false"/>
          <w:sz w:val="21"/>
          <w:szCs w:val="21"/>
        </w:rPr>
        <w:t xml:space="preserve">Annex ZA is a correspondence table between the clauses of the standard and the MDR general safety and performance requirements. It addresses a narrow set: MDR Annex I Chapter I points 3, 4, 5, 8 and 9. Points 1, 2, 6 and 7 are not listed as covered, and neither is any of Chapter II (points 10 to 22) or Chapter III (point 23). Presumption of conformity can be claimed only for what the Annex Z lists as covered.</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200"/>
        <w:gridCol w:w="7280"/>
        <w:gridCol w:w="1600"/>
      </w:tblGrid>
      <w:tr>
        <w:trPr>
          <w:tblHeader/>
        </w:trPr>
        <w:tc>
          <w:tcPr>
            <w:tcW w:type="dxa" w:w="12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MDR Annex I Chapter I</w:t>
            </w:r>
          </w:p>
        </w:tc>
        <w:tc>
          <w:tcPr>
            <w:tcW w:type="dxa" w:w="72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Substance</w:t>
            </w:r>
          </w:p>
        </w:tc>
        <w:tc>
          <w:tcPr>
            <w:tcW w:type="dxa" w:w="16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Annex ZA</w:t>
            </w:r>
          </w:p>
        </w:tc>
      </w:tr>
      <w:tr>
        <w:trPr>
          <w:cantSplit/>
        </w:trPr>
        <w:tc>
          <w:tcPr>
            <w:tcW w:type="dxa" w:w="12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Point 1</w:t>
            </w:r>
          </w:p>
        </w:tc>
        <w:tc>
          <w:tcPr>
            <w:tcW w:type="dxa" w:w="72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Devices shall achieve the performance intended, be safe and effective, and not compromise the clinical condition or safety of patients, provided that any risks constitute acceptable risks when weighed against the benefits, taking into account the generally acknowledged state of the art</w:t>
            </w:r>
          </w:p>
        </w:tc>
        <w:tc>
          <w:tcPr>
            <w:tcW w:type="dxa" w:w="16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Not listed</w:t>
            </w:r>
          </w:p>
        </w:tc>
      </w:tr>
      <w:tr>
        <w:trPr>
          <w:cantSplit/>
        </w:trPr>
        <w:tc>
          <w:tcPr>
            <w:tcW w:type="dxa" w:w="12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Point 2</w:t>
            </w:r>
          </w:p>
        </w:tc>
        <w:tc>
          <w:tcPr>
            <w:tcW w:type="dxa" w:w="72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requirement in this Annex to reduce risks as far as possible means the reduction of risks as far as possible without adversely affecting the benefit-risk ratio</w:t>
            </w:r>
          </w:p>
        </w:tc>
        <w:tc>
          <w:tcPr>
            <w:tcW w:type="dxa" w:w="16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Not listed</w:t>
            </w:r>
          </w:p>
        </w:tc>
      </w:tr>
      <w:tr>
        <w:trPr>
          <w:cantSplit/>
        </w:trPr>
        <w:tc>
          <w:tcPr>
            <w:tcW w:type="dxa" w:w="12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Point 3</w:t>
            </w:r>
          </w:p>
        </w:tc>
        <w:tc>
          <w:tcPr>
            <w:tcW w:type="dxa" w:w="72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Manufacturers shall establish, implement, document and maintain a risk management system. Risk management is a continuous iterative process throughout the entire lifecycle, requiring regular systematic updating, with the sub-points (a) to (f)</w:t>
            </w:r>
          </w:p>
        </w:tc>
        <w:tc>
          <w:tcPr>
            <w:tcW w:type="dxa" w:w="16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Covered</w:t>
            </w:r>
          </w:p>
        </w:tc>
      </w:tr>
      <w:tr>
        <w:trPr>
          <w:cantSplit/>
        </w:trPr>
        <w:tc>
          <w:tcPr>
            <w:tcW w:type="dxa" w:w="12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Point 4</w:t>
            </w:r>
          </w:p>
        </w:tc>
        <w:tc>
          <w:tcPr>
            <w:tcW w:type="dxa" w:w="72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Risk control measures shall conform to safety principles taking account of the state of the art; the residual risk associated with each hazard and the overall residual risk shall be judged acceptable; and a mandatory order of priority (a) to (c). Closes with: manufacturers shall inform users of any residual risks</w:t>
            </w:r>
          </w:p>
        </w:tc>
        <w:tc>
          <w:tcPr>
            <w:tcW w:type="dxa" w:w="16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Covered</w:t>
            </w:r>
          </w:p>
        </w:tc>
      </w:tr>
      <w:tr>
        <w:trPr>
          <w:cantSplit/>
        </w:trPr>
        <w:tc>
          <w:tcPr>
            <w:tcW w:type="dxa" w:w="12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Point 5</w:t>
            </w:r>
          </w:p>
        </w:tc>
        <w:tc>
          <w:tcPr>
            <w:tcW w:type="dxa" w:w="72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Reduce as far as possible the risks related to use error, including ergonomic features and the knowledge, experience, education and training of the intended user and the use environment</w:t>
            </w:r>
          </w:p>
        </w:tc>
        <w:tc>
          <w:tcPr>
            <w:tcW w:type="dxa" w:w="16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Covered</w:t>
            </w:r>
          </w:p>
        </w:tc>
      </w:tr>
      <w:tr>
        <w:trPr>
          <w:cantSplit/>
        </w:trPr>
        <w:tc>
          <w:tcPr>
            <w:tcW w:type="dxa" w:w="12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Point 6</w:t>
            </w:r>
          </w:p>
        </w:tc>
        <w:tc>
          <w:tcPr>
            <w:tcW w:type="dxa" w:w="72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Consideration of the technical knowledge, experience, education, training and use environment, and the medical and physical conditions of intended users (design for lay, professional, disabled or other users)</w:t>
            </w:r>
          </w:p>
        </w:tc>
        <w:tc>
          <w:tcPr>
            <w:tcW w:type="dxa" w:w="16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Not listed</w:t>
            </w:r>
          </w:p>
        </w:tc>
      </w:tr>
      <w:tr>
        <w:trPr>
          <w:cantSplit/>
        </w:trPr>
        <w:tc>
          <w:tcPr>
            <w:tcW w:type="dxa" w:w="12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Point 7</w:t>
            </w:r>
          </w:p>
        </w:tc>
        <w:tc>
          <w:tcPr>
            <w:tcW w:type="dxa" w:w="72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Devices shall be designed, produced and packed so that their characteristics and performance are not adversely affected during transport and storage</w:t>
            </w:r>
          </w:p>
        </w:tc>
        <w:tc>
          <w:tcPr>
            <w:tcW w:type="dxa" w:w="16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Not listed</w:t>
            </w:r>
          </w:p>
        </w:tc>
      </w:tr>
      <w:tr>
        <w:trPr>
          <w:cantSplit/>
        </w:trPr>
        <w:tc>
          <w:tcPr>
            <w:tcW w:type="dxa" w:w="12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Point 8</w:t>
            </w:r>
          </w:p>
        </w:tc>
        <w:tc>
          <w:tcPr>
            <w:tcW w:type="dxa" w:w="72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All known and foreseeable risks, and any undesirable side-effects, shall be minimised and be acceptable when weighed against the evaluated benefits to the patient or user arising from the achieved performance</w:t>
            </w:r>
          </w:p>
        </w:tc>
        <w:tc>
          <w:tcPr>
            <w:tcW w:type="dxa" w:w="16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Covered</w:t>
            </w:r>
          </w:p>
        </w:tc>
      </w:tr>
      <w:tr>
        <w:trPr>
          <w:cantSplit/>
        </w:trPr>
        <w:tc>
          <w:tcPr>
            <w:tcW w:type="dxa" w:w="12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Point 9</w:t>
            </w:r>
          </w:p>
        </w:tc>
        <w:tc>
          <w:tcPr>
            <w:tcW w:type="dxa" w:w="72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Requirements for devices without an intended medical purpose listed in Annex XVI</w:t>
            </w:r>
          </w:p>
        </w:tc>
        <w:tc>
          <w:tcPr>
            <w:tcW w:type="dxa" w:w="16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Covered</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9ECEA" w:color="auto" w:val="clear"/>
            <w:tcMar>
              <w:top w:type="dxa" w:w="140"/>
              <w:left w:type="dxa" w:w="200"/>
              <w:bottom w:type="dxa" w:w="140"/>
              <w:right w:type="dxa" w:w="200"/>
            </w:tcMar>
          </w:tcPr>
          <w:p>
            <w:pPr>
              <w:spacing w:after="60"/>
            </w:pPr>
            <w:r>
              <w:rPr>
                <w:b/>
                <w:bCs/>
                <w:i w:val="false"/>
                <w:iCs w:val="false"/>
                <w:sz w:val="20"/>
                <w:szCs w:val="20"/>
              </w:rPr>
              <w:t xml:space="preserve">Kill the zombie.</w:t>
            </w:r>
            <w:r>
              <w:rPr>
                <w:b w:val="false"/>
                <w:bCs w:val="false"/>
                <w:i w:val="false"/>
                <w:iCs w:val="false"/>
                <w:sz w:val="20"/>
                <w:szCs w:val="20"/>
              </w:rPr>
              <w:t xml:space="preserve"> The seven </w:t>
            </w:r>
            <w:r>
              <w:rPr>
                <w:b/>
                <w:bCs/>
                <w:i w:val="false"/>
                <w:iCs w:val="false"/>
                <w:sz w:val="20"/>
                <w:szCs w:val="20"/>
              </w:rPr>
              <w:t xml:space="preserve">content deviations</w:t>
            </w:r>
            <w:r>
              <w:rPr>
                <w:b w:val="false"/>
                <w:bCs w:val="false"/>
                <w:i w:val="false"/>
                <w:iCs w:val="false"/>
                <w:sz w:val="20"/>
                <w:szCs w:val="20"/>
              </w:rPr>
              <w:t xml:space="preserve"> that consultants and gap analyses still cite belong to </w:t>
            </w:r>
            <w:r>
              <w:rPr>
                <w:b/>
                <w:bCs/>
                <w:i w:val="false"/>
                <w:iCs w:val="false"/>
                <w:sz w:val="20"/>
                <w:szCs w:val="20"/>
              </w:rPr>
              <w:t xml:space="preserve">EN ISO 14971:2012</w:t>
            </w:r>
            <w:r>
              <w:rPr>
                <w:b w:val="false"/>
                <w:bCs w:val="false"/>
                <w:i w:val="false"/>
                <w:iCs w:val="false"/>
                <w:sz w:val="20"/>
                <w:szCs w:val="20"/>
              </w:rPr>
              <w:t xml:space="preserve">, the Directive-era European edition. That edition was superseded by EN ISO 14971:2019 with conflicting national standards withdrawn by 30 June 2020. A11:2021 contains </w:t>
            </w:r>
            <w:r>
              <w:rPr>
                <w:b/>
                <w:bCs/>
                <w:i w:val="false"/>
                <w:iCs w:val="false"/>
                <w:sz w:val="20"/>
                <w:szCs w:val="20"/>
              </w:rPr>
              <w:t xml:space="preserve">no content deviations</w:t>
            </w:r>
            <w:r>
              <w:rPr>
                <w:b w:val="false"/>
                <w:bCs w:val="false"/>
                <w:i w:val="false"/>
                <w:iCs w:val="false"/>
                <w:sz w:val="20"/>
                <w:szCs w:val="20"/>
              </w:rPr>
              <w:t xml:space="preserve"> at all - it uses a correspondence table with coverage notes instead. A GSPR matrix built on the seven deviations is built on a withdrawn standard.</w:t>
            </w:r>
          </w:p>
        </w:tc>
      </w:tr>
    </w:tbl>
    <w:p>
      <w:pPr>
        <w:spacing w:after="120" w:before="0"/>
      </w:pPr>
      <w:r>
        <w:rPr>
          <w:b w:val="false"/>
          <w:bCs w:val="false"/>
          <w:i/>
          <w:iCs/>
          <w:color w:val="5A6B7B"/>
          <w:sz w:val="17"/>
          <w:szCs w:val="17"/>
        </w:rPr>
        <w:t xml:space="preserve">MDCG 2021-5 rev.1, Guidance on standardisation for medical devices, section 2.3, is the authoritative explanation of what an Annex Z is: it is the tool that identifies the legal requirements NOT covered, and without an adequate Annex Z a standard cannot be cited in the OJEU at all. It also confirms that a standard covering more than one EU act carries several annexes designated ZA, ZB and so on - which is why EN ISO 14971:2019/A11:2021 has both.</w:t>
      </w:r>
    </w:p>
    <w:p>
      <w:pPr>
        <w:pStyle w:val="Heading2"/>
      </w:pPr>
      <w:r>
        <w:t xml:space="preserve">4.3  AFAP is not ALARP</w:t>
      </w:r>
    </w:p>
    <w:p>
      <w:pPr>
        <w:spacing w:after="120" w:before="0"/>
      </w:pPr>
      <w:r>
        <w:rPr>
          <w:b w:val="false"/>
          <w:bCs w:val="false"/>
          <w:i w:val="false"/>
          <w:iCs w:val="false"/>
          <w:sz w:val="21"/>
          <w:szCs w:val="21"/>
        </w:rPr>
        <w:t xml:space="preserve">The cleanest way to see the difference is by what is absent from the regulation. The word </w:t>
      </w:r>
      <w:r>
        <w:rPr>
          <w:b/>
          <w:bCs/>
          <w:i w:val="false"/>
          <w:iCs w:val="false"/>
          <w:sz w:val="21"/>
          <w:szCs w:val="21"/>
        </w:rPr>
        <w:t xml:space="preserve">ALARP</w:t>
      </w:r>
      <w:r>
        <w:rPr>
          <w:b w:val="false"/>
          <w:bCs w:val="false"/>
          <w:i w:val="false"/>
          <w:iCs w:val="false"/>
          <w:sz w:val="21"/>
          <w:szCs w:val="21"/>
        </w:rPr>
        <w:t xml:space="preserve"> appears nowhere in the MDR. Neither does any reference to economic considerations. The Medical Devices Directive 93/42/EEC did contain a recital permitting "technical and economical considerations compatible with a high level of protection of health and safety" - and that recital was not carried into the MDR.</w:t>
      </w:r>
    </w:p>
    <w:p>
      <w:pPr>
        <w:spacing w:after="120" w:before="0"/>
      </w:pPr>
      <w:r>
        <w:rPr>
          <w:b w:val="false"/>
          <w:bCs w:val="false"/>
          <w:i w:val="false"/>
          <w:iCs w:val="false"/>
          <w:sz w:val="21"/>
          <w:szCs w:val="21"/>
        </w:rPr>
        <w:t xml:space="preserve">So the MDR’s only stated limit on how far a risk must be reduced is the one in Annex I point 2: without adversely affecting the benefit-risk ratio. Not cost, not schedule, not manufacturability.</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900"/>
        <w:gridCol w:w="4090"/>
        <w:gridCol w:w="4090"/>
      </w:tblGrid>
      <w:tr>
        <w:trPr>
          <w:tblHeader/>
        </w:trPr>
        <w:tc>
          <w:tcPr>
            <w:tcW w:type="dxa" w:w="1900"/>
            <w:shd w:fill="0F2A4A" w:color="auto" w:val="clear"/>
            <w:tcMar>
              <w:top w:type="dxa" w:w="70"/>
              <w:left w:type="dxa" w:w="100"/>
              <w:bottom w:type="dxa" w:w="70"/>
              <w:right w:type="dxa" w:w="100"/>
            </w:tcMar>
            <w:vAlign w:val="top"/>
          </w:tcPr>
          <w:p>
            <w:pPr>
              <w:spacing w:after="40"/>
            </w:pPr>
            <w:r>
              <w:rPr>
                <w:sz w:val="19"/>
                <w:szCs w:val="19"/>
              </w:rPr>
              <w:t xml:space="preserve"/>
            </w:r>
          </w:p>
        </w:tc>
        <w:tc>
          <w:tcPr>
            <w:tcW w:type="dxa" w:w="409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ALARP</w:t>
            </w:r>
          </w:p>
        </w:tc>
        <w:tc>
          <w:tcPr>
            <w:tcW w:type="dxa" w:w="409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AFAP</w:t>
            </w:r>
          </w:p>
        </w:tc>
      </w:tr>
      <w:tr>
        <w:trPr>
          <w:cantSplit/>
        </w:trP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Full form</w:t>
            </w:r>
          </w:p>
        </w:tc>
        <w:tc>
          <w:tcPr>
            <w:tcW w:type="dxa" w:w="409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As low as reasonably practicable</w:t>
            </w:r>
          </w:p>
        </w:tc>
        <w:tc>
          <w:tcPr>
            <w:tcW w:type="dxa" w:w="409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As far as possible</w:t>
            </w:r>
          </w:p>
        </w:tc>
      </w:tr>
      <w:tr>
        <w:trPr>
          <w:cantSplit/>
        </w:trP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Admits economic impact?</w:t>
            </w:r>
          </w:p>
        </w:tc>
        <w:tc>
          <w:tcPr>
            <w:tcW w:type="dxa" w:w="409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Yes. Cost, effort and time enter the judgement of how far to go</w:t>
            </w:r>
          </w:p>
        </w:tc>
        <w:tc>
          <w:tcPr>
            <w:tcW w:type="dxa" w:w="409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 MDR Annex I point 2 limits the obligation only by the benefit-risk ratio</w:t>
            </w:r>
          </w:p>
        </w:tc>
      </w:tr>
      <w:tr>
        <w:trPr>
          <w:cantSplit/>
        </w:trP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Where it comes from</w:t>
            </w:r>
          </w:p>
        </w:tc>
        <w:tc>
          <w:tcPr>
            <w:tcW w:type="dxa" w:w="409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Occupational safety regimes; carried into device practice in the Directive era</w:t>
            </w:r>
          </w:p>
        </w:tc>
        <w:tc>
          <w:tcPr>
            <w:tcW w:type="dxa" w:w="409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MDR Annex I point 2, as the definition of a phrase used throughout Annex I</w:t>
            </w:r>
          </w:p>
        </w:tc>
      </w:tr>
      <w:tr>
        <w:trPr>
          <w:cantSplit/>
        </w:trP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Effect on an "acceptable" risk</w:t>
            </w:r>
          </w:p>
        </w:tc>
        <w:tc>
          <w:tcPr>
            <w:tcW w:type="dxa" w:w="409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An acceptable risk can be left alone on economic grounds</w:t>
            </w:r>
          </w:p>
        </w:tc>
        <w:tc>
          <w:tcPr>
            <w:tcW w:type="dxa" w:w="409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An acceptable risk still has to be reduced as far as possible. "It is in the green zone" is not a stopping argument</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bCs/>
                <w:i w:val="false"/>
                <w:iCs w:val="false"/>
                <w:sz w:val="20"/>
                <w:szCs w:val="20"/>
              </w:rPr>
              <w:t xml:space="preserve">Where the choice actually lives.</w:t>
            </w:r>
            <w:r>
              <w:rPr>
                <w:b w:val="false"/>
                <w:bCs w:val="false"/>
                <w:i w:val="false"/>
                <w:iCs w:val="false"/>
                <w:sz w:val="20"/>
                <w:szCs w:val="20"/>
              </w:rPr>
              <w:t xml:space="preserve"> ISO/TR 24971:2020 Annex C gives guidance on the policy for establishing criteria for risk acceptability required by ISO 14971:2019 Clause 4.2. It identifies the possible elements of that policy and lists the approaches to risk control - ALARP, AFAP, ALARA and ALAP. The standard does not choose for you. Your policy does, and for an EU device the Regulation constrains the choice.</w:t>
            </w:r>
          </w:p>
        </w:tc>
      </w:tr>
    </w:tbl>
    <w:p>
      <w:pPr>
        <w:spacing w:after="120" w:before="0"/>
      </w:pPr>
      <w:r>
        <w:rPr>
          <w:b w:val="false"/>
          <w:bCs w:val="false"/>
          <w:i/>
          <w:iCs/>
          <w:color w:val="5A6B7B"/>
          <w:sz w:val="17"/>
          <w:szCs w:val="17"/>
        </w:rPr>
        <w:t xml:space="preserve">One asymmetry worth knowing: the IVDR carries recital 13, tying the AFAP obligation to the generally acknowledged state of the art in the field of medicine. The MDR has no equivalent recital; its state-of-the-art hook sits in Annex I points 1 and 4 instead. There is no MDCG guidance dedicated to risk management or to the AFAP question, and none in the Commission’s published guidance pipeline.</w:t>
      </w:r>
    </w:p>
    <w:p>
      <w:r>
        <w:br w:type="page"/>
      </w:r>
    </w:p>
    <w:p>
      <w:pPr>
        <w:pStyle w:val="Heading1"/>
      </w:pPr>
      <w:r>
        <w:t xml:space="preserve">5  The hazard chain</w:t>
      </w:r>
    </w:p>
    <w:p>
      <w:pPr>
        <w:spacing w:after="120" w:before="0"/>
      </w:pPr>
      <w:r>
        <w:rPr>
          <w:b w:val="false"/>
          <w:bCs w:val="false"/>
          <w:i w:val="false"/>
          <w:iCs w:val="false"/>
          <w:sz w:val="21"/>
          <w:szCs w:val="21"/>
        </w:rPr>
        <w:t xml:space="preserve">A hazard is a potential source of harm (3.4). On its own it does nothing. A foreseeable sequence of events turns the hazard into a hazardous situation (3.5), which is a circumstance in which people, property or the environment are exposed to one or more hazards. Only then can harm (3.3) occur, and whether it does is a separate question.</w:t>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THE CHAIN   </w:t>
            </w:r>
            <w:r>
              <w:rPr>
                <w:b/>
                <w:bCs/>
                <w:color w:val="0F2A4A"/>
                <w:sz w:val="20"/>
                <w:szCs w:val="20"/>
              </w:rPr>
              <w:t xml:space="preserve">Clause 5.4 and 5.5</w:t>
            </w:r>
          </w:p>
          <w:p>
            <w:pPr>
              <w:spacing w:after="40"/>
            </w:pPr>
            <w:r>
              <w:rPr>
                <w:rFonts w:ascii="Courier New" w:cs="Courier New" w:eastAsia="Courier New" w:hAnsi="Courier New"/>
                <w:b w:val="false"/>
                <w:bCs w:val="false"/>
                <w:i w:val="false"/>
                <w:iCs w:val="false"/>
                <w:sz w:val="19"/>
                <w:szCs w:val="19"/>
              </w:rPr>
              <w:t xml:space="preserve">HAZARD                  a potential source of harm (3.4)</w:t>
            </w:r>
          </w:p>
          <w:p>
            <w:pPr>
              <w:spacing w:after="40"/>
            </w:pPr>
            <w:r>
              <w:rPr>
                <w:rFonts w:ascii="Courier New" w:cs="Courier New" w:eastAsia="Courier New" w:hAnsi="Courier New"/>
                <w:b w:val="false"/>
                <w:bCs w:val="false"/>
                <w:i w:val="false"/>
                <w:iCs w:val="false"/>
                <w:sz w:val="19"/>
                <w:szCs w:val="19"/>
              </w:rPr>
              <w:t xml:space="preserve">   |</w:t>
            </w:r>
          </w:p>
          <w:p>
            <w:pPr>
              <w:spacing w:after="40"/>
            </w:pPr>
            <w:r>
              <w:rPr>
                <w:rFonts w:ascii="Courier New" w:cs="Courier New" w:eastAsia="Courier New" w:hAnsi="Courier New"/>
                <w:b w:val="false"/>
                <w:bCs w:val="false"/>
                <w:i w:val="false"/>
                <w:iCs w:val="false"/>
                <w:sz w:val="19"/>
                <w:szCs w:val="19"/>
              </w:rPr>
              <w:t xml:space="preserve">   |   foreseeable sequence of events        P1 = probability that the</w:t>
            </w:r>
          </w:p>
          <w:p>
            <w:pPr>
              <w:spacing w:after="40"/>
            </w:pPr>
            <w:r>
              <w:rPr>
                <w:rFonts w:ascii="Courier New" w:cs="Courier New" w:eastAsia="Courier New" w:hAnsi="Courier New"/>
                <w:b w:val="false"/>
                <w:bCs w:val="false"/>
                <w:i w:val="false"/>
                <w:iCs w:val="false"/>
                <w:sz w:val="19"/>
                <w:szCs w:val="19"/>
              </w:rPr>
              <w:t xml:space="preserve">   v   (5.4)                                     hazardous situation arises</w:t>
            </w:r>
          </w:p>
          <w:p>
            <w:pPr>
              <w:spacing w:after="40"/>
            </w:pPr>
            <w:r>
              <w:rPr>
                <w:rFonts w:ascii="Courier New" w:cs="Courier New" w:eastAsia="Courier New" w:hAnsi="Courier New"/>
                <w:b w:val="false"/>
                <w:bCs w:val="false"/>
                <w:i w:val="false"/>
                <w:iCs w:val="false"/>
                <w:sz w:val="19"/>
                <w:szCs w:val="19"/>
              </w:rPr>
              <w:t xml:space="preserve">   |</w:t>
            </w:r>
          </w:p>
          <w:p>
            <w:pPr>
              <w:spacing w:after="40"/>
            </w:pPr>
            <w:r>
              <w:rPr>
                <w:rFonts w:ascii="Courier New" w:cs="Courier New" w:eastAsia="Courier New" w:hAnsi="Courier New"/>
                <w:b w:val="false"/>
                <w:bCs w:val="false"/>
                <w:i w:val="false"/>
                <w:iCs w:val="false"/>
                <w:sz w:val="19"/>
                <w:szCs w:val="19"/>
              </w:rPr>
              <w:t xml:space="preserve">HAZARDOUS SITUATION     people exposed to the hazard (3.5)</w:t>
            </w:r>
          </w:p>
          <w:p>
            <w:pPr>
              <w:spacing w:after="40"/>
            </w:pPr>
            <w:r>
              <w:rPr>
                <w:rFonts w:ascii="Courier New" w:cs="Courier New" w:eastAsia="Courier New" w:hAnsi="Courier New"/>
                <w:b w:val="false"/>
                <w:bCs w:val="false"/>
                <w:i w:val="false"/>
                <w:iCs w:val="false"/>
                <w:sz w:val="19"/>
                <w:szCs w:val="19"/>
              </w:rPr>
              <w:t xml:space="preserve">   |</w:t>
            </w:r>
          </w:p>
          <w:p>
            <w:pPr>
              <w:spacing w:after="40"/>
            </w:pPr>
            <w:r>
              <w:rPr>
                <w:rFonts w:ascii="Courier New" w:cs="Courier New" w:eastAsia="Courier New" w:hAnsi="Courier New"/>
                <w:b w:val="false"/>
                <w:bCs w:val="false"/>
                <w:i w:val="false"/>
                <w:iCs w:val="false"/>
                <w:sz w:val="19"/>
                <w:szCs w:val="19"/>
              </w:rPr>
              <w:t xml:space="preserve">   |   exposure                              P2 = conditional probability</w:t>
            </w:r>
          </w:p>
          <w:p>
            <w:pPr>
              <w:spacing w:after="40"/>
            </w:pPr>
            <w:r>
              <w:rPr>
                <w:rFonts w:ascii="Courier New" w:cs="Courier New" w:eastAsia="Courier New" w:hAnsi="Courier New"/>
                <w:b w:val="false"/>
                <w:bCs w:val="false"/>
                <w:i w:val="false"/>
                <w:iCs w:val="false"/>
                <w:sz w:val="19"/>
                <w:szCs w:val="19"/>
              </w:rPr>
              <w:t xml:space="preserve">   v                                             that it leads to the harm</w:t>
            </w:r>
          </w:p>
          <w:p>
            <w:pPr>
              <w:spacing w:after="40"/>
            </w:pPr>
            <w:r>
              <w:rPr>
                <w:rFonts w:ascii="Courier New" w:cs="Courier New" w:eastAsia="Courier New" w:hAnsi="Courier New"/>
                <w:b w:val="false"/>
                <w:bCs w:val="false"/>
                <w:i w:val="false"/>
                <w:iCs w:val="false"/>
                <w:sz w:val="19"/>
                <w:szCs w:val="19"/>
              </w:rPr>
              <w:t xml:space="preserve">   |</w:t>
            </w:r>
          </w:p>
          <w:p>
            <w:pPr>
              <w:spacing w:after="40"/>
            </w:pPr>
            <w:r>
              <w:rPr>
                <w:rFonts w:ascii="Courier New" w:cs="Courier New" w:eastAsia="Courier New" w:hAnsi="Courier New"/>
                <w:b w:val="false"/>
                <w:bCs w:val="false"/>
                <w:i w:val="false"/>
                <w:iCs w:val="false"/>
                <w:sz w:val="19"/>
                <w:szCs w:val="19"/>
              </w:rPr>
              <w:t xml:space="preserve">HARM                    injury or damage to health (3.3)</w:t>
            </w:r>
          </w:p>
          <w:p>
            <w:pPr>
              <w:spacing w:after="40"/>
            </w:pPr>
            <w:r>
              <w:rPr>
                <w:sz w:val="19"/>
                <w:szCs w:val="19"/>
              </w:rPr>
              <w:t xml:space="preserve"/>
            </w:r>
          </w:p>
          <w:p>
            <w:pPr>
              <w:spacing w:after="40"/>
            </w:pPr>
            <w:r>
              <w:rPr>
                <w:rFonts w:ascii="Courier New" w:cs="Courier New" w:eastAsia="Courier New" w:hAnsi="Courier New"/>
                <w:b w:val="false"/>
                <w:bCs w:val="false"/>
                <w:i w:val="false"/>
                <w:iCs w:val="false"/>
                <w:sz w:val="19"/>
                <w:szCs w:val="19"/>
              </w:rPr>
              <w:t xml:space="preserve">Probability of occurrence of harm  =  P1 x P2</w:t>
            </w:r>
          </w:p>
        </w:tc>
      </w:tr>
    </w:tbl>
    <w:p>
      <w:pPr>
        <w:spacing w:after="120" w:before="0"/>
      </w:pPr>
      <w:r>
        <w:rPr>
          <w:b w:val="false"/>
          <w:bCs w:val="false"/>
          <w:i w:val="false"/>
          <w:iCs w:val="false"/>
          <w:sz w:val="21"/>
          <w:szCs w:val="21"/>
        </w:rPr>
        <w:t xml:space="preserve">The decomposition is described in ISO 14971:2019 Annex C and in ISO/TR 24971:2020. The reason to separate the two is not arithmetic - it is that they are defended with completely different evidence.</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5040"/>
        <w:gridCol w:w="5040"/>
      </w:tblGrid>
      <w:tr>
        <w:trPr>
          <w:tblHeader/>
        </w:trPr>
        <w:tc>
          <w:tcPr>
            <w:tcW w:type="dxa" w:w="504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P1 is defended with engineering</w:t>
            </w:r>
          </w:p>
        </w:tc>
        <w:tc>
          <w:tcPr>
            <w:tcW w:type="dxa" w:w="504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P2 is defended clinically</w:t>
            </w:r>
          </w:p>
        </w:tc>
      </w:tr>
      <w:tr>
        <w:trPr>
          <w:cantSplit/>
        </w:trPr>
        <w:tc>
          <w:tcPr>
            <w:tcW w:type="dxa" w:w="50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Failure rates, bench test results and field return rates</w:t>
            </w:r>
          </w:p>
        </w:tc>
        <w:tc>
          <w:tcPr>
            <w:tcW w:type="dxa" w:w="50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Who is exposed, and for how long</w:t>
            </w:r>
          </w:p>
        </w:tc>
      </w:tr>
      <w:tr>
        <w:trPr>
          <w:cantSplit/>
        </w:trPr>
        <w:tc>
          <w:tcPr>
            <w:tcW w:type="dxa" w:w="504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Use frequency and exposure in the intended environment</w:t>
            </w:r>
          </w:p>
        </w:tc>
        <w:tc>
          <w:tcPr>
            <w:tcW w:type="dxa" w:w="504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Whether the harm is detectable before it becomes harm</w:t>
            </w:r>
          </w:p>
        </w:tc>
      </w:tr>
      <w:tr>
        <w:trPr>
          <w:cantSplit/>
        </w:trPr>
        <w:tc>
          <w:tcPr>
            <w:tcW w:type="dxa" w:w="50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Observed rates from complaints and service data</w:t>
            </w:r>
          </w:p>
        </w:tc>
        <w:tc>
          <w:tcPr>
            <w:tcW w:type="dxa" w:w="50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Whether it is reversible, and whether anyone intervenes in time</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bCs/>
                <w:i w:val="false"/>
                <w:iCs w:val="false"/>
                <w:sz w:val="20"/>
                <w:szCs w:val="20"/>
              </w:rPr>
              <w:t xml:space="preserve">One row per hazardous situation, not one row per hazard.</w:t>
            </w:r>
            <w:r>
              <w:rPr>
                <w:b w:val="false"/>
                <w:bCs w:val="false"/>
                <w:i w:val="false"/>
                <w:iCs w:val="false"/>
                <w:sz w:val="20"/>
                <w:szCs w:val="20"/>
              </w:rPr>
              <w:t xml:space="preserve"> A single hazard reaches several hazardous situations by several sequences, and each one carries its own probability and often its own severity. Collapsing them into one row is what makes a probability estimate impossible to defend: a reviewer who asks "which half of this number is clinical?" gets silence.</w:t>
            </w:r>
          </w:p>
        </w:tc>
      </w:tr>
    </w:tbl>
    <w:p>
      <w:pPr>
        <w:pStyle w:val="Heading1"/>
      </w:pPr>
      <w:r>
        <w:t xml:space="preserve">6  Risk control and residual risk</w:t>
      </w:r>
    </w:p>
    <w:p>
      <w:pPr>
        <w:pStyle w:val="Heading2"/>
      </w:pPr>
      <w:r>
        <w:t xml:space="preserve">6.1  The order of priority is an order</w:t>
      </w:r>
    </w:p>
    <w:p>
      <w:pPr>
        <w:spacing w:after="120" w:before="0"/>
      </w:pPr>
      <w:r>
        <w:rPr>
          <w:b w:val="false"/>
          <w:bCs w:val="false"/>
          <w:i w:val="false"/>
          <w:iCs w:val="false"/>
          <w:sz w:val="21"/>
          <w:szCs w:val="21"/>
        </w:rPr>
        <w:t xml:space="preserve">ISO 14971 Clause 7.1 and MDR Annex I point 4 say the same thing, and both say it as a sequence. MDR point 4 is worth quoting because the wording is unambiguous: "In selecting the most appropriate solutions, manufacturers shall, in the following order of priority". And before the list, point 4 requires that the residual risk associated with </w:t>
      </w:r>
      <w:r>
        <w:rPr>
          <w:b/>
          <w:bCs/>
          <w:i w:val="false"/>
          <w:iCs w:val="false"/>
          <w:sz w:val="21"/>
          <w:szCs w:val="21"/>
        </w:rPr>
        <w:t xml:space="preserve">each hazard</w:t>
      </w:r>
      <w:r>
        <w:rPr>
          <w:b w:val="false"/>
          <w:bCs w:val="false"/>
          <w:i w:val="false"/>
          <w:iCs w:val="false"/>
          <w:sz w:val="21"/>
          <w:szCs w:val="21"/>
        </w:rPr>
        <w:t xml:space="preserve"> as well as the </w:t>
      </w:r>
      <w:r>
        <w:rPr>
          <w:b/>
          <w:bCs/>
          <w:i w:val="false"/>
          <w:iCs w:val="false"/>
          <w:sz w:val="21"/>
          <w:szCs w:val="21"/>
        </w:rPr>
        <w:t xml:space="preserve">overall</w:t>
      </w:r>
      <w:r>
        <w:rPr>
          <w:b w:val="false"/>
          <w:bCs w:val="false"/>
          <w:i w:val="false"/>
          <w:iCs w:val="false"/>
          <w:sz w:val="21"/>
          <w:szCs w:val="21"/>
        </w:rPr>
        <w:t xml:space="preserve"> residual risk be judged acceptable.</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700"/>
        <w:gridCol w:w="5680"/>
        <w:gridCol w:w="3700"/>
      </w:tblGrid>
      <w:tr>
        <w:trPr>
          <w:tblHeader/>
        </w:trPr>
        <w:tc>
          <w:tcPr>
            <w:tcW w:type="dxa" w:w="7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Order</w:t>
            </w:r>
          </w:p>
        </w:tc>
        <w:tc>
          <w:tcPr>
            <w:tcW w:type="dxa" w:w="56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The option</w:t>
            </w:r>
          </w:p>
        </w:tc>
        <w:tc>
          <w:tcPr>
            <w:tcW w:type="dxa" w:w="37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it does to the probabilities</w:t>
            </w:r>
          </w:p>
        </w:tc>
      </w:tr>
      <w:tr>
        <w:trPr>
          <w:cantSplit/>
        </w:trPr>
        <w:tc>
          <w:tcPr>
            <w:tcW w:type="dxa" w:w="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w:t>
            </w:r>
          </w:p>
        </w:tc>
        <w:tc>
          <w:tcPr>
            <w:tcW w:type="dxa" w:w="5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Inherent safety by design and manufacture: eliminate the hazard, or eliminate the sequence of events that reaches it</w:t>
            </w:r>
          </w:p>
        </w:tc>
        <w:tc>
          <w:tcPr>
            <w:tcW w:type="dxa" w:w="37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Changes P1. The only option that can take a hazardous situation off the table</w:t>
            </w:r>
          </w:p>
        </w:tc>
      </w:tr>
      <w:tr>
        <w:trPr>
          <w:cantSplit/>
        </w:trPr>
        <w:tc>
          <w:tcPr>
            <w:tcW w:type="dxa" w:w="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2</w:t>
            </w:r>
          </w:p>
        </w:tc>
        <w:tc>
          <w:tcPr>
            <w:tcW w:type="dxa" w:w="5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Adequate protection measures, including alarms if necessary, in relation to risks that cannot be eliminated</w:t>
            </w:r>
          </w:p>
        </w:tc>
        <w:tc>
          <w:tcPr>
            <w:tcW w:type="dxa" w:w="37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Usually changes P1; sometimes changes P2 where it buys time to intervene</w:t>
            </w:r>
          </w:p>
        </w:tc>
      </w:tr>
      <w:tr>
        <w:trPr>
          <w:cantSplit/>
        </w:trPr>
        <w:tc>
          <w:tcPr>
            <w:tcW w:type="dxa" w:w="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3</w:t>
            </w:r>
          </w:p>
        </w:tc>
        <w:tc>
          <w:tcPr>
            <w:tcW w:type="dxa" w:w="5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Information for safety - warnings, precautions, contra-indications - and, where appropriate, training to users</w:t>
            </w:r>
          </w:p>
        </w:tc>
        <w:tc>
          <w:tcPr>
            <w:tcW w:type="dxa" w:w="37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Rarely changes P1 at all. May change P2 if it changes what the user does in time</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bCs/>
                <w:i w:val="false"/>
                <w:iCs w:val="false"/>
                <w:sz w:val="20"/>
                <w:szCs w:val="20"/>
              </w:rPr>
              <w:t xml:space="preserve">You may stop at option 2 or 3. You may not stop without a record of why the higher option was not practicable</w:t>
            </w:r>
            <w:r>
              <w:rPr>
                <w:b w:val="false"/>
                <w:bCs w:val="false"/>
                <w:i w:val="false"/>
                <w:iCs w:val="false"/>
                <w:sz w:val="20"/>
                <w:szCs w:val="20"/>
              </w:rPr>
              <w:t xml:space="preserve"> - and under MDR Annex I point 2, that record cannot rest on cost.</w:t>
            </w:r>
          </w:p>
          <w:p>
            <w:pPr>
              <w:spacing w:after="60"/>
            </w:pPr>
            <w:r>
              <w:rPr>
                <w:b w:val="false"/>
                <w:bCs w:val="false"/>
                <w:i w:val="false"/>
                <w:iCs w:val="false"/>
                <w:sz w:val="20"/>
                <w:szCs w:val="20"/>
              </w:rPr>
              <w:t xml:space="preserve">MDR point 4 closes with a sentence people forget because it sits after the list: "Manufacturers shall inform users of any residual risks." Not significant residual risks - </w:t>
            </w:r>
            <w:r>
              <w:rPr>
                <w:b/>
                <w:bCs/>
                <w:i w:val="false"/>
                <w:iCs w:val="false"/>
                <w:sz w:val="20"/>
                <w:szCs w:val="20"/>
              </w:rPr>
              <w:t xml:space="preserve">any</w:t>
            </w:r>
            <w:r>
              <w:rPr>
                <w:b w:val="false"/>
                <w:bCs w:val="false"/>
                <w:i w:val="false"/>
                <w:iCs w:val="false"/>
                <w:sz w:val="20"/>
                <w:szCs w:val="20"/>
              </w:rPr>
              <w:t xml:space="preserve">. That is broader than ISO 14971 Clause 8, which speaks of significant residual risks in the accompanying documentation.</w:t>
            </w:r>
          </w:p>
        </w:tc>
      </w:tr>
    </w:tbl>
    <w:p>
      <w:pPr>
        <w:spacing w:after="120" w:before="0"/>
      </w:pPr>
      <w:r>
        <w:rPr>
          <w:b w:val="false"/>
          <w:bCs w:val="false"/>
          <w:i/>
          <w:iCs/>
          <w:color w:val="5A6B7B"/>
          <w:sz w:val="17"/>
          <w:szCs w:val="17"/>
        </w:rPr>
        <w:t xml:space="preserve">Information for safety does not reduce the probability that the hazardous situation arises. A warning cannot stop an occlusion forming. If a risk file credits an information-for-safety control with a large drop in P1, that is the row a reviewer opens first.</w:t>
      </w:r>
    </w:p>
    <w:p>
      <w:pPr>
        <w:pStyle w:val="Heading2"/>
      </w:pPr>
      <w:r>
        <w:t xml:space="preserve">6.2  Clause 7.2 asks for two verifications</w:t>
      </w:r>
    </w:p>
    <w:p>
      <w:pPr>
        <w:spacing w:after="120" w:before="0"/>
      </w:pPr>
      <w:r>
        <w:rPr>
          <w:b w:val="false"/>
          <w:bCs w:val="false"/>
          <w:i w:val="false"/>
          <w:iCs w:val="false"/>
          <w:sz w:val="21"/>
          <w:szCs w:val="21"/>
        </w:rPr>
        <w:t xml:space="preserve">Clause 7.2 requires verification of the </w:t>
      </w:r>
      <w:r>
        <w:rPr>
          <w:b/>
          <w:bCs/>
          <w:i w:val="false"/>
          <w:iCs w:val="false"/>
          <w:sz w:val="21"/>
          <w:szCs w:val="21"/>
        </w:rPr>
        <w:t xml:space="preserve">implementation</w:t>
      </w:r>
      <w:r>
        <w:rPr>
          <w:b w:val="false"/>
          <w:bCs w:val="false"/>
          <w:i w:val="false"/>
          <w:iCs w:val="false"/>
          <w:sz w:val="21"/>
          <w:szCs w:val="21"/>
        </w:rPr>
        <w:t xml:space="preserve"> of each risk control measure, and verification of the </w:t>
      </w:r>
      <w:r>
        <w:rPr>
          <w:b/>
          <w:bCs/>
          <w:i w:val="false"/>
          <w:iCs w:val="false"/>
          <w:sz w:val="21"/>
          <w:szCs w:val="21"/>
        </w:rPr>
        <w:t xml:space="preserve">effectiveness</w:t>
      </w:r>
      <w:r>
        <w:rPr>
          <w:b w:val="false"/>
          <w:bCs w:val="false"/>
          <w:i w:val="false"/>
          <w:iCs w:val="false"/>
          <w:sz w:val="21"/>
          <w:szCs w:val="21"/>
        </w:rPr>
        <w:t xml:space="preserve"> of each risk control measure. Two verifications, two records, different evidence. The second is the one that gets skipped, because the answer has to connect back to the number written in the residual risk column.</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900"/>
        <w:gridCol w:w="4090"/>
        <w:gridCol w:w="4090"/>
      </w:tblGrid>
      <w:tr>
        <w:trPr>
          <w:tblHeader/>
        </w:trPr>
        <w:tc>
          <w:tcPr>
            <w:tcW w:type="dxa" w:w="19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Control category</w:t>
            </w:r>
          </w:p>
        </w:tc>
        <w:tc>
          <w:tcPr>
            <w:tcW w:type="dxa" w:w="409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Verification of IMPLEMENTATION</w:t>
            </w:r>
          </w:p>
        </w:tc>
        <w:tc>
          <w:tcPr>
            <w:tcW w:type="dxa" w:w="409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Verification of EFFECTIVENESS</w:t>
            </w:r>
          </w:p>
        </w:tc>
      </w:tr>
      <w:tr>
        <w:trPr>
          <w:cantSplit/>
        </w:trP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  Inherent safety by design</w:t>
            </w:r>
          </w:p>
        </w:tc>
        <w:tc>
          <w:tcPr>
            <w:tcW w:type="dxa" w:w="409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Drawing or specification revision; design verification report; build records showing the change is in the product</w:t>
            </w:r>
          </w:p>
        </w:tc>
        <w:tc>
          <w:tcPr>
            <w:tcW w:type="dxa" w:w="409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Test that the hazardous situation can no longer arise, or arises at the claimed lower rate. Field data after the change</w:t>
            </w:r>
          </w:p>
        </w:tc>
      </w:tr>
      <w:tr>
        <w:trPr>
          <w:cantSplit/>
        </w:trP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2  Protective measure</w:t>
            </w:r>
          </w:p>
        </w:tc>
        <w:tc>
          <w:tcPr>
            <w:tcW w:type="dxa" w:w="409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Specification and design verification of the guard, interlock, detector or lockout; production test records</w:t>
            </w:r>
          </w:p>
        </w:tc>
        <w:tc>
          <w:tcPr>
            <w:tcW w:type="dxa" w:w="409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Challenge the measure under worst-case conditions across the full operating range, not only at nominal. Show that it triggers</w:t>
            </w:r>
          </w:p>
        </w:tc>
      </w:tr>
      <w:tr>
        <w:trPr>
          <w:cantSplit/>
        </w:trP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2  Alarm</w:t>
            </w:r>
          </w:p>
        </w:tc>
        <w:tc>
          <w:tcPr>
            <w:tcW w:type="dxa" w:w="409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Alarm specification, levels and priorities verified against the design input</w:t>
            </w:r>
          </w:p>
        </w:tc>
        <w:tc>
          <w:tcPr>
            <w:tcW w:type="dxa" w:w="409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Audibility and comprehension in the real use environment with the real user. A bench sound-pressure measurement is implementation, not effectiveness</w:t>
            </w:r>
          </w:p>
        </w:tc>
      </w:tr>
      <w:tr>
        <w:trPr>
          <w:cantSplit/>
        </w:trP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3  Information for safety</w:t>
            </w:r>
          </w:p>
        </w:tc>
        <w:tc>
          <w:tcPr>
            <w:tcW w:type="dxa" w:w="409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IFU or label approval record; artwork release; training material release</w:t>
            </w:r>
          </w:p>
        </w:tc>
        <w:tc>
          <w:tcPr>
            <w:tcW w:type="dxa" w:w="409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Usability evidence that users find it, understand it and act on it. </w:t>
            </w:r>
            <w:r>
              <w:rPr>
                <w:b/>
                <w:bCs/>
                <w:i w:val="false"/>
                <w:iCs w:val="false"/>
                <w:sz w:val="19"/>
                <w:szCs w:val="19"/>
              </w:rPr>
              <w:t xml:space="preserve">An approved IFU is not effectiveness evidence.</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bCs/>
                <w:i w:val="false"/>
                <w:iCs w:val="false"/>
                <w:sz w:val="20"/>
                <w:szCs w:val="20"/>
              </w:rPr>
              <w:t xml:space="preserve">The test for an effectiveness record:</w:t>
            </w:r>
            <w:r>
              <w:rPr>
                <w:b w:val="false"/>
                <w:bCs w:val="false"/>
                <w:i w:val="false"/>
                <w:iCs w:val="false"/>
                <w:sz w:val="20"/>
                <w:szCs w:val="20"/>
              </w:rPr>
              <w:t xml:space="preserve"> does the evidence support the size of the reduction claimed in the residual risk column? If you credited a control with moving P1 from 4 to 2, the effectiveness record has to support a two-order-of-magnitude claim. If it does not, the residual estimate is unsupported and the row fails.</w:t>
            </w:r>
          </w:p>
        </w:tc>
      </w:tr>
    </w:tbl>
    <w:p>
      <w:pPr>
        <w:pStyle w:val="Heading2"/>
      </w:pPr>
      <w:r>
        <w:t xml:space="preserve">6.3  The two clauses procedures stop short of</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900"/>
        <w:gridCol w:w="7180"/>
      </w:tblGrid>
      <w:tr>
        <w:trPr>
          <w:tblHeader/>
        </w:trPr>
        <w:tc>
          <w:tcPr>
            <w:tcW w:type="dxa" w:w="29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Clause</w:t>
            </w:r>
          </w:p>
        </w:tc>
        <w:tc>
          <w:tcPr>
            <w:tcW w:type="dxa" w:w="71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it requires</w:t>
            </w:r>
          </w:p>
        </w:tc>
      </w:tr>
      <w:tr>
        <w:trPr>
          <w:cantSplit/>
        </w:trPr>
        <w:tc>
          <w:tcPr>
            <w:tcW w:type="dxa" w:w="2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7.5  Risks arising from risk control measures</w:t>
            </w:r>
          </w:p>
        </w:tc>
        <w:tc>
          <w:tcPr>
            <w:tcW w:type="dxa" w:w="7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Review the effects of the risk control measures for (i) new hazards or hazardous situations introduced and (ii) whether the estimated risks for previously identified hazardous situations are affected. Any new or increased risk is managed in accordance with 5.5 to 7.4 - which means it gets its own row, its own estimate and its own residual risk</w:t>
            </w:r>
          </w:p>
        </w:tc>
      </w:tr>
      <w:tr>
        <w:trPr>
          <w:cantSplit/>
        </w:trPr>
        <w:tc>
          <w:tcPr>
            <w:tcW w:type="dxa" w:w="2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7.6  Completeness of risk control</w:t>
            </w:r>
          </w:p>
        </w:tc>
        <w:tc>
          <w:tcPr>
            <w:tcW w:type="dxa" w:w="7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Confirm that the risks from all identified hazardous situations have been considered. Because Clause 6 routes acceptable risks straight here, 7.6 covers every hazardous situation, controlled or not</w:t>
            </w:r>
          </w:p>
        </w:tc>
      </w:tr>
    </w:tbl>
    <w:p>
      <w:pPr>
        <w:pStyle w:val="Heading3"/>
      </w:pPr>
      <w:r>
        <w:t xml:space="preserve">Real examples of a control creating a risk</w:t>
      </w:r>
    </w:p>
    <w:p>
      <w:pPr>
        <w:pStyle w:val="ListParagraph"/>
        <w:numPr>
          <w:ilvl w:val="0"/>
          <w:numId w:val="2"/>
        </w:numPr>
        <w:spacing w:after="60"/>
      </w:pPr>
      <w:r>
        <w:rPr>
          <w:b w:val="false"/>
          <w:bCs w:val="false"/>
          <w:i w:val="false"/>
          <w:iCs w:val="false"/>
          <w:sz w:val="21"/>
          <w:szCs w:val="21"/>
        </w:rPr>
        <w:t xml:space="preserve">An escalating alarm profile solves audibility, and creates alarm fatigue and caregiver dependence.</w:t>
      </w:r>
    </w:p>
    <w:p>
      <w:pPr>
        <w:pStyle w:val="ListParagraph"/>
        <w:numPr>
          <w:ilvl w:val="0"/>
          <w:numId w:val="2"/>
        </w:numPr>
        <w:spacing w:after="60"/>
      </w:pPr>
      <w:r>
        <w:rPr>
          <w:b w:val="false"/>
          <w:bCs w:val="false"/>
          <w:i w:val="false"/>
          <w:iCs w:val="false"/>
          <w:sz w:val="21"/>
          <w:szCs w:val="21"/>
        </w:rPr>
        <w:t xml:space="preserve">A plasticiser-free administration set solves leachables, and changes tubing stiffness and therefore pumping accuracy.</w:t>
      </w:r>
    </w:p>
    <w:p>
      <w:pPr>
        <w:pStyle w:val="ListParagraph"/>
        <w:numPr>
          <w:ilvl w:val="0"/>
          <w:numId w:val="2"/>
        </w:numPr>
        <w:spacing w:after="60"/>
      </w:pPr>
      <w:r>
        <w:rPr>
          <w:b w:val="false"/>
          <w:bCs w:val="false"/>
          <w:i w:val="false"/>
          <w:iCs w:val="false"/>
          <w:sz w:val="21"/>
          <w:szCs w:val="21"/>
        </w:rPr>
        <w:t xml:space="preserve">A stronger pouch seal solves sterile barrier integrity in distribution, and makes aseptic opening harder.</w:t>
      </w:r>
    </w:p>
    <w:p>
      <w:pPr>
        <w:pStyle w:val="ListParagraph"/>
        <w:numPr>
          <w:ilvl w:val="0"/>
          <w:numId w:val="2"/>
        </w:numPr>
        <w:spacing w:after="60"/>
      </w:pPr>
      <w:r>
        <w:rPr>
          <w:b w:val="false"/>
          <w:bCs w:val="false"/>
          <w:i w:val="false"/>
          <w:iCs w:val="false"/>
          <w:sz w:val="21"/>
          <w:szCs w:val="21"/>
        </w:rPr>
        <w:t xml:space="preserve">A hard dose limit solves programming error, and creates a workaround where clinicians split doses across two pumps.</w:t>
      </w:r>
    </w:p>
    <w:p>
      <w:pPr>
        <w:pStyle w:val="Heading2"/>
      </w:pPr>
      <w:r>
        <w:t xml:space="preserve">6.4  7.3, 7.4 and 8 are three different questions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400"/>
        <w:gridCol w:w="4640"/>
        <w:gridCol w:w="3040"/>
      </w:tblGrid>
      <w:tr>
        <w:trPr>
          <w:tblHeader/>
        </w:trPr>
        <w:tc>
          <w:tcPr>
            <w:tcW w:type="dxa" w:w="24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Clause</w:t>
            </w:r>
          </w:p>
        </w:tc>
        <w:tc>
          <w:tcPr>
            <w:tcW w:type="dxa" w:w="464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The question</w:t>
            </w:r>
          </w:p>
        </w:tc>
        <w:tc>
          <w:tcPr>
            <w:tcW w:type="dxa" w:w="304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Scope</w:t>
            </w:r>
          </w:p>
        </w:tc>
      </w:tr>
      <w:tr>
        <w:trPr>
          <w:cantSplit/>
        </w:trPr>
        <w:tc>
          <w:tcPr>
            <w:tcW w:type="dxa" w:w="2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7.3  Residual risk evaluation</w:t>
            </w:r>
          </w:p>
        </w:tc>
        <w:tc>
          <w:tcPr>
            <w:tcW w:type="dxa" w:w="46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Is this residual risk acceptable against the criteria the plan declared?</w:t>
            </w:r>
          </w:p>
        </w:tc>
        <w:tc>
          <w:tcPr>
            <w:tcW w:type="dxa" w:w="30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Per risk. If yes, done. If no, go to 7.4</w:t>
            </w:r>
          </w:p>
        </w:tc>
      </w:tr>
      <w:tr>
        <w:trPr>
          <w:cantSplit/>
        </w:trPr>
        <w:tc>
          <w:tcPr>
            <w:tcW w:type="dxa" w:w="2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7.4  Benefit-risk analysis</w:t>
            </w:r>
          </w:p>
        </w:tc>
        <w:tc>
          <w:tcPr>
            <w:tcW w:type="dxa" w:w="464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Do the benefits of the intended use outweigh this residual risk?</w:t>
            </w:r>
          </w:p>
        </w:tc>
        <w:tc>
          <w:tcPr>
            <w:tcW w:type="dxa" w:w="304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Per risk, and conditional. It applies only where the residual risk is NOT acceptable AND further risk control is not practicable. Two gates</w:t>
            </w:r>
          </w:p>
        </w:tc>
      </w:tr>
      <w:tr>
        <w:trPr>
          <w:cantSplit/>
        </w:trPr>
        <w:tc>
          <w:tcPr>
            <w:tcW w:type="dxa" w:w="2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8  Overall residual risk</w:t>
            </w:r>
          </w:p>
        </w:tc>
        <w:tc>
          <w:tcPr>
            <w:tcW w:type="dxa" w:w="46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Is the overall residual risk of the device acceptable, by the method and criteria the plan declared?</w:t>
            </w:r>
          </w:p>
        </w:tc>
        <w:tc>
          <w:tcPr>
            <w:tcW w:type="dxa" w:w="30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Per device. Not the sum of the rows</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9ECEA" w:color="auto" w:val="clear"/>
            <w:tcMar>
              <w:top w:type="dxa" w:w="140"/>
              <w:left w:type="dxa" w:w="200"/>
              <w:bottom w:type="dxa" w:w="140"/>
              <w:right w:type="dxa" w:w="200"/>
            </w:tcMar>
          </w:tcPr>
          <w:p>
            <w:pPr>
              <w:spacing w:after="60"/>
            </w:pPr>
            <w:r>
              <w:rPr>
                <w:b/>
                <w:bCs/>
                <w:i w:val="false"/>
                <w:iCs w:val="false"/>
                <w:sz w:val="20"/>
                <w:szCs w:val="20"/>
              </w:rPr>
              <w:t xml:space="preserve">A benefit-risk analysis used as a shortcut around risk control is a finding, not a conclusion.</w:t>
            </w:r>
            <w:r>
              <w:rPr>
                <w:b w:val="false"/>
                <w:bCs w:val="false"/>
                <w:i w:val="false"/>
                <w:iCs w:val="false"/>
                <w:sz w:val="20"/>
                <w:szCs w:val="20"/>
              </w:rPr>
              <w:t xml:space="preserve"> Clause 7.4 has two gates, and "further risk control is not practicable" has to be argued and recorded - on a basis that, for an EU device, is not economic.</w:t>
            </w:r>
          </w:p>
        </w:tc>
      </w:tr>
    </w:tbl>
    <w:p>
      <w:pPr>
        <w:pStyle w:val="Heading3"/>
      </w:pPr>
      <w:r>
        <w:t xml:space="preserve">What a credible Clause 8 evaluation considers</w:t>
      </w:r>
    </w:p>
    <w:p>
      <w:pPr>
        <w:pStyle w:val="ListParagraph"/>
        <w:numPr>
          <w:ilvl w:val="0"/>
          <w:numId w:val="2"/>
        </w:numPr>
        <w:spacing w:after="60"/>
      </w:pPr>
      <w:r>
        <w:rPr>
          <w:b w:val="false"/>
          <w:bCs w:val="false"/>
          <w:i w:val="false"/>
          <w:iCs w:val="false"/>
          <w:sz w:val="21"/>
          <w:szCs w:val="21"/>
        </w:rPr>
        <w:t xml:space="preserve">The combination of individual residual risks, particularly where they affect the same patient episode.</w:t>
      </w:r>
    </w:p>
    <w:p>
      <w:pPr>
        <w:pStyle w:val="ListParagraph"/>
        <w:numPr>
          <w:ilvl w:val="0"/>
          <w:numId w:val="2"/>
        </w:numPr>
        <w:spacing w:after="60"/>
      </w:pPr>
      <w:r>
        <w:rPr>
          <w:b w:val="false"/>
          <w:bCs w:val="false"/>
          <w:i w:val="false"/>
          <w:iCs w:val="false"/>
          <w:sz w:val="21"/>
          <w:szCs w:val="21"/>
        </w:rPr>
        <w:t xml:space="preserve">Risks arising from a single common cause, where one failure produces several hazardous situations at once.</w:t>
      </w:r>
    </w:p>
    <w:p>
      <w:pPr>
        <w:pStyle w:val="ListParagraph"/>
        <w:numPr>
          <w:ilvl w:val="0"/>
          <w:numId w:val="2"/>
        </w:numPr>
        <w:spacing w:after="60"/>
      </w:pPr>
      <w:r>
        <w:rPr>
          <w:b w:val="false"/>
          <w:bCs w:val="false"/>
          <w:i w:val="false"/>
          <w:iCs w:val="false"/>
          <w:sz w:val="21"/>
          <w:szCs w:val="21"/>
        </w:rPr>
        <w:t xml:space="preserve">Conflicting requirements between risk controls, and how the conflicts were resolved.</w:t>
      </w:r>
    </w:p>
    <w:p>
      <w:pPr>
        <w:pStyle w:val="ListParagraph"/>
        <w:numPr>
          <w:ilvl w:val="0"/>
          <w:numId w:val="2"/>
        </w:numPr>
        <w:spacing w:after="60"/>
      </w:pPr>
      <w:r>
        <w:rPr>
          <w:b w:val="false"/>
          <w:bCs w:val="false"/>
          <w:i w:val="false"/>
          <w:iCs w:val="false"/>
          <w:sz w:val="21"/>
          <w:szCs w:val="21"/>
        </w:rPr>
        <w:t xml:space="preserve">The number and nature of warnings and instructions that safety rests on. A device whose safety rests on a stack of warnings has a higher overall residual risk than the individual rows suggest.</w:t>
      </w:r>
    </w:p>
    <w:p>
      <w:pPr>
        <w:pStyle w:val="ListParagraph"/>
        <w:numPr>
          <w:ilvl w:val="0"/>
          <w:numId w:val="2"/>
        </w:numPr>
        <w:spacing w:after="60"/>
      </w:pPr>
      <w:r>
        <w:rPr>
          <w:b w:val="false"/>
          <w:bCs w:val="false"/>
          <w:i w:val="false"/>
          <w:iCs w:val="false"/>
          <w:sz w:val="21"/>
          <w:szCs w:val="21"/>
        </w:rPr>
        <w:t xml:space="preserve">Comparison with similar devices on the market and the generally acknowledged state of the art.</w:t>
      </w:r>
    </w:p>
    <w:p>
      <w:pPr>
        <w:pStyle w:val="ListParagraph"/>
        <w:numPr>
          <w:ilvl w:val="0"/>
          <w:numId w:val="2"/>
        </w:numPr>
        <w:spacing w:after="60"/>
      </w:pPr>
      <w:r>
        <w:rPr>
          <w:b w:val="false"/>
          <w:bCs w:val="false"/>
          <w:i w:val="false"/>
          <w:iCs w:val="false"/>
          <w:sz w:val="21"/>
          <w:szCs w:val="21"/>
        </w:rPr>
        <w:t xml:space="preserve">The clinical benefit and the benefit-risk conclusion.</w:t>
      </w:r>
    </w:p>
    <w:p>
      <w:pPr>
        <w:pStyle w:val="ListParagraph"/>
        <w:numPr>
          <w:ilvl w:val="0"/>
          <w:numId w:val="2"/>
        </w:numPr>
        <w:spacing w:after="60"/>
      </w:pPr>
      <w:r>
        <w:rPr>
          <w:b w:val="false"/>
          <w:bCs w:val="false"/>
          <w:i w:val="false"/>
          <w:iCs w:val="false"/>
          <w:sz w:val="21"/>
          <w:szCs w:val="21"/>
        </w:rPr>
        <w:t xml:space="preserve">Information from production and post-production, for a device already on the market.</w:t>
      </w:r>
    </w:p>
    <w:p>
      <w:pPr>
        <w:pStyle w:val="ListParagraph"/>
        <w:numPr>
          <w:ilvl w:val="0"/>
          <w:numId w:val="2"/>
        </w:numPr>
        <w:spacing w:after="60"/>
      </w:pPr>
      <w:r>
        <w:rPr>
          <w:b w:val="false"/>
          <w:bCs w:val="false"/>
          <w:i w:val="false"/>
          <w:iCs w:val="false"/>
          <w:sz w:val="21"/>
          <w:szCs w:val="21"/>
        </w:rPr>
        <w:t xml:space="preserve">Disclosure of significant residual risks in the accompanying information.</w:t>
      </w:r>
    </w:p>
    <w:p>
      <w:pPr>
        <w:pStyle w:val="ListParagraph"/>
        <w:numPr>
          <w:ilvl w:val="0"/>
          <w:numId w:val="2"/>
        </w:numPr>
        <w:spacing w:after="60"/>
      </w:pPr>
      <w:r>
        <w:rPr>
          <w:b w:val="false"/>
          <w:bCs w:val="false"/>
          <w:i w:val="false"/>
          <w:iCs w:val="false"/>
          <w:sz w:val="21"/>
          <w:szCs w:val="21"/>
        </w:rPr>
        <w:t xml:space="preserve">The conclusion, stated against the criteria the plan declared, signed by someone with the authority to sign it.</w:t>
      </w:r>
    </w:p>
    <w:p>
      <w:pPr>
        <w:spacing w:after="120" w:before="0"/>
      </w:pPr>
      <w:r>
        <w:rPr>
          <w:b w:val="false"/>
          <w:bCs w:val="false"/>
          <w:i/>
          <w:iCs/>
          <w:color w:val="5A6B7B"/>
          <w:sz w:val="17"/>
          <w:szCs w:val="17"/>
        </w:rPr>
        <w:t xml:space="preserve">Team-NB’s Position Paper on Technical Documentation under the MDR, V3, 9 April 2025, states that the MDR does not permit risk acceptance based on a risk priority number alone or on a "green" zone: the acceptability of each risk must be decided individually against predefined criteria. It also expects a statement that the clinical benefits outweigh all the residual risks, and three distinct risk assessments - design, production and process, and clinical or application.</w:t>
      </w:r>
    </w:p>
    <w:p>
      <w:r>
        <w:br w:type="page"/>
      </w:r>
    </w:p>
    <w:p>
      <w:pPr>
        <w:pStyle w:val="Heading1"/>
      </w:pPr>
      <w:r>
        <w:t xml:space="preserve">7  Closing the loop</w:t>
      </w:r>
    </w:p>
    <w:p>
      <w:pPr>
        <w:pStyle w:val="Heading2"/>
      </w:pPr>
      <w:r>
        <w:t xml:space="preserve">7.1  Clause 10: four questions of every input</w:t>
      </w:r>
    </w:p>
    <w:p>
      <w:pPr>
        <w:spacing w:after="120" w:before="0"/>
      </w:pPr>
      <w:r>
        <w:rPr>
          <w:b w:val="false"/>
          <w:bCs w:val="false"/>
          <w:i w:val="false"/>
          <w:iCs w:val="false"/>
          <w:sz w:val="21"/>
          <w:szCs w:val="21"/>
        </w:rPr>
        <w:t xml:space="preserve">Clause 10 has four subclauses: 10.1 general, 10.2 information collection, 10.3 information review, 10.4 actions. The plan has to name the activities under Clause 4.4 g). This is the clause most often found empty on a device that has been marketed for years.</w:t>
      </w:r>
    </w:p>
    <w:p>
      <w:pPr>
        <w:pStyle w:val="Heading3"/>
      </w:pPr>
      <w:r>
        <w:t xml:space="preserve">10.2  Sources you have to collect from</w:t>
      </w:r>
    </w:p>
    <w:p>
      <w:pPr>
        <w:pStyle w:val="ListParagraph"/>
        <w:numPr>
          <w:ilvl w:val="0"/>
          <w:numId w:val="2"/>
        </w:numPr>
        <w:spacing w:after="60"/>
      </w:pPr>
      <w:r>
        <w:rPr>
          <w:b w:val="false"/>
          <w:bCs w:val="false"/>
          <w:i w:val="false"/>
          <w:iCs w:val="false"/>
          <w:sz w:val="21"/>
          <w:szCs w:val="21"/>
        </w:rPr>
        <w:t xml:space="preserve">Information generated during production and the monitoring of the production process.</w:t>
      </w:r>
    </w:p>
    <w:p>
      <w:pPr>
        <w:pStyle w:val="ListParagraph"/>
        <w:numPr>
          <w:ilvl w:val="0"/>
          <w:numId w:val="2"/>
        </w:numPr>
        <w:spacing w:after="60"/>
      </w:pPr>
      <w:r>
        <w:rPr>
          <w:b w:val="false"/>
          <w:bCs w:val="false"/>
          <w:i w:val="false"/>
          <w:iCs w:val="false"/>
          <w:sz w:val="21"/>
          <w:szCs w:val="21"/>
        </w:rPr>
        <w:t xml:space="preserve">Information from the user.</w:t>
      </w:r>
    </w:p>
    <w:p>
      <w:pPr>
        <w:pStyle w:val="ListParagraph"/>
        <w:numPr>
          <w:ilvl w:val="0"/>
          <w:numId w:val="2"/>
        </w:numPr>
        <w:spacing w:after="60"/>
      </w:pPr>
      <w:r>
        <w:rPr>
          <w:b w:val="false"/>
          <w:bCs w:val="false"/>
          <w:i w:val="false"/>
          <w:iCs w:val="false"/>
          <w:sz w:val="21"/>
          <w:szCs w:val="21"/>
        </w:rPr>
        <w:t xml:space="preserve">Information from installation, servicing and maintenance.</w:t>
      </w:r>
    </w:p>
    <w:p>
      <w:pPr>
        <w:pStyle w:val="ListParagraph"/>
        <w:numPr>
          <w:ilvl w:val="0"/>
          <w:numId w:val="2"/>
        </w:numPr>
        <w:spacing w:after="60"/>
      </w:pPr>
      <w:r>
        <w:rPr>
          <w:b w:val="false"/>
          <w:bCs w:val="false"/>
          <w:i w:val="false"/>
          <w:iCs w:val="false"/>
          <w:sz w:val="21"/>
          <w:szCs w:val="21"/>
        </w:rPr>
        <w:t xml:space="preserve">Publicly available information.</w:t>
      </w:r>
    </w:p>
    <w:p>
      <w:pPr>
        <w:pStyle w:val="ListParagraph"/>
        <w:numPr>
          <w:ilvl w:val="0"/>
          <w:numId w:val="2"/>
        </w:numPr>
        <w:spacing w:after="60"/>
      </w:pPr>
      <w:r>
        <w:rPr>
          <w:b w:val="false"/>
          <w:bCs w:val="false"/>
          <w:i w:val="false"/>
          <w:iCs w:val="false"/>
          <w:sz w:val="21"/>
          <w:szCs w:val="21"/>
        </w:rPr>
        <w:t xml:space="preserve">Information on the generally acknowledged state of the art. </w:t>
      </w:r>
      <w:r>
        <w:rPr>
          <w:b/>
          <w:bCs/>
          <w:i w:val="false"/>
          <w:iCs w:val="false"/>
          <w:sz w:val="21"/>
          <w:szCs w:val="21"/>
        </w:rPr>
        <w:t xml:space="preserve">This is a named source, and it is the one nobody collects.</w:t>
      </w:r>
    </w:p>
    <w:p>
      <w:pPr>
        <w:pStyle w:val="Heading3"/>
      </w:pPr>
      <w:r>
        <w:t xml:space="preserve">10.3  The four questions, and what a "yes" costs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4200"/>
        <w:gridCol w:w="5880"/>
      </w:tblGrid>
      <w:tr>
        <w:trPr>
          <w:tblHeader/>
        </w:trPr>
        <w:tc>
          <w:tcPr>
            <w:tcW w:type="dxa" w:w="42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The question</w:t>
            </w:r>
          </w:p>
        </w:tc>
        <w:tc>
          <w:tcPr>
            <w:tcW w:type="dxa" w:w="58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If the answer is yes</w:t>
            </w:r>
          </w:p>
        </w:tc>
      </w:tr>
      <w:tr>
        <w:trPr>
          <w:cantSplit/>
        </w:trPr>
        <w:tc>
          <w:tcPr>
            <w:tcW w:type="dxa" w:w="42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Is there a previously unrecognised hazard or hazardous situation?</w:t>
            </w:r>
          </w:p>
        </w:tc>
        <w:tc>
          <w:tcPr>
            <w:tcW w:type="dxa" w:w="58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 new row. Full estimation, evaluation, control and residual risk under Clauses 5.5 to 7.4</w:t>
            </w:r>
          </w:p>
        </w:tc>
      </w:tr>
      <w:tr>
        <w:trPr>
          <w:cantSplit/>
        </w:trPr>
        <w:tc>
          <w:tcPr>
            <w:tcW w:type="dxa" w:w="42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Is an estimated risk no longer acceptable?</w:t>
            </w:r>
          </w:p>
        </w:tc>
        <w:tc>
          <w:tcPr>
            <w:tcW w:type="dxa" w:w="58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Risk control is reopened. The individual residual risk and the overall residual risk are both revisited</w:t>
            </w:r>
          </w:p>
        </w:tc>
      </w:tr>
      <w:tr>
        <w:trPr>
          <w:cantSplit/>
        </w:trPr>
        <w:tc>
          <w:tcPr>
            <w:tcW w:type="dxa" w:w="42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Is the original risk estimate no longer valid?</w:t>
            </w:r>
          </w:p>
        </w:tc>
        <w:tc>
          <w:tcPr>
            <w:tcW w:type="dxa" w:w="58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estimate is corrected and its basis updated. This is the question that catches optimistic P1 values</w:t>
            </w:r>
          </w:p>
        </w:tc>
      </w:tr>
      <w:tr>
        <w:trPr>
          <w:cantSplit/>
        </w:trPr>
        <w:tc>
          <w:tcPr>
            <w:tcW w:type="dxa" w:w="42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Has the state of the art changed?</w:t>
            </w:r>
          </w:p>
        </w:tc>
        <w:tc>
          <w:tcPr>
            <w:tcW w:type="dxa" w:w="58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Your AFAP position may have moved with nothing having failed. Comparator devices, new standards and new guidance all count</w:t>
            </w:r>
          </w:p>
        </w:tc>
      </w:tr>
    </w:tbl>
    <w:p>
      <w:pPr>
        <w:spacing w:after="120" w:before="0"/>
      </w:pPr>
      <w:r>
        <w:rPr>
          <w:b w:val="false"/>
          <w:bCs w:val="false"/>
          <w:i w:val="false"/>
          <w:iCs w:val="false"/>
          <w:sz w:val="21"/>
          <w:szCs w:val="21"/>
        </w:rPr>
        <w:t xml:space="preserve">Clause 10.4 says what follows: the impact is evaluated as an input to the risk management process, the risk management file is reviewed, and if the residual risk or its acceptability has changed, the impact on previously implemented risk control measures is evaluated and fed into the risk management review.</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bCs/>
                <w:i w:val="false"/>
                <w:iCs w:val="false"/>
                <w:sz w:val="20"/>
                <w:szCs w:val="20"/>
              </w:rPr>
              <w:t xml:space="preserve">The field test.</w:t>
            </w:r>
            <w:r>
              <w:rPr>
                <w:b w:val="false"/>
                <w:bCs w:val="false"/>
                <w:i w:val="false"/>
                <w:iCs w:val="false"/>
                <w:sz w:val="20"/>
                <w:szCs w:val="20"/>
              </w:rPr>
              <w:t xml:space="preserve"> Pick one complaint from eighteen months ago. Find the risk file revision it produced. If there is no revision and no recorded decision that none was needed, the loop is open and Clause 10 is not being done - whatever the procedure says.</w:t>
            </w:r>
          </w:p>
        </w:tc>
      </w:tr>
    </w:tbl>
    <w:p>
      <w:pPr>
        <w:pStyle w:val="Heading2"/>
      </w:pPr>
      <w:r>
        <w:t xml:space="preserve">7.2  The MDR plumbing Clause 10 has to connect to</w:t>
      </w:r>
    </w:p>
    <w:p>
      <w:pPr>
        <w:spacing w:after="120" w:before="0"/>
      </w:pPr>
      <w:r>
        <w:rPr>
          <w:b w:val="false"/>
          <w:bCs w:val="false"/>
          <w:i w:val="false"/>
          <w:iCs w:val="false"/>
          <w:sz w:val="21"/>
          <w:szCs w:val="21"/>
        </w:rPr>
        <w:t xml:space="preserve">In the EU, Clause 10 is not free-standing. It plugs into a named set of obligations, and notified bodies check the joints rather than the pipes.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400"/>
        <w:gridCol w:w="7680"/>
      </w:tblGrid>
      <w:tr>
        <w:trPr>
          <w:tblHeader/>
        </w:trPr>
        <w:tc>
          <w:tcPr>
            <w:tcW w:type="dxa" w:w="24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MDR provision</w:t>
            </w:r>
          </w:p>
        </w:tc>
        <w:tc>
          <w:tcPr>
            <w:tcW w:type="dxa" w:w="76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it requires of the risk file</w:t>
            </w:r>
          </w:p>
        </w:tc>
      </w:tr>
      <w:tr>
        <w:trPr>
          <w:cantSplit/>
        </w:trPr>
        <w:tc>
          <w:tcPr>
            <w:tcW w:type="dxa" w:w="2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Article 10(2)</w:t>
            </w:r>
          </w:p>
        </w:tc>
        <w:tc>
          <w:tcPr>
            <w:tcW w:type="dxa" w:w="7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Manufacturers shall establish, document, implement and maintain a system for risk management as described in Section 3 of Annex I</w:t>
            </w:r>
          </w:p>
        </w:tc>
      </w:tr>
      <w:tr>
        <w:trPr>
          <w:cantSplit/>
        </w:trPr>
        <w:tc>
          <w:tcPr>
            <w:tcW w:type="dxa" w:w="2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Article 10(9)(e)</w:t>
            </w:r>
          </w:p>
        </w:tc>
        <w:tc>
          <w:tcPr>
            <w:tcW w:type="dxa" w:w="7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quality management system shall address at least risk management as set out in Section 3 of Annex I</w:t>
            </w:r>
          </w:p>
        </w:tc>
      </w:tr>
      <w:tr>
        <w:trPr>
          <w:cantSplit/>
        </w:trPr>
        <w:tc>
          <w:tcPr>
            <w:tcW w:type="dxa" w:w="2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Annex I point 3 (e) and (f)</w:t>
            </w:r>
          </w:p>
        </w:tc>
        <w:tc>
          <w:tcPr>
            <w:tcW w:type="dxa" w:w="7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Evaluate the impact of information from the production phase and from post-market surveillance on hazards and their frequency of occurrence, on risk estimates, on overall risk, on the benefit-risk ratio and on risk acceptability; and, based on that evaluation, amend control measures if necessary</w:t>
            </w:r>
          </w:p>
        </w:tc>
      </w:tr>
      <w:tr>
        <w:trPr>
          <w:cantSplit/>
        </w:trPr>
        <w:tc>
          <w:tcPr>
            <w:tcW w:type="dxa" w:w="2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Annex II point 5</w:t>
            </w:r>
          </w:p>
        </w:tc>
        <w:tc>
          <w:tcPr>
            <w:tcW w:type="dxa" w:w="7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technical documentation shall contain (a) the benefit-risk analysis referred to in Sections 1 and 8 of Annex I, and (b) the solutions adopted and the results of the risk management referred to in Section 3 of Annex I</w:t>
            </w:r>
          </w:p>
        </w:tc>
      </w:tr>
      <w:tr>
        <w:trPr>
          <w:cantSplit/>
        </w:trPr>
        <w:tc>
          <w:tcPr>
            <w:tcW w:type="dxa" w:w="2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Article 83(3)(a)</w:t>
            </w:r>
          </w:p>
        </w:tc>
        <w:tc>
          <w:tcPr>
            <w:tcW w:type="dxa" w:w="7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PMS data is used first to update the benefit-risk determination and to improve the risk management as referred to in Chapter I of Annex I. Article 83(3) closes: "The technical documentation shall be updated accordingly"</w:t>
            </w:r>
          </w:p>
        </w:tc>
      </w:tr>
      <w:tr>
        <w:trPr>
          <w:cantSplit/>
        </w:trPr>
        <w:tc>
          <w:tcPr>
            <w:tcW w:type="dxa" w:w="2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Annex III point 1(b)</w:t>
            </w:r>
          </w:p>
        </w:tc>
        <w:tc>
          <w:tcPr>
            <w:tcW w:type="dxa" w:w="7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post-market surveillance plan shall contain suitable indicators and threshold values that shall be used in the continuous reassessment of the benefit-risk analysis and of the risk management referred to in Section 3 of Annex I</w:t>
            </w:r>
          </w:p>
        </w:tc>
      </w:tr>
      <w:tr>
        <w:trPr>
          <w:cantSplit/>
        </w:trPr>
        <w:tc>
          <w:tcPr>
            <w:tcW w:type="dxa" w:w="2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Article 86(1)(a)</w:t>
            </w:r>
          </w:p>
        </w:tc>
        <w:tc>
          <w:tcPr>
            <w:tcW w:type="dxa" w:w="7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periodic safety update report shall set out, throughout the lifetime of the device, the conclusions of the benefit-risk determination</w:t>
            </w:r>
          </w:p>
        </w:tc>
      </w:tr>
      <w:tr>
        <w:trPr>
          <w:cantSplit/>
        </w:trPr>
        <w:tc>
          <w:tcPr>
            <w:tcW w:type="dxa" w:w="2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Article 88(1)</w:t>
            </w:r>
          </w:p>
        </w:tc>
        <w:tc>
          <w:tcPr>
            <w:tcW w:type="dxa" w:w="7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Trend reporting where a statistically significant increase in the frequency or severity of non-serious incidents or expected undesirable side-effects could change the benefit-risk analysis referred to in Sections 1 and 8 of Annex I</w:t>
            </w:r>
          </w:p>
        </w:tc>
      </w:tr>
      <w:tr>
        <w:trPr>
          <w:cantSplit/>
        </w:trPr>
        <w:tc>
          <w:tcPr>
            <w:tcW w:type="dxa" w:w="2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Annex XIV Part A point 1(a)</w:t>
            </w:r>
          </w:p>
        </w:tc>
        <w:tc>
          <w:tcPr>
            <w:tcW w:type="dxa" w:w="7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clinical evaluation plan shall specify methods for examining clinical safety with clear reference to the determination of residual risks and side-effects, and an indicative list and specification of parameters to be used to determine, based on the state of the art in medicine, the acceptability of the benefit-risk ratio</w:t>
            </w:r>
          </w:p>
        </w:tc>
      </w:tr>
      <w:tr>
        <w:trPr>
          <w:cantSplit/>
        </w:trPr>
        <w:tc>
          <w:tcPr>
            <w:tcW w:type="dxa" w:w="2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Annex XIV Part B points 6.2(d) and 8</w:t>
            </w:r>
          </w:p>
        </w:tc>
        <w:tc>
          <w:tcPr>
            <w:tcW w:type="dxa" w:w="7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PMCF plan references the relevant parts of the clinical evaluation report and the risk management; the PMCF evaluation report conclusions shall be taken into account in the clinical evaluation AND in the risk management</w:t>
            </w:r>
          </w:p>
        </w:tc>
      </w:tr>
      <w:tr>
        <w:trPr>
          <w:cantSplit/>
        </w:trPr>
        <w:tc>
          <w:tcPr>
            <w:tcW w:type="dxa" w:w="2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Article 61(10)</w:t>
            </w:r>
          </w:p>
        </w:tc>
        <w:tc>
          <w:tcPr>
            <w:tcW w:type="dxa" w:w="7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Where demonstration of conformity based on clinical data is not deemed appropriate, adequate justification shall be given based on the results of the manufacturer’s risk management</w:t>
            </w:r>
          </w:p>
        </w:tc>
      </w:tr>
      <w:tr>
        <w:trPr>
          <w:cantSplit/>
        </w:trPr>
        <w:tc>
          <w:tcPr>
            <w:tcW w:type="dxa" w:w="2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Recital 33</w:t>
            </w:r>
          </w:p>
        </w:tc>
        <w:tc>
          <w:tcPr>
            <w:tcW w:type="dxa" w:w="7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risk management system should be carefully aligned with and reflected in the clinical evaluation. The risk management and clinical evaluation processes should be inter-dependent and should be regularly updated</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bCs/>
                <w:i w:val="false"/>
                <w:iCs w:val="false"/>
                <w:sz w:val="20"/>
                <w:szCs w:val="20"/>
              </w:rPr>
              <w:t xml:space="preserve">Two numbering traps for your cross-references.</w:t>
            </w:r>
            <w:r>
              <w:rPr>
                <w:b w:val="false"/>
                <w:bCs w:val="false"/>
                <w:i w:val="false"/>
                <w:iCs w:val="false"/>
                <w:sz w:val="20"/>
                <w:szCs w:val="20"/>
              </w:rPr>
              <w:t xml:space="preserve"> Corrigendum C2 renumbered MDR Annex III: the original text numbered the two items 1.1 and 1.2, the consolidated text numbers them 1 and 2, and Article 84 was corrected to match. An SOP still citing "Annex III Section 1.1" is citing superseded numbering.</w:t>
            </w:r>
          </w:p>
          <w:p>
            <w:pPr>
              <w:spacing w:after="60"/>
            </w:pPr>
            <w:r>
              <w:rPr>
                <w:b w:val="false"/>
                <w:bCs w:val="false"/>
                <w:i w:val="false"/>
                <w:iCs w:val="false"/>
                <w:sz w:val="20"/>
                <w:szCs w:val="20"/>
              </w:rPr>
              <w:t xml:space="preserve">And Annex XIV Part B point 6.1(d) still refers to "the benefit-risk ratio referred to in Sections 1 and 9 of Annex I". Section 9 is the Annex XVI provision; the benefit-risk sections are 1 and 8. That cross-reference was never corrected, unlike the identical error in Article 88(1), which corrigendum C2 fixed.</w:t>
            </w:r>
          </w:p>
        </w:tc>
      </w:tr>
    </w:tbl>
    <w:p>
      <w:pPr>
        <w:pStyle w:val="Heading2"/>
      </w:pPr>
      <w:r>
        <w:t xml:space="preserve">7.3  The interfaces that get audited</w:t>
      </w:r>
    </w:p>
    <w:p>
      <w:pPr>
        <w:spacing w:after="120" w:before="0"/>
      </w:pPr>
      <w:r>
        <w:rPr>
          <w:b w:val="false"/>
          <w:bCs w:val="false"/>
          <w:i w:val="false"/>
          <w:iCs w:val="false"/>
          <w:sz w:val="21"/>
          <w:szCs w:val="21"/>
        </w:rPr>
        <w:t xml:space="preserve">The risk file does not live alone, and findings cluster at the joins rather than inside any one document. For each row below, the audit question is simply: do these two documents agree?</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100"/>
        <w:gridCol w:w="5180"/>
        <w:gridCol w:w="2800"/>
      </w:tblGrid>
      <w:tr>
        <w:trPr>
          <w:tblHeader/>
        </w:trPr>
        <w:tc>
          <w:tcPr>
            <w:tcW w:type="dxa" w:w="21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Interface</w:t>
            </w:r>
          </w:p>
        </w:tc>
        <w:tc>
          <w:tcPr>
            <w:tcW w:type="dxa" w:w="51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has to agree</w:t>
            </w:r>
          </w:p>
        </w:tc>
        <w:tc>
          <w:tcPr>
            <w:tcW w:type="dxa" w:w="28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Where it is required</w:t>
            </w:r>
          </w:p>
        </w:tc>
      </w:tr>
      <w:tr>
        <w:trPr>
          <w:cantSplit/>
        </w:trPr>
        <w:tc>
          <w:tcPr>
            <w:tcW w:type="dxa" w:w="2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Risk file and clinical evaluation</w:t>
            </w:r>
          </w:p>
        </w:tc>
        <w:tc>
          <w:tcPr>
            <w:tcW w:type="dxa" w:w="5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risk acceptability criteria in the risk management plan, and the parameters for determining the acceptability of the benefit-risk ratio in the clinical evaluation plan, based on the state of the art in medicine</w:t>
            </w:r>
          </w:p>
        </w:tc>
        <w:tc>
          <w:tcPr>
            <w:tcW w:type="dxa" w:w="28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MDR Annex XIV Part A point 1(a); recital 33</w:t>
            </w:r>
          </w:p>
        </w:tc>
      </w:tr>
      <w:tr>
        <w:trPr>
          <w:cantSplit/>
        </w:trPr>
        <w:tc>
          <w:tcPr>
            <w:tcW w:type="dxa" w:w="2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Risk file and post-market surveillance</w:t>
            </w:r>
          </w:p>
        </w:tc>
        <w:tc>
          <w:tcPr>
            <w:tcW w:type="dxa" w:w="5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PMS plan indicators and threshold values, and the probabilities and severities in the risk file that they are meant to test</w:t>
            </w:r>
          </w:p>
        </w:tc>
        <w:tc>
          <w:tcPr>
            <w:tcW w:type="dxa" w:w="28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MDR Annex III point 1(b); MDCG 2025-10 Table 3</w:t>
            </w:r>
          </w:p>
        </w:tc>
      </w:tr>
      <w:tr>
        <w:trPr>
          <w:cantSplit/>
        </w:trPr>
        <w:tc>
          <w:tcPr>
            <w:tcW w:type="dxa" w:w="2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Risk file and usability engineering</w:t>
            </w:r>
          </w:p>
        </w:tc>
        <w:tc>
          <w:tcPr>
            <w:tcW w:type="dxa" w:w="5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Use errors identified in the use-related risk analysis, and the critical tasks in the summative evaluation. The effectiveness of an information-for-safety control is proven here or nowhere</w:t>
            </w:r>
          </w:p>
        </w:tc>
        <w:tc>
          <w:tcPr>
            <w:tcW w:type="dxa" w:w="28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ISO 14971 Clause 3.30 sources use error from IEC 62366-1; MDR Annex I point 5</w:t>
            </w:r>
          </w:p>
        </w:tc>
      </w:tr>
      <w:tr>
        <w:trPr>
          <w:cantSplit/>
        </w:trPr>
        <w:tc>
          <w:tcPr>
            <w:tcW w:type="dxa" w:w="2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Risk file and software or security</w:t>
            </w:r>
          </w:p>
        </w:tc>
        <w:tc>
          <w:tcPr>
            <w:tcW w:type="dxa" w:w="5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software safety classification and the security risk records, and the hazardous situations they feed</w:t>
            </w:r>
          </w:p>
        </w:tc>
        <w:tc>
          <w:tcPr>
            <w:tcW w:type="dxa" w:w="28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MDR Annex I 17.1, 17.2, 17.4 and 18.8; MDCG 2019-16 rev.1 section 3.2; IEC 62304</w:t>
            </w:r>
          </w:p>
        </w:tc>
      </w:tr>
    </w:tbl>
    <w:p>
      <w:pPr>
        <w:spacing w:after="120" w:before="0"/>
      </w:pPr>
      <w:r>
        <w:rPr>
          <w:b w:val="false"/>
          <w:bCs w:val="false"/>
          <w:i/>
          <w:iCs/>
          <w:color w:val="5A6B7B"/>
          <w:sz w:val="17"/>
          <w:szCs w:val="17"/>
        </w:rPr>
        <w:t xml:space="preserve">MDCG 2025-10, Guidance on post-market surveillance, December 2025, Table 3, sets out the PMS-to-risk-management interface expectations: establish procedures to address the interface; link PMS plan indicators and threshold values to the risk management documentation; assess the impact of collected data on probability and severity ratings of existing or new risks; and evaluate the impact on overall risk, the benefit-risk ratio and risk acceptability.</w:t>
      </w:r>
    </w:p>
    <w:p>
      <w:r>
        <w:br w:type="page"/>
      </w:r>
    </w:p>
    <w:p>
      <w:pPr>
        <w:pStyle w:val="Heading1"/>
      </w:pPr>
      <w:r>
        <w:t xml:space="preserve">8  Ten things to fix on Monday</w:t>
      </w:r>
    </w:p>
    <w:p>
      <w:pPr>
        <w:pStyle w:val="ListParagraph"/>
        <w:numPr>
          <w:ilvl w:val="0"/>
          <w:numId w:val="3"/>
        </w:numPr>
        <w:spacing w:after="80"/>
      </w:pPr>
      <w:r>
        <w:rPr>
          <w:b w:val="false"/>
          <w:bCs w:val="false"/>
          <w:i w:val="false"/>
          <w:iCs w:val="false"/>
          <w:sz w:val="21"/>
          <w:szCs w:val="21"/>
        </w:rPr>
        <w:t xml:space="preserve">Put the acceptability criteria in the risk management plan, and date them before the risk table.</w:t>
      </w:r>
    </w:p>
    <w:p>
      <w:pPr>
        <w:pStyle w:val="ListParagraph"/>
        <w:numPr>
          <w:ilvl w:val="0"/>
          <w:numId w:val="3"/>
        </w:numPr>
        <w:spacing w:after="80"/>
      </w:pPr>
      <w:r>
        <w:rPr>
          <w:b w:val="false"/>
          <w:bCs w:val="false"/>
          <w:i w:val="false"/>
          <w:iCs w:val="false"/>
          <w:sz w:val="21"/>
          <w:szCs w:val="21"/>
        </w:rPr>
        <w:t xml:space="preserve">Add a verification of EFFECTIVENESS record to every risk control that currently has only an implementation record.</w:t>
      </w:r>
    </w:p>
    <w:p>
      <w:pPr>
        <w:pStyle w:val="ListParagraph"/>
        <w:numPr>
          <w:ilvl w:val="0"/>
          <w:numId w:val="3"/>
        </w:numPr>
        <w:spacing w:after="80"/>
      </w:pPr>
      <w:r>
        <w:rPr>
          <w:b w:val="false"/>
          <w:bCs w:val="false"/>
          <w:i w:val="false"/>
          <w:iCs w:val="false"/>
          <w:sz w:val="21"/>
          <w:szCs w:val="21"/>
        </w:rPr>
        <w:t xml:space="preserve">Separate P1 and P2 in every row, and write the basis for each.</w:t>
      </w:r>
    </w:p>
    <w:p>
      <w:pPr>
        <w:pStyle w:val="ListParagraph"/>
        <w:numPr>
          <w:ilvl w:val="0"/>
          <w:numId w:val="3"/>
        </w:numPr>
        <w:spacing w:after="80"/>
      </w:pPr>
      <w:r>
        <w:rPr>
          <w:b w:val="false"/>
          <w:bCs w:val="false"/>
          <w:i w:val="false"/>
          <w:iCs w:val="false"/>
          <w:sz w:val="21"/>
          <w:szCs w:val="21"/>
        </w:rPr>
        <w:t xml:space="preserve">Split every row where one hazard reaches more than one hazardous situation.</w:t>
      </w:r>
    </w:p>
    <w:p>
      <w:pPr>
        <w:pStyle w:val="ListParagraph"/>
        <w:numPr>
          <w:ilvl w:val="0"/>
          <w:numId w:val="3"/>
        </w:numPr>
        <w:spacing w:after="80"/>
      </w:pPr>
      <w:r>
        <w:rPr>
          <w:b w:val="false"/>
          <w:bCs w:val="false"/>
          <w:i w:val="false"/>
          <w:iCs w:val="false"/>
          <w:sz w:val="21"/>
          <w:szCs w:val="21"/>
        </w:rPr>
        <w:t xml:space="preserve">Add the severity-only rule for the case where probability of occurrence of harm cannot be estimated (Clause 4.4 d).</w:t>
      </w:r>
    </w:p>
    <w:p>
      <w:pPr>
        <w:pStyle w:val="ListParagraph"/>
        <w:numPr>
          <w:ilvl w:val="0"/>
          <w:numId w:val="3"/>
        </w:numPr>
        <w:spacing w:after="80"/>
      </w:pPr>
      <w:r>
        <w:rPr>
          <w:b w:val="false"/>
          <w:bCs w:val="false"/>
          <w:i w:val="false"/>
          <w:iCs w:val="false"/>
          <w:sz w:val="21"/>
          <w:szCs w:val="21"/>
        </w:rPr>
        <w:t xml:space="preserve">Add a Clause 7.6 completeness step to the procedure, and run it over the acceptable rows too.</w:t>
      </w:r>
    </w:p>
    <w:p>
      <w:pPr>
        <w:pStyle w:val="ListParagraph"/>
        <w:numPr>
          <w:ilvl w:val="0"/>
          <w:numId w:val="3"/>
        </w:numPr>
        <w:spacing w:after="80"/>
      </w:pPr>
      <w:r>
        <w:rPr>
          <w:b w:val="false"/>
          <w:bCs w:val="false"/>
          <w:i w:val="false"/>
          <w:iCs w:val="false"/>
          <w:sz w:val="21"/>
          <w:szCs w:val="21"/>
        </w:rPr>
        <w:t xml:space="preserve">Strike every cost argument out of the order-of-priority justifications.</w:t>
      </w:r>
    </w:p>
    <w:p>
      <w:pPr>
        <w:pStyle w:val="ListParagraph"/>
        <w:numPr>
          <w:ilvl w:val="0"/>
          <w:numId w:val="3"/>
        </w:numPr>
        <w:spacing w:after="80"/>
      </w:pPr>
      <w:r>
        <w:rPr>
          <w:b w:val="false"/>
          <w:bCs w:val="false"/>
          <w:i w:val="false"/>
          <w:iCs w:val="false"/>
          <w:sz w:val="21"/>
          <w:szCs w:val="21"/>
        </w:rPr>
        <w:t xml:space="preserve">Add residual risk disclosure references for every risk control in the information-for-safety category.</w:t>
      </w:r>
    </w:p>
    <w:p>
      <w:pPr>
        <w:pStyle w:val="ListParagraph"/>
        <w:numPr>
          <w:ilvl w:val="0"/>
          <w:numId w:val="3"/>
        </w:numPr>
        <w:spacing w:after="80"/>
      </w:pPr>
      <w:r>
        <w:rPr>
          <w:b w:val="false"/>
          <w:bCs w:val="false"/>
          <w:i w:val="false"/>
          <w:iCs w:val="false"/>
          <w:sz w:val="21"/>
          <w:szCs w:val="21"/>
        </w:rPr>
        <w:t xml:space="preserve">Put indicators and threshold values in the post-market surveillance plan, and link them to the risk rows they are meant to test.</w:t>
      </w:r>
    </w:p>
    <w:p>
      <w:pPr>
        <w:pStyle w:val="ListParagraph"/>
        <w:numPr>
          <w:ilvl w:val="0"/>
          <w:numId w:val="3"/>
        </w:numPr>
        <w:spacing w:after="80"/>
      </w:pPr>
      <w:r>
        <w:rPr>
          <w:b w:val="false"/>
          <w:bCs w:val="false"/>
          <w:i w:val="false"/>
          <w:iCs w:val="false"/>
          <w:sz w:val="21"/>
          <w:szCs w:val="21"/>
        </w:rPr>
        <w:t xml:space="preserve">Rebuild the GSPR matrix against MDR Annex I as it stands now, not against the seven content deviations of the withdrawn EN ISO 14971:2012.</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E8F3EE" w:color="auto" w:val="clear"/>
            <w:tcMar>
              <w:top w:type="dxa" w:w="140"/>
              <w:left w:type="dxa" w:w="200"/>
              <w:bottom w:type="dxa" w:w="140"/>
              <w:right w:type="dxa" w:w="200"/>
            </w:tcMar>
          </w:tcPr>
          <w:p>
            <w:pPr>
              <w:spacing w:after="60"/>
            </w:pPr>
            <w:r>
              <w:rPr>
                <w:b w:val="false"/>
                <w:bCs w:val="false"/>
                <w:i w:val="false"/>
                <w:iCs w:val="false"/>
                <w:sz w:val="20"/>
                <w:szCs w:val="20"/>
              </w:rPr>
              <w:t xml:space="preserve">If you do only one, do number two. It is the finding that appears most often and it is the cheapest to close, because the work has usually already been done and simply was not written down as an effectiveness verification.</w:t>
            </w:r>
          </w:p>
        </w:tc>
      </w:tr>
    </w:tbl>
    <w:p>
      <w:pPr>
        <w:pStyle w:val="Heading1"/>
      </w:pPr>
      <w:r>
        <w:t xml:space="preserve">9  Reference: the toolkit</w:t>
      </w:r>
    </w:p>
    <w:p>
      <w:pPr>
        <w:spacing w:after="120" w:before="0"/>
      </w:pPr>
      <w:r>
        <w:rPr>
          <w:b w:val="false"/>
          <w:bCs w:val="false"/>
          <w:i w:val="false"/>
          <w:iCs w:val="false"/>
          <w:sz w:val="21"/>
          <w:szCs w:val="21"/>
        </w:rPr>
        <w:t xml:space="preserve">The ISO 14971 Risk File Toolkit accompanying this workshop is a working skeleton of a risk management file with ten sheets. Every pale-yellow cell is an input; everything else is reference data or a formula.</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900"/>
        <w:gridCol w:w="1800"/>
        <w:gridCol w:w="6380"/>
      </w:tblGrid>
      <w:tr>
        <w:trPr>
          <w:tblHeader/>
        </w:trPr>
        <w:tc>
          <w:tcPr>
            <w:tcW w:type="dxa" w:w="19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Sheet</w:t>
            </w:r>
          </w:p>
        </w:tc>
        <w:tc>
          <w:tcPr>
            <w:tcW w:type="dxa" w:w="18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Clause</w:t>
            </w:r>
          </w:p>
        </w:tc>
        <w:tc>
          <w:tcPr>
            <w:tcW w:type="dxa" w:w="63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it is for</w:t>
            </w:r>
          </w:p>
        </w:tc>
      </w:tr>
      <w:tr>
        <w:trPr>
          <w:cantSplit/>
        </w:trP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Read me</w:t>
            </w:r>
          </w:p>
        </w:tc>
        <w:tc>
          <w:tcPr>
            <w:tcW w:type="dxa" w:w="18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t>
            </w:r>
          </w:p>
        </w:tc>
        <w:tc>
          <w:tcPr>
            <w:tcW w:type="dxa" w:w="6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How the workbook is built and what to replace before use</w:t>
            </w:r>
          </w:p>
        </w:tc>
      </w:tr>
      <w:tr>
        <w:trPr>
          <w:cantSplit/>
        </w:trP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RM Plan</w:t>
            </w:r>
          </w:p>
        </w:tc>
        <w:tc>
          <w:tcPr>
            <w:tcW w:type="dxa" w:w="18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4.4</w:t>
            </w:r>
          </w:p>
        </w:tc>
        <w:tc>
          <w:tcPr>
            <w:tcW w:type="dxa" w:w="6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seven required contents as a checklist, plus the MDR and FDA additions, with owner and status</w:t>
            </w:r>
          </w:p>
        </w:tc>
      </w:tr>
      <w:tr>
        <w:trPr>
          <w:cantSplit/>
        </w:trP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Scales</w:t>
            </w:r>
          </w:p>
        </w:tc>
        <w:tc>
          <w:tcPr>
            <w:tcW w:type="dxa" w:w="18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4.4 d)</w:t>
            </w:r>
          </w:p>
        </w:tc>
        <w:tc>
          <w:tcPr>
            <w:tcW w:type="dxa" w:w="6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Example severity and P1 and P2 scales, the P1 x P2 combination table with its derivation shown, and the acceptability matrix. Replace all of it</w:t>
            </w:r>
          </w:p>
        </w:tc>
      </w:tr>
      <w:tr>
        <w:trPr>
          <w:cantSplit/>
        </w:trP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Hazard Analysis</w:t>
            </w:r>
          </w:p>
        </w:tc>
        <w:tc>
          <w:tcPr>
            <w:tcW w:type="dxa" w:w="18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5.4, 5.5, 6, 7.1, 7.3, 7.6</w:t>
            </w:r>
          </w:p>
        </w:tc>
        <w:tc>
          <w:tcPr>
            <w:tcW w:type="dxa" w:w="6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main risk table. One row per hazardous situation, with formula columns for the combined probability, the risk verdicts and a completeness check</w:t>
            </w:r>
          </w:p>
        </w:tc>
      </w:tr>
      <w:tr>
        <w:trPr>
          <w:cantSplit/>
        </w:trP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Risk Controls</w:t>
            </w:r>
          </w:p>
        </w:tc>
        <w:tc>
          <w:tcPr>
            <w:tcW w:type="dxa" w:w="18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7.1, 7.2, 7.5</w:t>
            </w:r>
          </w:p>
        </w:tc>
        <w:tc>
          <w:tcPr>
            <w:tcW w:type="dxa" w:w="6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One row per control, with separate columns for verification of implementation and verification of effectiveness, and an order-of-priority justification</w:t>
            </w:r>
          </w:p>
        </w:tc>
      </w:tr>
      <w:tr>
        <w:trPr>
          <w:cantSplit/>
        </w:trP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Residual Risk</w:t>
            </w:r>
          </w:p>
        </w:tc>
        <w:tc>
          <w:tcPr>
            <w:tcW w:type="dxa" w:w="18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8</w:t>
            </w:r>
          </w:p>
        </w:tc>
        <w:tc>
          <w:tcPr>
            <w:tcW w:type="dxa" w:w="6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Counts rolled up from the hazard table, and the nine inputs to the overall residual risk evaluation</w:t>
            </w:r>
          </w:p>
        </w:tc>
      </w:tr>
      <w:tr>
        <w:trPr>
          <w:cantSplit/>
        </w:trP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Benefit-Risk</w:t>
            </w:r>
          </w:p>
        </w:tc>
        <w:tc>
          <w:tcPr>
            <w:tcW w:type="dxa" w:w="18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7.4, 8</w:t>
            </w:r>
          </w:p>
        </w:tc>
        <w:tc>
          <w:tcPr>
            <w:tcW w:type="dxa" w:w="6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One row per residual risk the criteria do not accept, plus an OVERALL row. Benefit characterised by nature, magnitude, probability and duration</w:t>
            </w:r>
          </w:p>
        </w:tc>
      </w:tr>
      <w:tr>
        <w:trPr>
          <w:cantSplit/>
        </w:trP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Prod &amp; Post-Prod</w:t>
            </w:r>
          </w:p>
        </w:tc>
        <w:tc>
          <w:tcPr>
            <w:tcW w:type="dxa" w:w="18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10.1 to 10.4</w:t>
            </w:r>
          </w:p>
        </w:tc>
        <w:tc>
          <w:tcPr>
            <w:tcW w:type="dxa" w:w="6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Clause 10 log, with the four Clause 10.3 questions as columns and an overdue flag</w:t>
            </w:r>
          </w:p>
        </w:tc>
      </w:tr>
      <w:tr>
        <w:trPr>
          <w:cantSplit/>
        </w:trP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RM File Index</w:t>
            </w:r>
          </w:p>
        </w:tc>
        <w:tc>
          <w:tcPr>
            <w:tcW w:type="dxa" w:w="18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4.5</w:t>
            </w:r>
          </w:p>
        </w:tc>
        <w:tc>
          <w:tcPr>
            <w:tcW w:type="dxa" w:w="6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traceability index: 31 record types with document ID, revision and location</w:t>
            </w:r>
          </w:p>
        </w:tc>
      </w:tr>
      <w:tr>
        <w:trPr>
          <w:cantSplit/>
        </w:trP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Dashboard</w:t>
            </w:r>
          </w:p>
        </w:tc>
        <w:tc>
          <w:tcPr>
            <w:tcW w:type="dxa" w:w="18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t>
            </w:r>
          </w:p>
        </w:tc>
        <w:tc>
          <w:tcPr>
            <w:tcW w:type="dxa" w:w="6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Every figure is a formula over the other sheets, ending in six exit criteria</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bCs/>
                <w:i w:val="false"/>
                <w:iCs w:val="false"/>
                <w:sz w:val="20"/>
                <w:szCs w:val="20"/>
              </w:rPr>
              <w:t xml:space="preserve">The worked example is deliberately imperfect.</w:t>
            </w:r>
            <w:r>
              <w:rPr>
                <w:b w:val="false"/>
                <w:bCs w:val="false"/>
                <w:i w:val="false"/>
                <w:iCs w:val="false"/>
                <w:sz w:val="20"/>
                <w:szCs w:val="20"/>
              </w:rPr>
              <w:t xml:space="preserve"> The 16 example rows describe a programmable ambulatory infusion pump for home use. Two rows carry deliberate defects, one risk control is missing its effectiveness verification and its order-of-priority justification, one justification rests on cost, and one post-production item has not yet updated the file. The Dashboard reports all of them. The Facilitator Guide names each one.</w:t>
            </w:r>
          </w:p>
        </w:tc>
      </w:tr>
    </w:tbl>
    <w:p>
      <w:pPr>
        <w:pStyle w:val="Heading1"/>
      </w:pPr>
      <w:r>
        <w:t xml:space="preserve">10  Sources</w:t>
      </w:r>
    </w:p>
    <w:p>
      <w:pPr>
        <w:pStyle w:val="ListParagraph"/>
        <w:numPr>
          <w:ilvl w:val="0"/>
          <w:numId w:val="2"/>
        </w:numPr>
        <w:spacing w:after="60"/>
      </w:pPr>
      <w:r>
        <w:rPr>
          <w:b w:val="false"/>
          <w:bCs w:val="false"/>
          <w:i w:val="false"/>
          <w:iCs w:val="false"/>
          <w:sz w:val="21"/>
          <w:szCs w:val="21"/>
        </w:rPr>
        <w:t xml:space="preserve">ISO 14971:2019, Medical devices - Application of risk management to medical devices, third edition, December 2019; reviewed and confirmed March 2025. ISO/TC 210 with IEC/SC 62A.</w:t>
      </w:r>
    </w:p>
    <w:p>
      <w:pPr>
        <w:pStyle w:val="ListParagraph"/>
        <w:numPr>
          <w:ilvl w:val="0"/>
          <w:numId w:val="2"/>
        </w:numPr>
        <w:spacing w:after="60"/>
      </w:pPr>
      <w:r>
        <w:rPr>
          <w:b w:val="false"/>
          <w:bCs w:val="false"/>
          <w:i w:val="false"/>
          <w:iCs w:val="false"/>
          <w:sz w:val="21"/>
          <w:szCs w:val="21"/>
        </w:rPr>
        <w:t xml:space="preserve">ISO/TR 24971:2020, Medical devices - Guidance on the application of ISO 14971. Annex C gives guidance on the policy for establishing criteria for risk acceptability required by Clause 4.2, and compares ALARP, AFAP, ALARA and ALAP.</w:t>
      </w:r>
    </w:p>
    <w:p>
      <w:pPr>
        <w:pStyle w:val="ListParagraph"/>
        <w:numPr>
          <w:ilvl w:val="0"/>
          <w:numId w:val="2"/>
        </w:numPr>
        <w:spacing w:after="60"/>
      </w:pPr>
      <w:r>
        <w:rPr>
          <w:b w:val="false"/>
          <w:bCs w:val="false"/>
          <w:i w:val="false"/>
          <w:iCs w:val="false"/>
          <w:sz w:val="21"/>
          <w:szCs w:val="21"/>
        </w:rPr>
        <w:t xml:space="preserve">EN ISO 14971:2019 as amended by EN ISO 14971:2019/A11:2021. A11 replaces the European foreword and adds Annex ZA (MDR) and Annex ZB (IVDR). It does not modify the normative text.</w:t>
      </w:r>
    </w:p>
    <w:p>
      <w:pPr>
        <w:pStyle w:val="ListParagraph"/>
        <w:numPr>
          <w:ilvl w:val="0"/>
          <w:numId w:val="2"/>
        </w:numPr>
        <w:spacing w:after="60"/>
      </w:pPr>
      <w:r>
        <w:rPr>
          <w:b w:val="false"/>
          <w:bCs w:val="false"/>
          <w:i w:val="false"/>
          <w:iCs w:val="false"/>
          <w:sz w:val="21"/>
          <w:szCs w:val="21"/>
        </w:rPr>
        <w:t xml:space="preserve">ISO/TS 24971-2:2026, Guidance on the application of ISO 14971 - Part 2: Machine learning in artificial intelligence, published June 2026.</w:t>
      </w:r>
    </w:p>
    <w:p>
      <w:pPr>
        <w:pStyle w:val="ListParagraph"/>
        <w:numPr>
          <w:ilvl w:val="0"/>
          <w:numId w:val="2"/>
        </w:numPr>
        <w:spacing w:after="60"/>
      </w:pPr>
      <w:r>
        <w:rPr>
          <w:b w:val="false"/>
          <w:bCs w:val="false"/>
          <w:i w:val="false"/>
          <w:iCs w:val="false"/>
          <w:sz w:val="21"/>
          <w:szCs w:val="21"/>
        </w:rPr>
        <w:t xml:space="preserve">Regulation (EU) 2017/745 (MDR), consolidated text of 9 July 2024.</w:t>
      </w:r>
    </w:p>
    <w:p>
      <w:pPr>
        <w:pStyle w:val="ListParagraph"/>
        <w:numPr>
          <w:ilvl w:val="0"/>
          <w:numId w:val="2"/>
        </w:numPr>
        <w:spacing w:after="60"/>
      </w:pPr>
      <w:r>
        <w:rPr>
          <w:b w:val="false"/>
          <w:bCs w:val="false"/>
          <w:i w:val="false"/>
          <w:iCs w:val="false"/>
          <w:sz w:val="21"/>
          <w:szCs w:val="21"/>
        </w:rPr>
        <w:t xml:space="preserve">Commission Implementing Decision (EU) 2022/757 of 11 May 2022, OJ L 138, 17.5.2022, p. 27, adding EN ISO 14971:2019 with A11:2021 as entry 16 of the Annex to Decision (EU) 2021/1182 (MDR harmonised standards).</w:t>
      </w:r>
    </w:p>
    <w:p>
      <w:pPr>
        <w:pStyle w:val="ListParagraph"/>
        <w:numPr>
          <w:ilvl w:val="0"/>
          <w:numId w:val="2"/>
        </w:numPr>
        <w:spacing w:after="60"/>
      </w:pPr>
      <w:r>
        <w:rPr>
          <w:b w:val="false"/>
          <w:bCs w:val="false"/>
          <w:i w:val="false"/>
          <w:iCs w:val="false"/>
          <w:sz w:val="21"/>
          <w:szCs w:val="21"/>
        </w:rPr>
        <w:t xml:space="preserve">Commission Implementing Decision (EU) 2022/729 of 11 May 2022, OJ L 135, 12.5.2022, p. 31, the equivalent IVDR citation as entry 10 of the Annex to Decision (EU) 2021/1195.</w:t>
      </w:r>
    </w:p>
    <w:p>
      <w:pPr>
        <w:pStyle w:val="ListParagraph"/>
        <w:numPr>
          <w:ilvl w:val="0"/>
          <w:numId w:val="2"/>
        </w:numPr>
        <w:spacing w:after="60"/>
      </w:pPr>
      <w:r>
        <w:rPr>
          <w:b w:val="false"/>
          <w:bCs w:val="false"/>
          <w:i w:val="false"/>
          <w:iCs w:val="false"/>
          <w:sz w:val="21"/>
          <w:szCs w:val="21"/>
        </w:rPr>
        <w:t xml:space="preserve">Commission summary list of harmonised standards for Regulation (EU) 2017/745, generated 17 June 2026: the EN ISO 14971 row shows start of legal effect 17.05.2022 and no end of legal effect or withdrawal reference.</w:t>
      </w:r>
    </w:p>
    <w:p>
      <w:pPr>
        <w:pStyle w:val="ListParagraph"/>
        <w:numPr>
          <w:ilvl w:val="0"/>
          <w:numId w:val="2"/>
        </w:numPr>
        <w:spacing w:after="60"/>
      </w:pPr>
      <w:r>
        <w:rPr>
          <w:b w:val="false"/>
          <w:bCs w:val="false"/>
          <w:i w:val="false"/>
          <w:iCs w:val="false"/>
          <w:sz w:val="21"/>
          <w:szCs w:val="21"/>
        </w:rPr>
        <w:t xml:space="preserve">MDCG 2021-5 rev.1, Guidance on standardisation for medical devices, July 2024, section 2.3 on what an Annex Z is and does.</w:t>
      </w:r>
    </w:p>
    <w:p>
      <w:pPr>
        <w:pStyle w:val="ListParagraph"/>
        <w:numPr>
          <w:ilvl w:val="0"/>
          <w:numId w:val="2"/>
        </w:numPr>
        <w:spacing w:after="60"/>
      </w:pPr>
      <w:r>
        <w:rPr>
          <w:b w:val="false"/>
          <w:bCs w:val="false"/>
          <w:i w:val="false"/>
          <w:iCs w:val="false"/>
          <w:sz w:val="21"/>
          <w:szCs w:val="21"/>
        </w:rPr>
        <w:t xml:space="preserve">MDCG 2025-10, Guidance on post-market surveillance of medical devices and IVDs, December 2025, Table 3 on the PMS-to-risk-management interface.</w:t>
      </w:r>
    </w:p>
    <w:p>
      <w:pPr>
        <w:pStyle w:val="ListParagraph"/>
        <w:numPr>
          <w:ilvl w:val="0"/>
          <w:numId w:val="2"/>
        </w:numPr>
        <w:spacing w:after="60"/>
      </w:pPr>
      <w:r>
        <w:rPr>
          <w:b w:val="false"/>
          <w:bCs w:val="false"/>
          <w:i w:val="false"/>
          <w:iCs w:val="false"/>
          <w:sz w:val="21"/>
          <w:szCs w:val="21"/>
        </w:rPr>
        <w:t xml:space="preserve">MDCG 2019-16 rev.1, Guidance on cybersecurity for medical devices, July 2020, section 3.2 on security risk management.</w:t>
      </w:r>
    </w:p>
    <w:p>
      <w:pPr>
        <w:pStyle w:val="ListParagraph"/>
        <w:numPr>
          <w:ilvl w:val="0"/>
          <w:numId w:val="2"/>
        </w:numPr>
        <w:spacing w:after="60"/>
      </w:pPr>
      <w:r>
        <w:rPr>
          <w:b w:val="false"/>
          <w:bCs w:val="false"/>
          <w:i w:val="false"/>
          <w:iCs w:val="false"/>
          <w:sz w:val="21"/>
          <w:szCs w:val="21"/>
        </w:rPr>
        <w:t xml:space="preserve">Team-NB, Position Paper on Technical Documentation under the MDR, V3, 9 April 2025.</w:t>
      </w:r>
    </w:p>
    <w:p>
      <w:pPr>
        <w:pStyle w:val="ListParagraph"/>
        <w:numPr>
          <w:ilvl w:val="0"/>
          <w:numId w:val="2"/>
        </w:numPr>
        <w:spacing w:after="60"/>
      </w:pPr>
      <w:r>
        <w:rPr>
          <w:b w:val="false"/>
          <w:bCs w:val="false"/>
          <w:i w:val="false"/>
          <w:iCs w:val="false"/>
          <w:sz w:val="21"/>
          <w:szCs w:val="21"/>
        </w:rPr>
        <w:t xml:space="preserve">21 CFR Part 820 as in force from 2 February 2026; 820.7 incorporates ISO 13485:2016 by reference. QMSR final rule, 89 FR 7496 (2 February 2024).</w:t>
      </w:r>
    </w:p>
    <w:p>
      <w:pPr>
        <w:pStyle w:val="ListParagraph"/>
        <w:numPr>
          <w:ilvl w:val="0"/>
          <w:numId w:val="2"/>
        </w:numPr>
        <w:spacing w:after="60"/>
      </w:pPr>
      <w:r>
        <w:rPr>
          <w:b w:val="false"/>
          <w:bCs w:val="false"/>
          <w:i w:val="false"/>
          <w:iCs w:val="false"/>
          <w:sz w:val="21"/>
          <w:szCs w:val="21"/>
        </w:rPr>
        <w:t xml:space="preserve">FDA Compliance Program 7382.850, Inspection of Medical Device Manufacturers, date of issuance and implementation 2 February 2026, Attachment A.</w:t>
      </w:r>
    </w:p>
    <w:p>
      <w:pPr>
        <w:pStyle w:val="ListParagraph"/>
        <w:numPr>
          <w:ilvl w:val="0"/>
          <w:numId w:val="2"/>
        </w:numPr>
        <w:spacing w:after="60"/>
      </w:pPr>
      <w:r>
        <w:rPr>
          <w:b w:val="false"/>
          <w:bCs w:val="false"/>
          <w:i w:val="false"/>
          <w:iCs w:val="false"/>
          <w:sz w:val="21"/>
          <w:szCs w:val="21"/>
        </w:rPr>
        <w:t xml:space="preserve">FDA recognized consensus standards database, for the currently recognized edition of ISO 14971 and any transition notice.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9ECEA" w:color="auto" w:val="clear"/>
            <w:tcMar>
              <w:top w:type="dxa" w:w="140"/>
              <w:left w:type="dxa" w:w="200"/>
              <w:bottom w:type="dxa" w:w="140"/>
              <w:right w:type="dxa" w:w="200"/>
            </w:tcMar>
          </w:tcPr>
          <w:p>
            <w:pPr>
              <w:spacing w:after="60"/>
            </w:pPr>
            <w:r>
              <w:rPr>
                <w:b/>
                <w:bCs/>
                <w:i w:val="false"/>
                <w:iCs w:val="false"/>
                <w:sz w:val="20"/>
                <w:szCs w:val="20"/>
              </w:rPr>
              <w:t xml:space="preserve">Verify before you rely on this.</w:t>
            </w:r>
            <w:r>
              <w:rPr>
                <w:b w:val="false"/>
                <w:bCs w:val="false"/>
                <w:i w:val="false"/>
                <w:iCs w:val="false"/>
                <w:sz w:val="20"/>
                <w:szCs w:val="20"/>
              </w:rPr>
              <w:t xml:space="preserve"> Content was verified in September 2026. Harmonised-standard citations, MDCG guidance documents, Team-NB position papers and FDA recognition entries all change. Confirm against the primary sources before using any of this as evidence in a submission or an audit.</w:t>
            </w:r>
          </w:p>
        </w:tc>
      </w:tr>
    </w:tbl>
    <w:p>
      <w:pPr>
        <w:spacing w:after="200"/>
      </w:pPr>
      <w:r>
        <w:t xml:space="preserve"/>
      </w:r>
    </w:p>
    <w:p>
      <w:pPr>
        <w:spacing w:after="120" w:before="0"/>
      </w:pPr>
      <w:r>
        <w:rPr>
          <w:b w:val="false"/>
          <w:bCs w:val="false"/>
          <w:i/>
          <w:iCs/>
          <w:color w:val="5A6B7B"/>
          <w:sz w:val="17"/>
          <w:szCs w:val="17"/>
        </w:rPr>
        <w:t xml:space="preserve">Prepared by Elder Consulting, LLC. Workshop material; not legal or regulatory advice.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Risk Management (ISO 14971)  ·  Participant Handout  ·  Elder Consulting, LLC   |   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abstractNum w:abstractNumId="8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400"/>
      <w:outlineLvl w:val="0"/>
    </w:pPr>
    <w:rPr>
      <w:rFonts w:ascii="Cambria" w:cs="Cambria" w:eastAsia="Cambria" w:hAnsi="Cambria"/>
      <w:b/>
      <w:bCs/>
      <w:color w:val="0F2A4A"/>
      <w:sz w:val="32"/>
      <w:szCs w:val="32"/>
    </w:rPr>
  </w:style>
  <w:style w:type="paragraph" w:styleId="Heading2">
    <w:name w:val="Heading 2"/>
    <w:basedOn w:val="Normal"/>
    <w:next w:val="Normal"/>
    <w:qFormat/>
    <w:pPr>
      <w:keepNext/>
      <w:spacing w:after="100" w:before="280"/>
      <w:outlineLvl w:val="1"/>
    </w:pPr>
    <w:rPr>
      <w:rFonts w:ascii="Cambria" w:cs="Cambria" w:eastAsia="Cambria" w:hAnsi="Cambria"/>
      <w:b/>
      <w:bCs/>
      <w:color w:val="0F2A4A"/>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A8730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Workshop (ISO 14971) - Participant Handout</dc:title>
  <dc:creator>Elder Consulting, LLC</dc:creator>
  <dc:description>Risk Management Workshop (ISO 14971) seminar material</dc:description>
  <cp:lastModifiedBy>Un-named</cp:lastModifiedBy>
  <cp:revision>1</cp:revision>
  <dcterms:created xsi:type="dcterms:W3CDTF">2026-09-16T13:01:47.726Z</dcterms:created>
  <dcterms:modified xsi:type="dcterms:W3CDTF">2026-09-16T13:01:47.727Z</dcterms:modified>
</cp:coreProperties>
</file>

<file path=docProps/custom.xml><?xml version="1.0" encoding="utf-8"?>
<Properties xmlns="http://schemas.openxmlformats.org/officeDocument/2006/custom-properties" xmlns:vt="http://schemas.openxmlformats.org/officeDocument/2006/docPropsVTypes"/>
</file>