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FACILITATOR GUIDE</w:t>
      </w:r>
    </w:p>
    <w:p>
      <w:pPr>
        <w:spacing w:after="120"/>
      </w:pPr>
      <w:r>
        <w:rPr>
          <w:rFonts w:ascii="Cambria" w:cs="Cambria" w:eastAsia="Cambria" w:hAnsi="Cambria"/>
          <w:b/>
          <w:bCs/>
          <w:color w:val="0F2A4A"/>
          <w:sz w:val="52"/>
          <w:szCs w:val="52"/>
        </w:rPr>
        <w:t xml:space="preserve">QMSR Transition</w:t>
      </w:r>
    </w:p>
    <w:p>
      <w:pPr>
        <w:spacing w:after="240"/>
      </w:pPr>
      <w:r>
        <w:rPr>
          <w:color w:val="5A6B7B"/>
          <w:sz w:val="26"/>
          <w:szCs w:val="26"/>
        </w:rPr>
        <w:t xml:space="preserve">Run-of-show, delivery notes, exercise answers, Q&amp;A preparation and a pre-delivery accuracy checklist</w:t>
      </w:r>
    </w:p>
    <w:p>
      <w:pPr>
        <w:spacing w:after="60"/>
      </w:pPr>
      <w:r>
        <w:rPr>
          <w:b/>
          <w:bCs/>
          <w:i w:val="false"/>
          <w:iCs w:val="false"/>
          <w:sz w:val="21"/>
          <w:szCs w:val="21"/>
        </w:rPr>
        <w:t xml:space="preserve">For the speaker only.</w:t>
      </w:r>
      <w:r>
        <w:rPr>
          <w:b w:val="false"/>
          <w:bCs w:val="false"/>
          <w:i w:val="false"/>
          <w:iCs w:val="false"/>
          <w:sz w:val="21"/>
          <w:szCs w:val="21"/>
        </w:rPr>
        <w:t xml:space="preserve"> Do not distribute to participants.</w:t>
      </w:r>
    </w:p>
    <w:p>
      <w:pPr>
        <w:spacing w:after="60"/>
      </w:pPr>
      <w:r>
        <w:rPr>
          <w:b/>
          <w:bCs/>
          <w:i w:val="false"/>
          <w:iCs w:val="false"/>
          <w:sz w:val="21"/>
          <w:szCs w:val="21"/>
        </w:rPr>
        <w:t xml:space="preserve">Materials:</w:t>
      </w:r>
      <w:r>
        <w:rPr>
          <w:b w:val="false"/>
          <w:bCs w:val="false"/>
          <w:i w:val="false"/>
          <w:iCs w:val="false"/>
          <w:sz w:val="21"/>
          <w:szCs w:val="21"/>
        </w:rPr>
        <w:t xml:space="preserve"> Speaker deck (41 slides with notes), Participant Handout, Workshop Exercise Pack, Gap Assessment Workbook</w:t>
      </w:r>
    </w:p>
    <w:p>
      <w:pPr>
        <w:pBdr>
          <w:bottom w:val="single" w:color="A8730F" w:sz="8" w:space="8"/>
        </w:pBdr>
        <w:spacing w:after="240"/>
      </w:pPr>
      <w:r>
        <w:t xml:space="preserve"/>
      </w:r>
    </w:p>
    <w:p>
      <w:pPr>
        <w:pStyle w:val="Heading1"/>
      </w:pPr>
      <w:r>
        <w:t xml:space="preserve">1. Purpose and audience</w:t>
      </w:r>
    </w:p>
    <w:p>
      <w:pPr>
        <w:spacing w:after="120" w:before="0"/>
      </w:pPr>
      <w:r>
        <w:rPr>
          <w:b w:val="false"/>
          <w:bCs w:val="false"/>
          <w:i w:val="false"/>
          <w:iCs w:val="false"/>
          <w:sz w:val="21"/>
          <w:szCs w:val="21"/>
        </w:rPr>
        <w:t xml:space="preserve">A 90-minute seminar for medical device quality and regulatory professionals, delivered in the second half of 2026. The room will be mixed: firms that closed the transition and are waiting for the first inspection, firms still closing gaps, and a few that have already hosted a QMSR-era inspection. The design serves all three by anchoring everything to the inspection they all face.</w:t>
      </w:r>
    </w:p>
    <w:p>
      <w:pPr>
        <w:pStyle w:val="Heading3"/>
      </w:pPr>
      <w:r>
        <w:t xml:space="preserve">The argument the seminar makes</w:t>
      </w:r>
    </w:p>
    <w:p>
      <w:pPr>
        <w:pStyle w:val="ListParagraph"/>
        <w:numPr>
          <w:ilvl w:val="0"/>
          <w:numId w:val="2"/>
        </w:numPr>
        <w:spacing w:after="80"/>
      </w:pPr>
      <w:r>
        <w:rPr>
          <w:b w:val="false"/>
          <w:bCs w:val="false"/>
          <w:i w:val="false"/>
          <w:iCs w:val="false"/>
          <w:sz w:val="21"/>
          <w:szCs w:val="21"/>
        </w:rPr>
        <w:t xml:space="preserve">The regulation got shorter; the inspection surface got larger. Part 820 is six operative sections. Compliance Program 7382.850 evaluates six QMS Areas and four OAFRs on every inspection.</w:t>
      </w:r>
    </w:p>
    <w:p>
      <w:pPr>
        <w:pStyle w:val="ListParagraph"/>
        <w:numPr>
          <w:ilvl w:val="0"/>
          <w:numId w:val="2"/>
        </w:numPr>
        <w:spacing w:after="80"/>
      </w:pPr>
      <w:r>
        <w:rPr>
          <w:b w:val="false"/>
          <w:bCs w:val="false"/>
          <w:i w:val="false"/>
          <w:iCs w:val="false"/>
          <w:sz w:val="21"/>
          <w:szCs w:val="21"/>
        </w:rPr>
        <w:t xml:space="preserve">ISO 13485 certification is not compliance. Four FDA-specific provisions carry the difference.</w:t>
      </w:r>
    </w:p>
    <w:p>
      <w:pPr>
        <w:pStyle w:val="ListParagraph"/>
        <w:numPr>
          <w:ilvl w:val="0"/>
          <w:numId w:val="2"/>
        </w:numPr>
        <w:spacing w:after="80"/>
      </w:pPr>
      <w:r>
        <w:rPr>
          <w:b w:val="false"/>
          <w:bCs w:val="false"/>
          <w:i w:val="false"/>
          <w:iCs w:val="false"/>
          <w:sz w:val="21"/>
          <w:szCs w:val="21"/>
        </w:rPr>
        <w:t xml:space="preserve">The records that used to be private are now the first thing an investigator may read.</w:t>
      </w:r>
    </w:p>
    <w:p>
      <w:pPr>
        <w:pStyle w:val="ListParagraph"/>
        <w:numPr>
          <w:ilvl w:val="0"/>
          <w:numId w:val="2"/>
        </w:numPr>
        <w:spacing w:after="80"/>
      </w:pPr>
      <w:r>
        <w:rPr>
          <w:b w:val="false"/>
          <w:bCs w:val="false"/>
          <w:i w:val="false"/>
          <w:iCs w:val="false"/>
          <w:sz w:val="21"/>
          <w:szCs w:val="21"/>
        </w:rPr>
        <w:t xml:space="preserve">Renaming is not compliance; evidence is. A gap assessment that scores procedures rather than records will not survive an inspection.</w:t>
      </w:r>
    </w:p>
    <w:p>
      <w:pPr>
        <w:pStyle w:val="Heading1"/>
      </w:pPr>
      <w:r>
        <w:t xml:space="preserve">2. Room, materials and set-up</w:t>
      </w:r>
    </w:p>
    <w:p>
      <w:pPr>
        <w:pStyle w:val="ListParagraph"/>
        <w:numPr>
          <w:ilvl w:val="0"/>
          <w:numId w:val="3"/>
        </w:numPr>
        <w:spacing w:after="60"/>
      </w:pPr>
      <w:r>
        <w:rPr>
          <w:b w:val="false"/>
          <w:bCs w:val="false"/>
          <w:i w:val="false"/>
          <w:iCs w:val="false"/>
          <w:sz w:val="21"/>
          <w:szCs w:val="21"/>
        </w:rPr>
        <w:t xml:space="preserve">Tables of four to six. The exercises do not work in theatre seating; if the room is fixed, pair rows and shorten each exercise by two minutes.</w:t>
      </w:r>
    </w:p>
    <w:p>
      <w:pPr>
        <w:pStyle w:val="ListParagraph"/>
        <w:numPr>
          <w:ilvl w:val="0"/>
          <w:numId w:val="3"/>
        </w:numPr>
        <w:spacing w:after="60"/>
      </w:pPr>
      <w:r>
        <w:rPr>
          <w:b w:val="false"/>
          <w:bCs w:val="false"/>
          <w:i w:val="false"/>
          <w:iCs w:val="false"/>
          <w:sz w:val="21"/>
          <w:szCs w:val="21"/>
        </w:rPr>
        <w:t xml:space="preserve">One Participant Handout and one Workshop Exercise Pack per person. Pens. A flipchart for the opening poll counts and parked questions.</w:t>
      </w:r>
    </w:p>
    <w:p>
      <w:pPr>
        <w:pStyle w:val="ListParagraph"/>
        <w:numPr>
          <w:ilvl w:val="0"/>
          <w:numId w:val="3"/>
        </w:numPr>
        <w:spacing w:after="60"/>
      </w:pPr>
      <w:r>
        <w:rPr>
          <w:b w:val="false"/>
          <w:bCs w:val="false"/>
          <w:i w:val="false"/>
          <w:iCs w:val="false"/>
          <w:sz w:val="21"/>
          <w:szCs w:val="21"/>
        </w:rPr>
        <w:t xml:space="preserve">The Gap Assessment Workbook: email it in advance, or hand out a link or QR code. Mention it three times: at the opening, in the gap-assessment section and at the close.</w:t>
      </w:r>
    </w:p>
    <w:p>
      <w:pPr>
        <w:pStyle w:val="ListParagraph"/>
        <w:numPr>
          <w:ilvl w:val="0"/>
          <w:numId w:val="3"/>
        </w:numPr>
        <w:spacing w:after="60"/>
      </w:pPr>
      <w:r>
        <w:rPr>
          <w:b w:val="false"/>
          <w:bCs w:val="false"/>
          <w:i w:val="false"/>
          <w:iCs w:val="false"/>
          <w:sz w:val="21"/>
          <w:szCs w:val="21"/>
        </w:rPr>
        <w:t xml:space="preserve">A visible timer for the exercises. Exercise A and B are six minutes of table work each; hold the line.</w:t>
      </w:r>
    </w:p>
    <w:p>
      <w:pPr>
        <w:pStyle w:val="ListParagraph"/>
        <w:numPr>
          <w:ilvl w:val="0"/>
          <w:numId w:val="3"/>
        </w:numPr>
        <w:spacing w:after="60"/>
      </w:pPr>
      <w:r>
        <w:rPr>
          <w:b w:val="false"/>
          <w:bCs w:val="false"/>
          <w:i w:val="false"/>
          <w:iCs w:val="false"/>
          <w:sz w:val="21"/>
          <w:szCs w:val="21"/>
        </w:rPr>
        <w:t xml:space="preserve">Fill in the placeholders on slide 1 and slide 41, and on the title pages of the handout and exercise pack.</w:t>
      </w:r>
    </w:p>
    <w:p>
      <w:pPr>
        <w:pStyle w:val="ListParagraph"/>
        <w:numPr>
          <w:ilvl w:val="0"/>
          <w:numId w:val="3"/>
        </w:numPr>
        <w:spacing w:after="60"/>
      </w:pPr>
      <w:r>
        <w:rPr>
          <w:b w:val="false"/>
          <w:bCs w:val="false"/>
          <w:i w:val="false"/>
          <w:iCs w:val="false"/>
          <w:sz w:val="21"/>
          <w:szCs w:val="21"/>
        </w:rPr>
        <w:t xml:space="preserve">Work through section 8 of this guide, the accuracy checklist, in the week before you present.</w:t>
      </w:r>
    </w:p>
    <w:p>
      <w:pPr>
        <w:pStyle w:val="Heading1"/>
      </w:pPr>
      <w:r>
        <w:t xml:space="preserve">3. Run-of-show</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800"/>
        <w:gridCol w:w="900"/>
        <w:gridCol w:w="2600"/>
        <w:gridCol w:w="5780"/>
      </w:tblGrid>
      <w:tr>
        <w:trPr>
          <w:tblHeader/>
        </w:trPr>
        <w:tc>
          <w:tcPr>
            <w:tcW w:type="dxa" w:w="8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Clock</w:t>
            </w:r>
          </w:p>
        </w:tc>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Slides</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Segment</w:t>
            </w:r>
          </w:p>
        </w:tc>
        <w:tc>
          <w:tcPr>
            <w:tcW w:type="dxa" w:w="57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Facilitation notes</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0:00</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Welcome</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One line on your own QMSR experience. State the three deliverables. Point to the three documents.</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0:02</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Agenda</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Ask people to sit in tables of four to six now. Flag the three exercises.</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0:04</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Room poll</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Three shows of hands; write counts on the flipchart. Use the mix to weight Section 5 (Track A or Track B).</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0:06</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4–10</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1: what changed</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Timeline, the six sections, the definitions hierarchy, what disappeared, what did not, myth or fact. Keep the myth-or-fact round to two minutes.</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0:20</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11–16</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2: load-bearing provisions</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§820.10 hooks, §820.35, §820.45, special cases, then the five-record spot check at pace.</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0:30</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17–24</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3: the inspection</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QSIT versus the compliance program, the six areas, types and models, risk as the roadmap, the records shield, how an observation reads, early enforcement. This is the heart of the session.</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0:45</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25</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Exercise A</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6 minutes table work, 4 minutes debrief. Model answers in section 5.</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0:55</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26–31</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4: crosswalk to gap assessment</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Crosswalk at headline level only; spend the time on the scoring method and the recurring findings.</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1:05</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32</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Exercise B</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6 minutes table work, 4 minutes debrief. Answers in section 5.</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1:15</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33–37</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5: the roadmap</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Five phases with exit criteria, sizing, metrics, watch list. Compress here if behind.</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1:23</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38</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Exercise C</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 minutes solo, then one sentence per table.</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1:28</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39–40</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Takeaways and references</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Read the five takeaways slowly. Do not read the reference slide.</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1:29</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41</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Q&amp;A</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Open with the question on the slide. Seed questions in section 7.</w:t>
            </w:r>
          </w:p>
        </w:tc>
      </w:tr>
    </w:tbl>
    <w:p>
      <w:pPr>
        <w:pStyle w:val="Heading3"/>
      </w:pPr>
      <w:r>
        <w:t xml:space="preserve">If you are running behind</w:t>
      </w:r>
    </w:p>
    <w:p>
      <w:pPr>
        <w:pStyle w:val="ListParagraph"/>
        <w:numPr>
          <w:ilvl w:val="0"/>
          <w:numId w:val="3"/>
        </w:numPr>
        <w:spacing w:after="60"/>
      </w:pPr>
      <w:r>
        <w:rPr>
          <w:b w:val="false"/>
          <w:bCs w:val="false"/>
          <w:i w:val="false"/>
          <w:iCs w:val="false"/>
          <w:sz w:val="21"/>
          <w:szCs w:val="21"/>
        </w:rPr>
        <w:t xml:space="preserve">Cut the two crosswalk slides (27 and 28) to a single sentence: the crosswalk is in the handout and the workbook, and FDA never published one.</w:t>
      </w:r>
    </w:p>
    <w:p>
      <w:pPr>
        <w:pStyle w:val="ListParagraph"/>
        <w:numPr>
          <w:ilvl w:val="0"/>
          <w:numId w:val="3"/>
        </w:numPr>
        <w:spacing w:after="60"/>
      </w:pPr>
      <w:r>
        <w:rPr>
          <w:b w:val="false"/>
          <w:bCs w:val="false"/>
          <w:i w:val="false"/>
          <w:iCs w:val="false"/>
          <w:sz w:val="21"/>
          <w:szCs w:val="21"/>
        </w:rPr>
        <w:t xml:space="preserve">Cut slide 15 (special cases) unless the room includes combination-product or Class I firms; the poll will tell you.</w:t>
      </w:r>
    </w:p>
    <w:p>
      <w:pPr>
        <w:pStyle w:val="ListParagraph"/>
        <w:numPr>
          <w:ilvl w:val="0"/>
          <w:numId w:val="3"/>
        </w:numPr>
        <w:spacing w:after="60"/>
      </w:pPr>
      <w:r>
        <w:rPr>
          <w:b w:val="false"/>
          <w:bCs w:val="false"/>
          <w:i w:val="false"/>
          <w:iCs w:val="false"/>
          <w:sz w:val="21"/>
          <w:szCs w:val="21"/>
        </w:rPr>
        <w:t xml:space="preserve">Shorten Exercise B's debrief to one table and the reveal.</w:t>
      </w:r>
    </w:p>
    <w:p>
      <w:pPr>
        <w:pStyle w:val="ListParagraph"/>
        <w:numPr>
          <w:ilvl w:val="0"/>
          <w:numId w:val="3"/>
        </w:numPr>
        <w:spacing w:after="60"/>
      </w:pPr>
      <w:r>
        <w:rPr>
          <w:b w:val="false"/>
          <w:bCs w:val="false"/>
          <w:i w:val="false"/>
          <w:iCs w:val="false"/>
          <w:sz w:val="21"/>
          <w:szCs w:val="21"/>
        </w:rPr>
        <w:t xml:space="preserve">Do not cut Exercise A. It is the exercise people remember.</w:t>
      </w:r>
    </w:p>
    <w:p>
      <w:pPr>
        <w:pStyle w:val="Heading3"/>
      </w:pPr>
      <w:r>
        <w:t xml:space="preserve">If you have extra time</w:t>
      </w:r>
    </w:p>
    <w:p>
      <w:pPr>
        <w:pStyle w:val="ListParagraph"/>
        <w:numPr>
          <w:ilvl w:val="0"/>
          <w:numId w:val="3"/>
        </w:numPr>
        <w:spacing w:after="60"/>
      </w:pPr>
      <w:r>
        <w:rPr>
          <w:b w:val="false"/>
          <w:bCs w:val="false"/>
          <w:i w:val="false"/>
          <w:iCs w:val="false"/>
          <w:sz w:val="21"/>
          <w:szCs w:val="21"/>
        </w:rPr>
        <w:t xml:space="preserve">Let the Exercise B argument about legacy terminology run; it exposes real disagreement about where effort should go.</w:t>
      </w:r>
    </w:p>
    <w:p>
      <w:pPr>
        <w:pStyle w:val="ListParagraph"/>
        <w:numPr>
          <w:ilvl w:val="0"/>
          <w:numId w:val="3"/>
        </w:numPr>
        <w:spacing w:after="60"/>
      </w:pPr>
      <w:r>
        <w:rPr>
          <w:b w:val="false"/>
          <w:bCs w:val="false"/>
          <w:i w:val="false"/>
          <w:iCs w:val="false"/>
          <w:sz w:val="21"/>
          <w:szCs w:val="21"/>
        </w:rPr>
        <w:t xml:space="preserve">Ask anyone who has hosted a QMSR-era inspection to describe the first hour. Give them the floor before your own material.</w:t>
      </w:r>
    </w:p>
    <w:p>
      <w:pPr>
        <w:pStyle w:val="Heading1"/>
      </w:pPr>
      <w:r>
        <w:t xml:space="preserve">4. Delivery notes by section</w:t>
      </w:r>
    </w:p>
    <w:p>
      <w:pPr>
        <w:pStyle w:val="Heading2"/>
      </w:pPr>
      <w:r>
        <w:t xml:space="preserve">Section 1: what changed (slides 4–10)</w:t>
      </w:r>
    </w:p>
    <w:p>
      <w:pPr>
        <w:pStyle w:val="ListParagraph"/>
        <w:numPr>
          <w:ilvl w:val="0"/>
          <w:numId w:val="3"/>
        </w:numPr>
        <w:spacing w:after="60"/>
      </w:pPr>
      <w:r>
        <w:rPr>
          <w:b/>
          <w:bCs/>
          <w:i w:val="false"/>
          <w:iCs w:val="false"/>
          <w:sz w:val="21"/>
          <w:szCs w:val="21"/>
        </w:rPr>
        <w:t xml:space="preserve">The §820.15 trap.</w:t>
      </w:r>
      <w:r>
        <w:rPr>
          <w:b w:val="false"/>
          <w:bCs w:val="false"/>
          <w:i w:val="false"/>
          <w:iCs w:val="false"/>
          <w:sz w:val="21"/>
          <w:szCs w:val="21"/>
        </w:rPr>
        <w:t xml:space="preserve"> The proposed rule had a §820.15 "Clarification of concepts". FDA deleted it and moved the content into §820.3(b), dropping the "validation of processes" clarification. A great deal of published material, including some consultancy checklists, still cites §820.15 as current law. Use it as a credibility test: if a crosswalk cites §820.15, check the rest of it.</w:t>
      </w:r>
    </w:p>
    <w:p>
      <w:pPr>
        <w:pStyle w:val="ListParagraph"/>
        <w:numPr>
          <w:ilvl w:val="0"/>
          <w:numId w:val="3"/>
        </w:numPr>
        <w:spacing w:after="60"/>
      </w:pPr>
      <w:r>
        <w:rPr>
          <w:b/>
          <w:bCs/>
          <w:i w:val="false"/>
          <w:iCs w:val="false"/>
          <w:sz w:val="21"/>
          <w:szCs w:val="21"/>
        </w:rPr>
        <w:t xml:space="preserve">Dates.</w:t>
      </w:r>
      <w:r>
        <w:rPr>
          <w:b w:val="false"/>
          <w:bCs w:val="false"/>
          <w:i w:val="false"/>
          <w:iCs w:val="false"/>
          <w:sz w:val="21"/>
          <w:szCs w:val="21"/>
        </w:rPr>
        <w:t xml:space="preserve"> The final rule was published 2 February 2024 at 89 FR 7496; FDA's FAQ page says it was issued on 31 January 2024, which is the public-inspection date. Either is defensible; say which you mean. The compliance program PDF cover says 2 February 2026 while several law firms report it was posted on 30 January 2026.</w:t>
      </w:r>
    </w:p>
    <w:p>
      <w:pPr>
        <w:pStyle w:val="ListParagraph"/>
        <w:numPr>
          <w:ilvl w:val="0"/>
          <w:numId w:val="3"/>
        </w:numPr>
        <w:spacing w:after="60"/>
      </w:pPr>
      <w:r>
        <w:rPr>
          <w:b/>
          <w:bCs/>
          <w:i w:val="false"/>
          <w:iCs w:val="false"/>
          <w:sz w:val="21"/>
          <w:szCs w:val="21"/>
        </w:rPr>
        <w:t xml:space="preserve">"Safety and performance".</w:t>
      </w:r>
      <w:r>
        <w:rPr>
          <w:b w:val="false"/>
          <w:bCs w:val="false"/>
          <w:i w:val="false"/>
          <w:iCs w:val="false"/>
          <w:sz w:val="21"/>
          <w:szCs w:val="21"/>
        </w:rPr>
        <w:t xml:space="preserve"> FDA agreed with commenters that the phrases are not interchangeable and narrowed the clarification to Clause 0.1 of the Introduction. The practical message: do not rewrite design inputs; do make sure the QMS assures safety and effectiveness.</w:t>
      </w:r>
    </w:p>
    <w:p>
      <w:pPr>
        <w:pStyle w:val="ListParagraph"/>
        <w:numPr>
          <w:ilvl w:val="0"/>
          <w:numId w:val="3"/>
        </w:numPr>
        <w:spacing w:after="60"/>
      </w:pPr>
      <w:r>
        <w:rPr>
          <w:b/>
          <w:bCs/>
          <w:i w:val="false"/>
          <w:iCs w:val="false"/>
          <w:sz w:val="21"/>
          <w:szCs w:val="21"/>
        </w:rPr>
        <w:t xml:space="preserve">Records.</w:t>
      </w:r>
      <w:r>
        <w:rPr>
          <w:b w:val="false"/>
          <w:bCs w:val="false"/>
          <w:i w:val="false"/>
          <w:iCs w:val="false"/>
          <w:sz w:val="21"/>
          <w:szCs w:val="21"/>
        </w:rPr>
        <w:t xml:space="preserve"> The single most consequential change for a well-run firm is the removal of the §820.180(c) exemption. If you have only five minutes of this section, spend them here.</w:t>
      </w:r>
    </w:p>
    <w:p>
      <w:pPr>
        <w:pStyle w:val="ListParagraph"/>
        <w:numPr>
          <w:ilvl w:val="0"/>
          <w:numId w:val="3"/>
        </w:numPr>
        <w:spacing w:after="60"/>
      </w:pPr>
      <w:r>
        <w:rPr>
          <w:b/>
          <w:bCs/>
          <w:i w:val="false"/>
          <w:iCs w:val="false"/>
          <w:sz w:val="21"/>
          <w:szCs w:val="21"/>
        </w:rPr>
        <w:t xml:space="preserve">Technical amendments.</w:t>
      </w:r>
      <w:r>
        <w:rPr>
          <w:b w:val="false"/>
          <w:bCs w:val="false"/>
          <w:i w:val="false"/>
          <w:iCs w:val="false"/>
          <w:sz w:val="21"/>
          <w:szCs w:val="21"/>
        </w:rPr>
        <w:t xml:space="preserve"> The December 2025 rule re-pointed 179 sections in 18 parts. It imposed no new obligations. If someone asks whether they need to act on it: no, but their procedures should cite §820.35 and §820.10(c) rather than §820.180, §820.198 and §820.30.</w:t>
      </w:r>
    </w:p>
    <w:p>
      <w:pPr>
        <w:pStyle w:val="Heading2"/>
      </w:pPr>
      <w:r>
        <w:t xml:space="preserve">Section 2: load-bearing provisions (slides 11–16)</w:t>
      </w:r>
    </w:p>
    <w:p>
      <w:pPr>
        <w:pStyle w:val="ListParagraph"/>
        <w:numPr>
          <w:ilvl w:val="0"/>
          <w:numId w:val="3"/>
        </w:numPr>
        <w:spacing w:after="60"/>
      </w:pPr>
      <w:r>
        <w:rPr>
          <w:b w:val="false"/>
          <w:bCs w:val="false"/>
          <w:i w:val="false"/>
          <w:iCs w:val="false"/>
          <w:sz w:val="21"/>
          <w:szCs w:val="21"/>
        </w:rPr>
        <w:t xml:space="preserve">Read the §820.35(a) list against the room's own complaint forms. Ask for a show of hands on the UDI field and on a documented reportability decision. In most rooms one of the two is missing.</w:t>
      </w:r>
    </w:p>
    <w:p>
      <w:pPr>
        <w:pStyle w:val="ListParagraph"/>
        <w:numPr>
          <w:ilvl w:val="0"/>
          <w:numId w:val="3"/>
        </w:numPr>
        <w:spacing w:after="60"/>
      </w:pPr>
      <w:r>
        <w:rPr>
          <w:b w:val="false"/>
          <w:bCs w:val="false"/>
          <w:i w:val="false"/>
          <w:iCs w:val="false"/>
          <w:sz w:val="21"/>
          <w:szCs w:val="21"/>
        </w:rPr>
        <w:t xml:space="preserve">§820.45 is the easiest objective citation in the regulation and the one certified-only firms most often fail. A single "labels verified" checkbox is not a five-element examination record.</w:t>
      </w:r>
    </w:p>
    <w:p>
      <w:pPr>
        <w:pStyle w:val="ListParagraph"/>
        <w:numPr>
          <w:ilvl w:val="0"/>
          <w:numId w:val="3"/>
        </w:numPr>
        <w:spacing w:after="60"/>
      </w:pPr>
      <w:r>
        <w:rPr>
          <w:b w:val="false"/>
          <w:bCs w:val="false"/>
          <w:i w:val="false"/>
          <w:iCs w:val="false"/>
          <w:sz w:val="21"/>
          <w:szCs w:val="21"/>
        </w:rPr>
        <w:t xml:space="preserve">On automated readers, FDA's position is precise: readers are allowed where followed by human oversight, and a designated individual must examine at minimum a representative sample of the labels checked.</w:t>
      </w:r>
    </w:p>
    <w:p>
      <w:pPr>
        <w:pStyle w:val="ListParagraph"/>
        <w:numPr>
          <w:ilvl w:val="0"/>
          <w:numId w:val="3"/>
        </w:numPr>
        <w:spacing w:after="60"/>
      </w:pPr>
      <w:r>
        <w:rPr>
          <w:b w:val="false"/>
          <w:bCs w:val="false"/>
          <w:i w:val="false"/>
          <w:iCs w:val="false"/>
          <w:sz w:val="21"/>
          <w:szCs w:val="21"/>
        </w:rPr>
        <w:t xml:space="preserve">The spot check on slide 16 moves fast. Answers: (1) missing UDI or other identification; (2) no documented Part 803 evaluation; (3) no documented justification for not investigating; (4) correction taken but not recorded, and no reply recorded; (5) a service report describing a possible MDR-reportable failure never screened as a complaint.</w:t>
      </w:r>
    </w:p>
    <w:p>
      <w:pPr>
        <w:pStyle w:val="Heading2"/>
      </w:pPr>
      <w:r>
        <w:t xml:space="preserve">Section 3: the inspection (slides 17–24)</w:t>
      </w:r>
    </w:p>
    <w:p>
      <w:pPr>
        <w:pStyle w:val="ListParagraph"/>
        <w:numPr>
          <w:ilvl w:val="0"/>
          <w:numId w:val="3"/>
        </w:numPr>
        <w:spacing w:after="60"/>
      </w:pPr>
      <w:r>
        <w:rPr>
          <w:b w:val="false"/>
          <w:bCs w:val="false"/>
          <w:i w:val="false"/>
          <w:iCs w:val="false"/>
          <w:sz w:val="21"/>
          <w:szCs w:val="21"/>
        </w:rPr>
        <w:t xml:space="preserve">Say plainly that the compliance program is 78 pages, public, and that most firms have not read it. Attachment A is the part to read: it tabulates every element with its ISO clause and QMSR section.</w:t>
      </w:r>
    </w:p>
    <w:p>
      <w:pPr>
        <w:pStyle w:val="ListParagraph"/>
        <w:numPr>
          <w:ilvl w:val="0"/>
          <w:numId w:val="3"/>
        </w:numPr>
        <w:spacing w:after="60"/>
      </w:pPr>
      <w:r>
        <w:rPr>
          <w:b w:val="false"/>
          <w:bCs w:val="false"/>
          <w:i w:val="false"/>
          <w:iCs w:val="false"/>
          <w:sz w:val="21"/>
          <w:szCs w:val="21"/>
        </w:rPr>
        <w:t xml:space="preserve">The two structural changes to stress: every inspection now touches every part of the QMS to some extent, and there are no sampling tables.</w:t>
      </w:r>
    </w:p>
    <w:p>
      <w:pPr>
        <w:pStyle w:val="ListParagraph"/>
        <w:numPr>
          <w:ilvl w:val="0"/>
          <w:numId w:val="3"/>
        </w:numPr>
        <w:spacing w:after="60"/>
      </w:pPr>
      <w:r>
        <w:rPr>
          <w:b w:val="false"/>
          <w:bCs w:val="false"/>
          <w:i w:val="false"/>
          <w:iCs w:val="false"/>
          <w:sz w:val="21"/>
          <w:szCs w:val="21"/>
        </w:rPr>
        <w:t xml:space="preserve">On Model 1 versus Model 2: most firms in the room get Model 1. Model 2 applies to baseline surveillance, meaning no FDA inspection or MDSAP audit history, and to PMA preapproval.</w:t>
      </w:r>
    </w:p>
    <w:p>
      <w:pPr>
        <w:pStyle w:val="ListParagraph"/>
        <w:numPr>
          <w:ilvl w:val="0"/>
          <w:numId w:val="3"/>
        </w:numPr>
        <w:spacing w:after="60"/>
      </w:pPr>
      <w:r>
        <w:rPr>
          <w:b w:val="false"/>
          <w:bCs w:val="false"/>
          <w:i w:val="false"/>
          <w:iCs w:val="false"/>
          <w:sz w:val="21"/>
          <w:szCs w:val="21"/>
        </w:rPr>
        <w:t xml:space="preserve">MDSAP: surveillance inspections are not conducted at sites actively enrolled, but for-cause, compliance follow-up, Specific Product Risk Assignment and PMA inspections still happen. A notified body ISO 13485 audit does not satisfy Clause 8.2.4.</w:t>
      </w:r>
    </w:p>
    <w:p>
      <w:pPr>
        <w:pStyle w:val="ListParagraph"/>
        <w:numPr>
          <w:ilvl w:val="0"/>
          <w:numId w:val="3"/>
        </w:numPr>
        <w:spacing w:after="60"/>
      </w:pPr>
      <w:r>
        <w:rPr>
          <w:b/>
          <w:bCs/>
          <w:i w:val="false"/>
          <w:iCs w:val="false"/>
          <w:sz w:val="21"/>
          <w:szCs w:val="21"/>
        </w:rPr>
        <w:t xml:space="preserve">The risk answer.</w:t>
      </w:r>
      <w:r>
        <w:rPr>
          <w:b w:val="false"/>
          <w:bCs w:val="false"/>
          <w:i w:val="false"/>
          <w:iCs w:val="false"/>
          <w:sz w:val="21"/>
          <w:szCs w:val="21"/>
        </w:rPr>
        <w:t xml:space="preserve"> Teach the three-part structure and make the room say it: the risk identified, the record where the decision lives, the evidence the control worked. Reciting a procedure number prompts a deeper pull.</w:t>
      </w:r>
    </w:p>
    <w:p>
      <w:pPr>
        <w:pStyle w:val="ListParagraph"/>
        <w:numPr>
          <w:ilvl w:val="0"/>
          <w:numId w:val="3"/>
        </w:numPr>
        <w:spacing w:after="60"/>
      </w:pPr>
      <w:r>
        <w:rPr>
          <w:b w:val="false"/>
          <w:bCs w:val="false"/>
          <w:i w:val="false"/>
          <w:iCs w:val="false"/>
          <w:sz w:val="21"/>
          <w:szCs w:val="21"/>
        </w:rPr>
        <w:t xml:space="preserve">On sanitizing records: be unambiguous. It is bad advice, it is visible, and the compliance program lists "feedback not used as a risk input" and "failure to correct the same deficiencies" among its OAI examples. Candid records with closed loops are protective.</w:t>
      </w:r>
    </w:p>
    <w:p>
      <w:pPr>
        <w:pStyle w:val="ListParagraph"/>
        <w:numPr>
          <w:ilvl w:val="0"/>
          <w:numId w:val="3"/>
        </w:numPr>
        <w:spacing w:after="60"/>
      </w:pPr>
      <w:r>
        <w:rPr>
          <w:b w:val="false"/>
          <w:bCs w:val="false"/>
          <w:i w:val="false"/>
          <w:iCs w:val="false"/>
          <w:sz w:val="21"/>
          <w:szCs w:val="21"/>
        </w:rPr>
        <w:t xml:space="preserve">Quote FDA officials for the enforcement picture and label vendor statistics as vendor statistics. FDA has not published QMSR-era citation data; the first official dataset is expected after the fiscal year ends on 30 September 2026.</w:t>
      </w:r>
    </w:p>
    <w:p>
      <w:pPr>
        <w:pStyle w:val="Heading2"/>
      </w:pPr>
      <w:r>
        <w:t xml:space="preserve">Section 4 and 5 (slides 26–37)</w:t>
      </w:r>
    </w:p>
    <w:p>
      <w:pPr>
        <w:pStyle w:val="ListParagraph"/>
        <w:numPr>
          <w:ilvl w:val="0"/>
          <w:numId w:val="3"/>
        </w:numPr>
        <w:spacing w:after="60"/>
      </w:pPr>
      <w:r>
        <w:rPr>
          <w:b w:val="false"/>
          <w:bCs w:val="false"/>
          <w:i w:val="false"/>
          <w:iCs w:val="false"/>
          <w:sz w:val="21"/>
          <w:szCs w:val="21"/>
        </w:rPr>
        <w:t xml:space="preserve">The crosswalk slides exist so nobody asks for them afterwards. Say that FDA refused to publish one (Comment 18) and that the only official mapping is subpart-level, in the 2022 proposed rule.</w:t>
      </w:r>
    </w:p>
    <w:p>
      <w:pPr>
        <w:pStyle w:val="ListParagraph"/>
        <w:numPr>
          <w:ilvl w:val="0"/>
          <w:numId w:val="3"/>
        </w:numPr>
        <w:spacing w:after="60"/>
      </w:pPr>
      <w:r>
        <w:rPr>
          <w:b w:val="false"/>
          <w:bCs w:val="false"/>
          <w:i w:val="false"/>
          <w:iCs w:val="false"/>
          <w:sz w:val="21"/>
          <w:szCs w:val="21"/>
        </w:rPr>
        <w:t xml:space="preserve">The gap-assessment method is the transferable content: three axes, sort by exposure, and one decisive column, "record sampled and what it lacked".</w:t>
      </w:r>
    </w:p>
    <w:p>
      <w:pPr>
        <w:pStyle w:val="ListParagraph"/>
        <w:numPr>
          <w:ilvl w:val="0"/>
          <w:numId w:val="3"/>
        </w:numPr>
        <w:spacing w:after="60"/>
      </w:pPr>
      <w:r>
        <w:rPr>
          <w:b w:val="false"/>
          <w:bCs w:val="false"/>
          <w:i w:val="false"/>
          <w:iCs w:val="false"/>
          <w:sz w:val="21"/>
          <w:szCs w:val="21"/>
        </w:rPr>
        <w:t xml:space="preserve">On the roadmap: the exit criterion matters more than the phase. "We updated the procedures" is not a finish line; "every requirement sampled with at least one record" is.</w:t>
      </w:r>
    </w:p>
    <w:p>
      <w:pPr>
        <w:pStyle w:val="ListParagraph"/>
        <w:numPr>
          <w:ilvl w:val="0"/>
          <w:numId w:val="3"/>
        </w:numPr>
        <w:spacing w:after="60"/>
      </w:pPr>
      <w:r>
        <w:rPr>
          <w:b w:val="false"/>
          <w:bCs w:val="false"/>
          <w:i w:val="false"/>
          <w:iCs w:val="false"/>
          <w:sz w:val="21"/>
          <w:szCs w:val="21"/>
        </w:rPr>
        <w:t xml:space="preserve">Sizing: name the three archetypes and let people self-identify. A small Class I firm being handed an enterprise programme is the most common consultancy failure.</w:t>
      </w:r>
    </w:p>
    <w:p>
      <w:pPr>
        <w:pStyle w:val="Heading1"/>
      </w:pPr>
      <w:r>
        <w:t xml:space="preserve">5. Exercise answers</w:t>
      </w:r>
    </w:p>
    <w:p>
      <w:pPr>
        <w:pStyle w:val="Heading2"/>
      </w:pPr>
      <w:r>
        <w:t xml:space="preserve">5.1 Exercise A: red-team the records</w:t>
      </w:r>
    </w:p>
    <w:p>
      <w:pPr>
        <w:spacing w:after="120" w:before="0"/>
      </w:pPr>
      <w:r>
        <w:rPr>
          <w:b w:val="false"/>
          <w:bCs w:val="false"/>
          <w:i w:val="false"/>
          <w:iCs w:val="false"/>
          <w:sz w:val="21"/>
          <w:szCs w:val="21"/>
        </w:rPr>
        <w:t xml:space="preserve">The three records are built to fail in ways FDA has actually cited. Let the tables find them; then give the model answers.</w:t>
      </w:r>
    </w:p>
    <w:p>
      <w:pPr>
        <w:pStyle w:val="Heading3"/>
      </w:pPr>
      <w:r>
        <w:t xml:space="preserve">Record A1, management review minutes: what is missing</w:t>
      </w:r>
    </w:p>
    <w:p>
      <w:pPr>
        <w:pStyle w:val="ListParagraph"/>
        <w:numPr>
          <w:ilvl w:val="0"/>
          <w:numId w:val="3"/>
        </w:numPr>
        <w:spacing w:after="60"/>
      </w:pPr>
      <w:r>
        <w:rPr>
          <w:b/>
          <w:bCs/>
          <w:i w:val="false"/>
          <w:iCs w:val="false"/>
          <w:sz w:val="21"/>
          <w:szCs w:val="21"/>
        </w:rPr>
        <w:t xml:space="preserve">Clause 5.6.2 inputs absent or nominal.</w:t>
      </w:r>
      <w:r>
        <w:rPr>
          <w:b w:val="false"/>
          <w:bCs w:val="false"/>
          <w:i w:val="false"/>
          <w:iCs w:val="false"/>
          <w:sz w:val="21"/>
          <w:szCs w:val="21"/>
        </w:rPr>
        <w:t xml:space="preserve"> No regulatory reporting (MDR, Part 806) input at all. Complaints reported as a count with "no adverse trends identified" and no trend data. Supplier performance recorded as "no supplier issues to report" while a critical supplier audit sits unresolved (Record A3). No process or product monitoring input. No feedback input beyond a satisfaction score. No input on changes or on new or revised regulatory requirements, which in 2026 should have included the QMSR itself.</w:t>
      </w:r>
    </w:p>
    <w:p>
      <w:pPr>
        <w:pStyle w:val="ListParagraph"/>
        <w:numPr>
          <w:ilvl w:val="0"/>
          <w:numId w:val="3"/>
        </w:numPr>
        <w:spacing w:after="60"/>
      </w:pPr>
      <w:r>
        <w:rPr>
          <w:b/>
          <w:bCs/>
          <w:i w:val="false"/>
          <w:iCs w:val="false"/>
          <w:sz w:val="21"/>
          <w:szCs w:val="21"/>
        </w:rPr>
        <w:t xml:space="preserve">Clause 5.6.3 outputs absent.</w:t>
      </w:r>
      <w:r>
        <w:rPr>
          <w:b w:val="false"/>
          <w:bCs w:val="false"/>
          <w:i w:val="false"/>
          <w:iCs w:val="false"/>
          <w:sz w:val="21"/>
          <w:szCs w:val="21"/>
        </w:rPr>
        <w:t xml:space="preserve"> There are no decisions, no actions and no resource commitments. "The quality management system continues to be effective and suitable" is a conclusion without evidence.</w:t>
      </w:r>
    </w:p>
    <w:p>
      <w:pPr>
        <w:pStyle w:val="ListParagraph"/>
        <w:numPr>
          <w:ilvl w:val="0"/>
          <w:numId w:val="3"/>
        </w:numPr>
        <w:spacing w:after="60"/>
      </w:pPr>
      <w:r>
        <w:rPr>
          <w:b/>
          <w:bCs/>
          <w:i w:val="false"/>
          <w:iCs w:val="false"/>
          <w:sz w:val="21"/>
          <w:szCs w:val="21"/>
        </w:rPr>
        <w:t xml:space="preserve">No risk-based prioritisation.</w:t>
      </w:r>
      <w:r>
        <w:rPr>
          <w:b w:val="false"/>
          <w:bCs w:val="false"/>
          <w:i w:val="false"/>
          <w:iCs w:val="false"/>
          <w:sz w:val="21"/>
          <w:szCs w:val="21"/>
        </w:rPr>
        <w:t xml:space="preserve"> Nothing links the review to product risk, which is what the compliance program puts under Management Oversight.</w:t>
      </w:r>
    </w:p>
    <w:p>
      <w:pPr>
        <w:pStyle w:val="ListParagraph"/>
        <w:numPr>
          <w:ilvl w:val="0"/>
          <w:numId w:val="3"/>
        </w:numPr>
        <w:spacing w:after="60"/>
      </w:pPr>
      <w:r>
        <w:rPr>
          <w:b/>
          <w:bCs/>
          <w:i w:val="false"/>
          <w:iCs w:val="false"/>
          <w:sz w:val="21"/>
          <w:szCs w:val="21"/>
        </w:rPr>
        <w:t xml:space="preserve">CAPA age of 142 days recorded without comment</w:t>
      </w:r>
      <w:r>
        <w:rPr>
          <w:b w:val="false"/>
          <w:bCs w:val="false"/>
          <w:i w:val="false"/>
          <w:iCs w:val="false"/>
          <w:sz w:val="21"/>
          <w:szCs w:val="21"/>
        </w:rPr>
        <w:t xml:space="preserve">, and no follow-up on the 2023 inspection observations on complaint handling and CAPA effectiveness.</w:t>
      </w:r>
    </w:p>
    <w:p>
      <w:pPr>
        <w:pStyle w:val="ListParagraph"/>
        <w:numPr>
          <w:ilvl w:val="0"/>
          <w:numId w:val="3"/>
        </w:numPr>
        <w:spacing w:after="60"/>
      </w:pPr>
      <w:r>
        <w:rPr>
          <w:b/>
          <w:bCs/>
          <w:i w:val="false"/>
          <w:iCs w:val="false"/>
          <w:sz w:val="21"/>
          <w:szCs w:val="21"/>
        </w:rPr>
        <w:t xml:space="preserve">The QMSR line is a red flag</w:t>
      </w:r>
      <w:r>
        <w:rPr>
          <w:b w:val="false"/>
          <w:bCs w:val="false"/>
          <w:i w:val="false"/>
          <w:iCs w:val="false"/>
          <w:sz w:val="21"/>
          <w:szCs w:val="21"/>
        </w:rPr>
        <w:t xml:space="preserve">: "transition project closed, no further action" invites the investigator to test whether it actually closed.</w:t>
      </w:r>
    </w:p>
    <w:p>
      <w:pPr>
        <w:pStyle w:val="ListParagraph"/>
        <w:numPr>
          <w:ilvl w:val="0"/>
          <w:numId w:val="3"/>
        </w:numPr>
        <w:spacing w:after="60"/>
      </w:pPr>
      <w:r>
        <w:rPr>
          <w:b/>
          <w:bCs/>
          <w:i w:val="false"/>
          <w:iCs w:val="false"/>
          <w:sz w:val="21"/>
          <w:szCs w:val="21"/>
        </w:rPr>
        <w:t xml:space="preserve">Annual cadence</w:t>
      </w:r>
      <w:r>
        <w:rPr>
          <w:b w:val="false"/>
          <w:bCs w:val="false"/>
          <w:i w:val="false"/>
          <w:iCs w:val="false"/>
          <w:sz w:val="21"/>
          <w:szCs w:val="21"/>
        </w:rPr>
        <w:t xml:space="preserve"> with the next review in January 2027 is a choice the firm must justify against its risk profile; the absent VP Regulatory Affairs is the second signal.</w:t>
      </w:r>
    </w:p>
    <w:p>
      <w:pPr>
        <w:pStyle w:val="Heading3"/>
      </w:pPr>
      <w:r>
        <w:t xml:space="preserve">Record A2, internal audit summary: what is missing</w:t>
      </w:r>
    </w:p>
    <w:p>
      <w:pPr>
        <w:pStyle w:val="ListParagraph"/>
        <w:numPr>
          <w:ilvl w:val="0"/>
          <w:numId w:val="3"/>
        </w:numPr>
        <w:spacing w:after="60"/>
      </w:pPr>
      <w:r>
        <w:rPr>
          <w:b/>
          <w:bCs/>
          <w:i w:val="false"/>
          <w:iCs w:val="false"/>
          <w:sz w:val="21"/>
          <w:szCs w:val="21"/>
        </w:rPr>
        <w:t xml:space="preserve">A 2019 "21 CFR 820.50" checklist</w:t>
      </w:r>
      <w:r>
        <w:rPr>
          <w:b w:val="false"/>
          <w:bCs w:val="false"/>
          <w:i w:val="false"/>
          <w:iCs w:val="false"/>
          <w:sz w:val="21"/>
          <w:szCs w:val="21"/>
        </w:rPr>
        <w:t xml:space="preserve"> means the audit did not test the current requirement. Clause 7.4.1 requires criteria for evaluation and selection proportionate to risk, and monitoring and re-evaluation. Clause 4.1.5 covers outsourced processes. Neither was audited.</w:t>
      </w:r>
    </w:p>
    <w:p>
      <w:pPr>
        <w:pStyle w:val="ListParagraph"/>
        <w:numPr>
          <w:ilvl w:val="0"/>
          <w:numId w:val="3"/>
        </w:numPr>
        <w:spacing w:after="60"/>
      </w:pPr>
      <w:r>
        <w:rPr>
          <w:b/>
          <w:bCs/>
          <w:i w:val="false"/>
          <w:iCs w:val="false"/>
          <w:sz w:val="21"/>
          <w:szCs w:val="21"/>
        </w:rPr>
        <w:t xml:space="preserve">Findings downgraded to "opportunities for improvement"</w:t>
      </w:r>
      <w:r>
        <w:rPr>
          <w:b w:val="false"/>
          <w:bCs w:val="false"/>
          <w:i w:val="false"/>
          <w:iCs w:val="false"/>
          <w:sz w:val="21"/>
          <w:szCs w:val="21"/>
        </w:rPr>
        <w:t xml:space="preserve"> to avoid raising nonconformities. An approved supplier list unreviewed since 2024 and missing questionnaires for two active suppliers are findings against a documented requirement.</w:t>
      </w:r>
    </w:p>
    <w:p>
      <w:pPr>
        <w:pStyle w:val="ListParagraph"/>
        <w:numPr>
          <w:ilvl w:val="0"/>
          <w:numId w:val="3"/>
        </w:numPr>
        <w:spacing w:after="60"/>
      </w:pPr>
      <w:r>
        <w:rPr>
          <w:b/>
          <w:bCs/>
          <w:i w:val="false"/>
          <w:iCs w:val="false"/>
          <w:sz w:val="21"/>
          <w:szCs w:val="21"/>
        </w:rPr>
        <w:t xml:space="preserve">"Systemic weakness ... as noted in prior audits" with no evidence and no CAPA</w:t>
      </w:r>
      <w:r>
        <w:rPr>
          <w:b w:val="false"/>
          <w:bCs w:val="false"/>
          <w:i w:val="false"/>
          <w:iCs w:val="false"/>
          <w:sz w:val="21"/>
          <w:szCs w:val="21"/>
        </w:rPr>
        <w:t xml:space="preserve"> is the worst of both worlds: it hands the investigator a self-identified systemic issue and shows the firm did not act. Compliance Program Situation 1 includes failure to correct the same or similar significant deficiencies.</w:t>
      </w:r>
    </w:p>
    <w:p>
      <w:pPr>
        <w:pStyle w:val="ListParagraph"/>
        <w:numPr>
          <w:ilvl w:val="0"/>
          <w:numId w:val="3"/>
        </w:numPr>
        <w:spacing w:after="60"/>
      </w:pPr>
      <w:r>
        <w:rPr>
          <w:b/>
          <w:bCs/>
          <w:i w:val="false"/>
          <w:iCs w:val="false"/>
          <w:sz w:val="21"/>
          <w:szCs w:val="21"/>
        </w:rPr>
        <w:t xml:space="preserve">Auditor independence</w:t>
      </w:r>
      <w:r>
        <w:rPr>
          <w:b w:val="false"/>
          <w:bCs w:val="false"/>
          <w:i w:val="false"/>
          <w:iCs w:val="false"/>
          <w:sz w:val="21"/>
          <w:szCs w:val="21"/>
        </w:rPr>
        <w:t xml:space="preserve"> is worth a question: the auditor reports to the function's ultimate owner.</w:t>
      </w:r>
    </w:p>
    <w:p>
      <w:pPr>
        <w:pStyle w:val="ListParagraph"/>
        <w:numPr>
          <w:ilvl w:val="0"/>
          <w:numId w:val="3"/>
        </w:numPr>
        <w:spacing w:after="60"/>
      </w:pPr>
      <w:r>
        <w:rPr>
          <w:b w:val="false"/>
          <w:bCs w:val="false"/>
          <w:i w:val="false"/>
          <w:iCs w:val="false"/>
          <w:sz w:val="21"/>
          <w:szCs w:val="21"/>
        </w:rPr>
        <w:t xml:space="preserve">The fix is not to soften the wording. The fix is to raise the nonconformity, open the CAPA, and let the record show the loop closing.</w:t>
      </w:r>
    </w:p>
    <w:p>
      <w:pPr>
        <w:pStyle w:val="Heading3"/>
      </w:pPr>
      <w:r>
        <w:t xml:space="preserve">Record A3, supplier audit: what is missing</w:t>
      </w:r>
    </w:p>
    <w:p>
      <w:pPr>
        <w:pStyle w:val="ListParagraph"/>
        <w:numPr>
          <w:ilvl w:val="0"/>
          <w:numId w:val="3"/>
        </w:numPr>
        <w:spacing w:after="60"/>
      </w:pPr>
      <w:r>
        <w:rPr>
          <w:b/>
          <w:bCs/>
          <w:i w:val="false"/>
          <w:iCs w:val="false"/>
          <w:sz w:val="21"/>
          <w:szCs w:val="21"/>
        </w:rPr>
        <w:t xml:space="preserve">A critical supplier audited by remote document review only</w:t>
      </w:r>
      <w:r>
        <w:rPr>
          <w:b w:val="false"/>
          <w:bCs w:val="false"/>
          <w:i w:val="false"/>
          <w:iCs w:val="false"/>
          <w:sz w:val="21"/>
          <w:szCs w:val="21"/>
        </w:rPr>
        <w:t xml:space="preserve">, with three minor findings, a supplier response of "actions in progress", and no follow-up recorded in nine months.</w:t>
      </w:r>
    </w:p>
    <w:p>
      <w:pPr>
        <w:pStyle w:val="ListParagraph"/>
        <w:numPr>
          <w:ilvl w:val="0"/>
          <w:numId w:val="3"/>
        </w:numPr>
        <w:spacing w:after="60"/>
      </w:pPr>
      <w:r>
        <w:rPr>
          <w:b/>
          <w:bCs/>
          <w:i w:val="false"/>
          <w:iCs w:val="false"/>
          <w:sz w:val="21"/>
          <w:szCs w:val="21"/>
        </w:rPr>
        <w:t xml:space="preserve">Re-approval on a scorecard.</w:t>
      </w:r>
      <w:r>
        <w:rPr>
          <w:b w:val="false"/>
          <w:bCs w:val="false"/>
          <w:i w:val="false"/>
          <w:iCs w:val="false"/>
          <w:sz w:val="21"/>
          <w:szCs w:val="21"/>
        </w:rPr>
        <w:t xml:space="preserve"> Status APPROVED and rating GREEN rest on delivery and reject data, not on the open findings. This is the Koven pattern: a procedure defining a supplier as critical, and no evidence the defined control was performed.</w:t>
      </w:r>
    </w:p>
    <w:p>
      <w:pPr>
        <w:pStyle w:val="ListParagraph"/>
        <w:numPr>
          <w:ilvl w:val="0"/>
          <w:numId w:val="3"/>
        </w:numPr>
        <w:spacing w:after="60"/>
      </w:pPr>
      <w:r>
        <w:rPr>
          <w:b/>
          <w:bCs/>
          <w:i w:val="false"/>
          <w:iCs w:val="false"/>
          <w:sz w:val="21"/>
          <w:szCs w:val="21"/>
        </w:rPr>
        <w:t xml:space="preserve">Missing change notification.</w:t>
      </w:r>
      <w:r>
        <w:rPr>
          <w:b w:val="false"/>
          <w:bCs w:val="false"/>
          <w:i w:val="false"/>
          <w:iCs w:val="false"/>
          <w:sz w:val="21"/>
          <w:szCs w:val="21"/>
        </w:rPr>
        <w:t xml:space="preserve"> Finding 2 is the one with teeth: no documented process for the supplier to notify process changes, which breaks change control (Clause 7.4.2, 7.4.3 and the Change Control QMS Area) and risk re-evaluation.</w:t>
      </w:r>
    </w:p>
    <w:p>
      <w:pPr>
        <w:pStyle w:val="Heading3"/>
      </w:pPr>
      <w:r>
        <w:t xml:space="preserve">Model observation (one of several defensible versions)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val="false"/>
                <w:bCs w:val="false"/>
                <w:i w:val="false"/>
                <w:iCs w:val="false"/>
                <w:sz w:val="20"/>
                <w:szCs w:val="20"/>
              </w:rPr>
              <w:t xml:space="preserve">"Failure to maintain records of management review that include the inputs required by ISO 13485:2016, Clause 5.6.2, and that record the decisions and actions required by Clause 5.6.3. Specifically, the management review minutes dated 14 July 2026 contain no input on reporting to regulatory authorities, no complaint or feedback trend data, no process or product monitoring data, and no supplier performance data other than the statement 'no supplier issues to report', notwithstanding three unresolved findings from supplier audit SA-2025-11 of a supplier your procedure QP-740 Appendix A defines as 'Critical'. The minutes record no decisions, actions or resource allocations."</w:t>
            </w:r>
          </w:p>
        </w:tc>
      </w:tr>
    </w:tbl>
    <w:p>
      <w:pPr>
        <w:pStyle w:val="Heading3"/>
      </w:pPr>
      <w:r>
        <w:t xml:space="preserve">What makes a credible response</w:t>
      </w:r>
    </w:p>
    <w:p>
      <w:pPr>
        <w:pStyle w:val="ListParagraph"/>
        <w:numPr>
          <w:ilvl w:val="0"/>
          <w:numId w:val="3"/>
        </w:numPr>
        <w:spacing w:after="60"/>
      </w:pPr>
      <w:r>
        <w:rPr>
          <w:b/>
          <w:bCs/>
          <w:i w:val="false"/>
          <w:iCs w:val="false"/>
          <w:sz w:val="21"/>
          <w:szCs w:val="21"/>
        </w:rPr>
        <w:t xml:space="preserve">Correction:</w:t>
      </w:r>
      <w:r>
        <w:rPr>
          <w:b w:val="false"/>
          <w:bCs w:val="false"/>
          <w:i w:val="false"/>
          <w:iCs w:val="false"/>
          <w:sz w:val="21"/>
          <w:szCs w:val="21"/>
        </w:rPr>
        <w:t xml:space="preserve"> reconvene the review with the missing inputs; document the decisions; open a CAPA covering the supplier findings and the audit-programme gap.</w:t>
      </w:r>
    </w:p>
    <w:p>
      <w:pPr>
        <w:pStyle w:val="ListParagraph"/>
        <w:numPr>
          <w:ilvl w:val="0"/>
          <w:numId w:val="3"/>
        </w:numPr>
        <w:spacing w:after="60"/>
      </w:pPr>
      <w:r>
        <w:rPr>
          <w:b/>
          <w:bCs/>
          <w:i w:val="false"/>
          <w:iCs w:val="false"/>
          <w:sz w:val="21"/>
          <w:szCs w:val="21"/>
        </w:rPr>
        <w:t xml:space="preserve">Root cause:</w:t>
      </w:r>
      <w:r>
        <w:rPr>
          <w:b w:val="false"/>
          <w:bCs w:val="false"/>
          <w:i w:val="false"/>
          <w:iCs w:val="false"/>
          <w:sz w:val="21"/>
          <w:szCs w:val="21"/>
        </w:rPr>
        <w:t xml:space="preserve"> the management review procedure and agenda template were never updated to the Clause 5.6.2 input list, and the internal audit programme tests against a 2019 checklist. The cause is structural, not "the chair forgot".</w:t>
      </w:r>
    </w:p>
    <w:p>
      <w:pPr>
        <w:pStyle w:val="ListParagraph"/>
        <w:numPr>
          <w:ilvl w:val="0"/>
          <w:numId w:val="3"/>
        </w:numPr>
        <w:spacing w:after="60"/>
      </w:pPr>
      <w:r>
        <w:rPr>
          <w:b/>
          <w:bCs/>
          <w:i w:val="false"/>
          <w:iCs w:val="false"/>
          <w:sz w:val="21"/>
          <w:szCs w:val="21"/>
        </w:rPr>
        <w:t xml:space="preserve">Systemic action:</w:t>
      </w:r>
      <w:r>
        <w:rPr>
          <w:b w:val="false"/>
          <w:bCs w:val="false"/>
          <w:i w:val="false"/>
          <w:iCs w:val="false"/>
          <w:sz w:val="21"/>
          <w:szCs w:val="21"/>
        </w:rPr>
        <w:t xml:space="preserve"> revise the procedure and agenda; retire the legacy checklists; restructure the audit programme to the six QMS Areas and four OAFRs; define when a finding must be raised as a nonconformity.</w:t>
      </w:r>
    </w:p>
    <w:p>
      <w:pPr>
        <w:pStyle w:val="ListParagraph"/>
        <w:numPr>
          <w:ilvl w:val="0"/>
          <w:numId w:val="3"/>
        </w:numPr>
        <w:spacing w:after="60"/>
      </w:pPr>
      <w:r>
        <w:rPr>
          <w:b/>
          <w:bCs/>
          <w:i w:val="false"/>
          <w:iCs w:val="false"/>
          <w:sz w:val="21"/>
          <w:szCs w:val="21"/>
        </w:rPr>
        <w:t xml:space="preserve">Evidence and dates:</w:t>
      </w:r>
      <w:r>
        <w:rPr>
          <w:b w:val="false"/>
          <w:bCs w:val="false"/>
          <w:i w:val="false"/>
          <w:iCs w:val="false"/>
          <w:sz w:val="21"/>
          <w:szCs w:val="21"/>
        </w:rPr>
        <w:t xml:space="preserve"> the revised procedure effective by a date; the next review held to it; the audit programme reissued; the supplier follow-up closed with evidence.</w:t>
      </w:r>
    </w:p>
    <w:p>
      <w:pPr>
        <w:pStyle w:val="ListParagraph"/>
        <w:numPr>
          <w:ilvl w:val="0"/>
          <w:numId w:val="3"/>
        </w:numPr>
        <w:spacing w:after="60"/>
      </w:pPr>
      <w:r>
        <w:rPr>
          <w:b/>
          <w:bCs/>
          <w:i w:val="false"/>
          <w:iCs w:val="false"/>
          <w:sz w:val="21"/>
          <w:szCs w:val="21"/>
        </w:rPr>
        <w:t xml:space="preserve">Effectiveness metric:</w:t>
      </w:r>
      <w:r>
        <w:rPr>
          <w:b w:val="false"/>
          <w:bCs w:val="false"/>
          <w:i w:val="false"/>
          <w:iCs w:val="false"/>
          <w:sz w:val="21"/>
          <w:szCs w:val="21"/>
        </w:rPr>
        <w:t xml:space="preserve"> Clause 5.6.2 input completeness at 100% for two consecutive reviews; management review actions closed on time; supplier findings closed within the defined period.</w:t>
      </w:r>
    </w:p>
    <w:p>
      <w:pPr>
        <w:pStyle w:val="ListParagraph"/>
        <w:numPr>
          <w:ilvl w:val="0"/>
          <w:numId w:val="3"/>
        </w:numPr>
        <w:spacing w:after="60"/>
      </w:pPr>
      <w:r>
        <w:rPr>
          <w:b w:val="false"/>
          <w:bCs w:val="false"/>
          <w:i w:val="false"/>
          <w:iCs w:val="false"/>
          <w:sz w:val="21"/>
          <w:szCs w:val="21"/>
        </w:rPr>
        <w:t xml:space="preserve">Push back hard on "we retrained the chair". That is the answer FDA officials describe as the reason the same problems recur.</w:t>
      </w:r>
    </w:p>
    <w:p>
      <w:pPr>
        <w:pStyle w:val="Heading3"/>
      </w:pPr>
      <w:r>
        <w:t xml:space="preserve">The privilege question, which someone always asks</w:t>
      </w:r>
    </w:p>
    <w:p>
      <w:pPr>
        <w:spacing w:after="120" w:before="0"/>
      </w:pPr>
      <w:r>
        <w:rPr>
          <w:b w:val="false"/>
          <w:bCs w:val="false"/>
          <w:i w:val="false"/>
          <w:iCs w:val="false"/>
          <w:sz w:val="21"/>
          <w:szCs w:val="21"/>
        </w:rPr>
        <w:t xml:space="preserve">Answer it directly and move on. FDA removed the exemption and its FAQ says these records should be readily available upon inspection. Marking records confidential under §820.35(d) aids FDA's disclosure determinations under Part 20; it is not a basis for withholding. Keeping a "clean" parallel record set is a data integrity problem, not a strategy. If a firm has genuine privilege questions about a specific investigation, that is a conversation with its own counsel, not a reason to hollow out the quality records.</w:t>
      </w:r>
    </w:p>
    <w:p>
      <w:pPr>
        <w:pStyle w:val="Heading2"/>
      </w:pPr>
      <w:r>
        <w:t xml:space="preserve">5.2 Exercise B: gap triage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00"/>
        <w:gridCol w:w="2600"/>
        <w:gridCol w:w="700"/>
        <w:gridCol w:w="1100"/>
        <w:gridCol w:w="700"/>
        <w:gridCol w:w="4480"/>
      </w:tblGrid>
      <w:tr>
        <w:trPr>
          <w:tblHeader/>
        </w:trPr>
        <w:tc>
          <w:tcPr>
            <w:tcW w:type="dxa" w:w="5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Finding</w:t>
            </w:r>
          </w:p>
        </w:tc>
        <w:tc>
          <w:tcPr>
            <w:tcW w:type="dxa" w:w="7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Gap</w:t>
            </w:r>
          </w:p>
        </w:tc>
        <w:tc>
          <w:tcPr>
            <w:tcW w:type="dxa" w:w="11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Exposure</w:t>
            </w:r>
          </w:p>
        </w:tc>
        <w:tc>
          <w:tcPr>
            <w:tcW w:type="dxa" w:w="7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Effort</w:t>
            </w:r>
          </w:p>
        </w:tc>
        <w:tc>
          <w:tcPr>
            <w:tcW w:type="dxa" w:w="448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Comment</w:t>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1</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Complaint form lacks UDI and the Part 803 decision</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High</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A direct §820.35(a)(3) failure plus the §820.10(b)(3) hook. Complaint handling is a Model 2 minimum element and a top-cited area. Cited in the Koven letter. Cheap to fix: one form and one procedure step.</w:t>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2</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40 procedures say DHF and cite 820.30</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No</w:t>
            </w:r>
          </w:p>
        </w:tc>
        <w:tc>
          <w:tcPr>
            <w:tcW w:type="dxa" w:w="11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Low to Medium</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M</w:t>
            </w:r>
          </w:p>
        </w:tc>
        <w:tc>
          <w:tcPr>
            <w:tcW w:type="dxa" w:w="448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Arguable by design.</w:t>
            </w:r>
            <w:r>
              <w:rPr>
                <w:b w:val="false"/>
                <w:bCs w:val="false"/>
                <w:i w:val="false"/>
                <w:iCs w:val="false"/>
                <w:sz w:val="16"/>
                <w:szCs w:val="16"/>
              </w:rPr>
              <w:t xml:space="preserve"> Content is compliant, so there is no regulatory gap, and FDA does not expect pre-2026 records to be scrubbed. But practice reports describe investigators reading QSR-structured procedures as an incomplete transition. Correct the citations opportunistically; do not let it consume the programme.</w:t>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3</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Label release is one checkbox</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High</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A §820.45(a) and (c) failure. Objective, easy to cite, easy to fix. One of the two provisions ISO-only firms most often miss.</w:t>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Risk file unchanged since 2022 transfer</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High</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L</w:t>
            </w:r>
          </w:p>
        </w:tc>
        <w:tc>
          <w:tcPr>
            <w:tcW w:type="dxa" w:w="44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The highest-exposure item on the list. Clause 7.1 with 8.2.1; explicitly a Situation 1 (OAI) example where feedback is not used as a risk input. All three early Warning Letters cite Clause 7.1.</w:t>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5</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QMS software validated in 2016, four upgrades since</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Medium to High</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L</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Clause 4.1.6, an element under Management Oversight, and Software Changes under Change Control. The Linemaster letter cited Clause 7.6 for unvalidated monitoring and measurement software.</w:t>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6</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Audit report says "systemic failure", no CAPA</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High</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M</w:t>
            </w:r>
          </w:p>
        </w:tc>
        <w:tc>
          <w:tcPr>
            <w:tcW w:type="dxa" w:w="448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Arguable by design.</w:t>
            </w:r>
            <w:r>
              <w:rPr>
                <w:b w:val="false"/>
                <w:bCs w:val="false"/>
                <w:i w:val="false"/>
                <w:iCs w:val="false"/>
                <w:sz w:val="16"/>
                <w:szCs w:val="16"/>
              </w:rPr>
              <w:t xml:space="preserve"> The wording is not the problem; the absent nonconformity and CAPA are (Clauses 8.2.4 and 8.5.2). Now that FDA reads audit reports, this record hands over a self-declared systemic failure with no action. Raise the nonconformity and open the CAPA; do not edit the sentence.</w:t>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Suppliers tiered by spend; critical CM never audited</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High</w:t>
            </w:r>
          </w:p>
        </w:tc>
        <w:tc>
          <w:tcPr>
            <w:tcW w:type="dxa" w:w="7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M</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Clause 7.4.1 with 4.1.5. Outsourcing and purchasing was the second-ranked observation area in early QMSR inspections, and this is close to the Koven citation.</w:t>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Servicing records incomplete; no complaint screening</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Yes</w:t>
            </w:r>
          </w:p>
        </w:tc>
        <w:tc>
          <w:tcPr>
            <w:tcW w:type="dxa" w:w="11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Medium to High</w:t>
            </w:r>
          </w:p>
        </w:tc>
        <w:tc>
          <w:tcPr>
            <w:tcW w:type="dxa" w:w="7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w:t>
            </w:r>
          </w:p>
        </w:tc>
        <w:tc>
          <w:tcPr>
            <w:tcW w:type="dxa" w:w="44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§820.35(b) elements missing, and Clause 7.5.4 analysis absent. Cheap to fix and frequently forgotten because servicing sits outside the quality function.</w:t>
            </w:r>
          </w:p>
        </w:tc>
      </w:tr>
    </w:tbl>
    <w:p>
      <w:pPr>
        <w:pStyle w:val="Heading3"/>
      </w:pPr>
      <w:r>
        <w:t xml:space="preserve">The reveal</w:t>
      </w:r>
    </w:p>
    <w:p>
      <w:pPr>
        <w:spacing w:after="120" w:before="0"/>
      </w:pPr>
      <w:r>
        <w:rPr>
          <w:b w:val="false"/>
          <w:bCs w:val="false"/>
          <w:i w:val="false"/>
          <w:iCs w:val="false"/>
          <w:sz w:val="21"/>
          <w:szCs w:val="21"/>
        </w:rPr>
        <w:t xml:space="preserve">Most tables rank card 2 higher than it deserves and card 4 lower. Say so. The pattern in real programmes is over-investment in terminology housekeeping and under-investment in the records an investigator reads early. The exposure-first ranking is roughly 4, 1, 3, 7, 6, 8, 5, 2.</w:t>
      </w:r>
    </w:p>
    <w:p>
      <w:pPr>
        <w:pStyle w:val="Heading2"/>
      </w:pPr>
      <w:r>
        <w:t xml:space="preserve">5.3 Exercise C: the 90-day plan</w:t>
      </w:r>
    </w:p>
    <w:p>
      <w:pPr>
        <w:pStyle w:val="ListParagraph"/>
        <w:numPr>
          <w:ilvl w:val="0"/>
          <w:numId w:val="3"/>
        </w:numPr>
        <w:spacing w:after="60"/>
      </w:pPr>
      <w:r>
        <w:rPr>
          <w:b w:val="false"/>
          <w:bCs w:val="false"/>
          <w:i w:val="false"/>
          <w:iCs w:val="false"/>
          <w:sz w:val="21"/>
          <w:szCs w:val="21"/>
        </w:rPr>
        <w:t xml:space="preserve">Watch for plans that name three procedures rather than three records. Redirect: the deliverable is a record an investigator could read.</w:t>
      </w:r>
    </w:p>
    <w:p>
      <w:pPr>
        <w:pStyle w:val="ListParagraph"/>
        <w:numPr>
          <w:ilvl w:val="0"/>
          <w:numId w:val="3"/>
        </w:numPr>
        <w:spacing w:after="60"/>
      </w:pPr>
      <w:r>
        <w:rPr>
          <w:b w:val="false"/>
          <w:bCs w:val="false"/>
          <w:i w:val="false"/>
          <w:iCs w:val="false"/>
          <w:sz w:val="21"/>
          <w:szCs w:val="21"/>
        </w:rPr>
        <w:t xml:space="preserve">Watch for a mock inspection with no date or no named investigator. Both make it optional.</w:t>
      </w:r>
    </w:p>
    <w:p>
      <w:pPr>
        <w:pStyle w:val="ListParagraph"/>
        <w:numPr>
          <w:ilvl w:val="0"/>
          <w:numId w:val="3"/>
        </w:numPr>
        <w:spacing w:after="60"/>
      </w:pPr>
      <w:r>
        <w:rPr>
          <w:b w:val="false"/>
          <w:bCs w:val="false"/>
          <w:i w:val="false"/>
          <w:iCs w:val="false"/>
          <w:sz w:val="21"/>
          <w:szCs w:val="21"/>
        </w:rPr>
        <w:t xml:space="preserve">Good behaviours to train: the three-part risk answer; producing management review and audit records without stalling; not using QSR vocabulary in the front room.</w:t>
      </w:r>
    </w:p>
    <w:p>
      <w:pPr>
        <w:pStyle w:val="ListParagraph"/>
        <w:numPr>
          <w:ilvl w:val="0"/>
          <w:numId w:val="3"/>
        </w:numPr>
        <w:spacing w:after="60"/>
      </w:pPr>
      <w:r>
        <w:rPr>
          <w:b w:val="false"/>
          <w:bCs w:val="false"/>
          <w:i w:val="false"/>
          <w:iCs w:val="false"/>
          <w:sz w:val="21"/>
          <w:szCs w:val="21"/>
        </w:rPr>
        <w:t xml:space="preserve">Collect the read-outs on the flipchart and photograph it. If you offer a follow-up email, send it within a week or do not offer it.</w:t>
      </w:r>
    </w:p>
    <w:p>
      <w:pPr>
        <w:pStyle w:val="Heading1"/>
      </w:pPr>
      <w:r>
        <w:t xml:space="preserve">6. The poll and the self-test</w:t>
      </w:r>
    </w:p>
    <w:p>
      <w:pPr>
        <w:pStyle w:val="ListParagraph"/>
        <w:numPr>
          <w:ilvl w:val="0"/>
          <w:numId w:val="3"/>
        </w:numPr>
        <w:spacing w:after="60"/>
      </w:pPr>
      <w:r>
        <w:rPr>
          <w:b w:val="false"/>
          <w:bCs w:val="false"/>
          <w:i w:val="false"/>
          <w:iCs w:val="false"/>
          <w:sz w:val="21"/>
          <w:szCs w:val="21"/>
        </w:rPr>
        <w:t xml:space="preserve">Poll (slide 3): write the counts on the flipchart. A room that is mostly "complete but untested" wants Track A and the mock inspection. A room still closing gaps wants Track B and the sequencing rule.</w:t>
      </w:r>
    </w:p>
    <w:p>
      <w:pPr>
        <w:pStyle w:val="ListParagraph"/>
        <w:numPr>
          <w:ilvl w:val="0"/>
          <w:numId w:val="3"/>
        </w:numPr>
        <w:spacing w:after="60"/>
      </w:pPr>
      <w:r>
        <w:rPr>
          <w:b w:val="false"/>
          <w:bCs w:val="false"/>
          <w:i w:val="false"/>
          <w:iCs w:val="false"/>
          <w:sz w:val="21"/>
          <w:szCs w:val="21"/>
        </w:rPr>
        <w:t xml:space="preserve">Question 3 is the hook: could you hand over the last two management reviews and this year's internal audits within 15 minutes, and be comfortable while they are read? Let the silence sit.</w:t>
      </w:r>
    </w:p>
    <w:p>
      <w:pPr>
        <w:pStyle w:val="ListParagraph"/>
        <w:numPr>
          <w:ilvl w:val="0"/>
          <w:numId w:val="3"/>
        </w:numPr>
        <w:spacing w:after="60"/>
      </w:pPr>
      <w:r>
        <w:rPr>
          <w:b w:val="false"/>
          <w:bCs w:val="false"/>
          <w:i w:val="false"/>
          <w:iCs w:val="false"/>
          <w:sz w:val="21"/>
          <w:szCs w:val="21"/>
        </w:rPr>
        <w:t xml:space="preserve">The self-test in handout section 7 has 14 statements. Ask only for the high scorers publicly. Close the loop at the end: "would anyone change their answer to question 3 now?"</w:t>
      </w:r>
    </w:p>
    <w:p>
      <w:pPr>
        <w:pStyle w:val="Heading1"/>
      </w:pPr>
      <w:r>
        <w:t xml:space="preserve">7. Q&amp;A preparation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000"/>
        <w:gridCol w:w="7080"/>
      </w:tblGrid>
      <w:tr>
        <w:trPr>
          <w:tblHeader/>
        </w:trPr>
        <w:tc>
          <w:tcPr>
            <w:tcW w:type="dxa" w:w="30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Likely question</w:t>
            </w:r>
          </w:p>
        </w:tc>
        <w:tc>
          <w:tcPr>
            <w:tcW w:type="dxa" w:w="70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Answer</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Does our ISO 13485 certificate or MDSAP audit count for anything with FDA?</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The certificate, no. FDA will not require it, will not accept it in lieu of an inspection or an establishment inspection report, and will not issue one. MDSAP audit reports are different: FDA uses the reports, not the certificate, as a substitute for routine surveillance inspections, and surveillance inspections are not conducted at sites actively enrolled. For-cause, compliance follow-up, Specific Product Risk Assignment and PMA inspections still happen.</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Can we keep calling them DHF, DMR and DHR?</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Internally, yes. FDA does not expect pre-2026 records to be retitled or scrubbed. Be able to map the names to Clause 7.3.10, Clause 4.2.3 and Clause 7.5.1 on the spot, and use the new vocabulary in new records. Expect procedures organised by QSR subpart to draw attention.</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Will the investigator really ask for our internal audit reports and management review minutes?</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FDA's FAQ says it has the authority and that these records should be readily available. FDA has said these processes are expected to be reviewed in baseline surveillance and PMA preapproval inspections, and may be reviewed in others depending on the focus and the elements selected.</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Can we redact them, or mark them privileged?</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Do not redact records you hand over. Marking under §820.35(d) helps FDA decide what may be disclosed under Part 20; it is not a basis for withholding. Genuine privilege questions about a specific investigation belong with your counsel and do not change what the quality records must contain.</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Should we make our minutes and audit reports less candid?</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No. Records that show real problems and closed loops are protective. Empty records are themselves an observation, and failure to correct previously identified deficiencies is an explicit OAI example.</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Is ISO 14971 mandatory now?</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It is not incorporated by reference; only ISO 13485:2016 and ISO 9000:2015 Clause 3 are. FDA has said there is no QMSR requirement to conform to ISO 14971 and no required risk tool. But risk management is required throughout the QMS through ISO 13485, and FDA officials report risk management as the top observation area. Arguing that 14971 is optional is a poor use of front-room time.</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What exactly must a complaint record contain?</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Seven elements under §820.35(a), including any UDI or UPC, plus records of review, evaluation and investigation, or documented justification for not investigating where a similar complaint was already investigated, plus the Part 803 evaluation through the §820.10(b)(3) hook.</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Does automated label inspection satisfy §820.45?</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Automated readers are permitted where followed by human oversight, and a designated individual must examine at minimum a representative sample of the labels checked. The release record still has to exist.</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How does FDA choose Model 1 or Model 2?</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By inspection type. Model 2 applies to baseline surveillance, meaning no FDA inspection or MDSAP audit history or risk factors indicating a need, and to PMA preapproval. Everything else uses Model 1. Both are minimums and investigators routinely go further.</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Do Part 11 expectations change?</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Part 11 was not amended by the QMSR or the technical amendments and continues to apply to electronic records required by Part 820. FDA's only relevant statement in the rule is that where ISO 13485 says "approved", that means a signature and date, and that electronic methods meeting its requirements are acceptable.</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We are a small Class I firm. What applies?</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Scope and document it. Most Class I devices are outside Clause 7.3, and the exclusion should be documented with its justification. CGMP exemption does not exempt you from complaint files or the §820.35 records, which is why the December 2025 technical amendments re-pointed 162 classification regulations to §820.35. Class I manufacturers are the lowest routine inspection priority, but for-cause inspections happen.</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What if ISO 13485 is revised?</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The QMSR incorporates the 2016 third edition specifically. A new edition would require rulemaking, including approval of the incorporation by reference. ISO confirmed the 2016 edition in its 2025 systematic review, and FDA staff have said it will not be revised before at least April 2030.</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Has FDA said anything about being lenient in the first year?</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No. The FAQ says FDA will begin to enforce the QMSR, and FDA said at the April 2026 town hall that the transition period has ended. The threshold for compliance action has not changed. Any claim of an informal grace period is unsourced.</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What has actually been cited so far?</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On the record from FDA officials: risk management by a wide margin, then outsourcing and purchasing, complaint handling and feedback, UDI, and corrective action. Three Warning Letters from QMSR-era inspections were public by August 2026, and all three cite Clause 7.1. Be careful with circulating percentages; they are vendor compilations.</w:t>
            </w:r>
          </w:p>
        </w:tc>
      </w:tr>
    </w:tbl>
    <w:p>
      <w:pPr>
        <w:pStyle w:val="Heading1"/>
      </w:pPr>
      <w:r>
        <w:t xml:space="preserve">8. Accuracy checklist before each delivery</w:t>
      </w:r>
    </w:p>
    <w:p>
      <w:pPr>
        <w:spacing w:after="120" w:before="0"/>
      </w:pPr>
      <w:r>
        <w:rPr>
          <w:b w:val="false"/>
          <w:bCs w:val="false"/>
          <w:i w:val="false"/>
          <w:iCs w:val="false"/>
          <w:sz w:val="21"/>
          <w:szCs w:val="21"/>
        </w:rPr>
        <w:t xml:space="preserve">This material was verified in September 2026 against the Federal Register, the eCFR, FDA web pages, Compliance Program 7382.850, FDA webinar and town hall transcripts, published Warning Letters and FDA's inspection observation data. Re-verify the following and update the deck and handout if anything has moved.</w:t>
      </w:r>
    </w:p>
    <w:p>
      <w:pPr>
        <w:pStyle w:val="ListParagraph"/>
        <w:numPr>
          <w:ilvl w:val="0"/>
          <w:numId w:val="4"/>
        </w:numPr>
        <w:spacing w:after="80"/>
      </w:pPr>
      <w:r>
        <w:rPr>
          <w:b w:val="false"/>
          <w:bCs w:val="false"/>
          <w:i w:val="false"/>
          <w:iCs w:val="false"/>
          <w:sz w:val="21"/>
          <w:szCs w:val="21"/>
        </w:rPr>
        <w:t xml:space="preserve">FDA's QMSR page and FAQ: still 13 questions? Any new question, especially on inspections or records?</w:t>
      </w:r>
    </w:p>
    <w:p>
      <w:pPr>
        <w:pStyle w:val="ListParagraph"/>
        <w:numPr>
          <w:ilvl w:val="0"/>
          <w:numId w:val="4"/>
        </w:numPr>
        <w:spacing w:after="80"/>
      </w:pPr>
      <w:r>
        <w:rPr>
          <w:b w:val="false"/>
          <w:bCs w:val="false"/>
          <w:i w:val="false"/>
          <w:iCs w:val="false"/>
          <w:sz w:val="21"/>
          <w:szCs w:val="21"/>
        </w:rPr>
        <w:t xml:space="preserve">Compliance Program 7382.850: still the current version? Any revision to Attachment A, the models, or the Situation 1 examples? FDA said it would not supplement it, but check.</w:t>
      </w:r>
    </w:p>
    <w:p>
      <w:pPr>
        <w:pStyle w:val="ListParagraph"/>
        <w:numPr>
          <w:ilvl w:val="0"/>
          <w:numId w:val="4"/>
        </w:numPr>
        <w:spacing w:after="80"/>
      </w:pPr>
      <w:r>
        <w:rPr>
          <w:b w:val="false"/>
          <w:bCs w:val="false"/>
          <w:i w:val="false"/>
          <w:iCs w:val="false"/>
          <w:sz w:val="21"/>
          <w:szCs w:val="21"/>
        </w:rPr>
        <w:t xml:space="preserve">Any CDRH webinar or town hall after 1 April 2026, and any new CDRH Learn QMSR module.</w:t>
      </w:r>
    </w:p>
    <w:p>
      <w:pPr>
        <w:pStyle w:val="ListParagraph"/>
        <w:numPr>
          <w:ilvl w:val="0"/>
          <w:numId w:val="4"/>
        </w:numPr>
        <w:spacing w:after="80"/>
      </w:pPr>
      <w:r>
        <w:rPr>
          <w:b w:val="false"/>
          <w:bCs w:val="false"/>
          <w:i w:val="false"/>
          <w:iCs w:val="false"/>
          <w:sz w:val="21"/>
          <w:szCs w:val="21"/>
        </w:rPr>
        <w:t xml:space="preserve">New Warning Letters from QMSR-era inspections, and the clauses they cite. Update slide 23 and handout section 4.6 if there is a better example.</w:t>
      </w:r>
    </w:p>
    <w:p>
      <w:pPr>
        <w:pStyle w:val="ListParagraph"/>
        <w:numPr>
          <w:ilvl w:val="0"/>
          <w:numId w:val="4"/>
        </w:numPr>
        <w:spacing w:after="80"/>
      </w:pPr>
      <w:r>
        <w:rPr>
          <w:b w:val="false"/>
          <w:bCs w:val="false"/>
          <w:i w:val="false"/>
          <w:iCs w:val="false"/>
          <w:sz w:val="21"/>
          <w:szCs w:val="21"/>
        </w:rPr>
        <w:t xml:space="preserve">FDA's FY2026 inspection observation spreadsheet, due after 30 September 2026: the first official QMSR citation data. Replace the FY2025 baseline figures on slide 24 when it publishes.</w:t>
      </w:r>
    </w:p>
    <w:p>
      <w:pPr>
        <w:pStyle w:val="ListParagraph"/>
        <w:numPr>
          <w:ilvl w:val="0"/>
          <w:numId w:val="4"/>
        </w:numPr>
        <w:spacing w:after="80"/>
      </w:pPr>
      <w:r>
        <w:rPr>
          <w:b w:val="false"/>
          <w:bCs w:val="false"/>
          <w:i w:val="false"/>
          <w:iCs w:val="false"/>
          <w:sz w:val="21"/>
          <w:szCs w:val="21"/>
        </w:rPr>
        <w:t xml:space="preserve">Any FDA statement on enforcement posture, inspection volumes or foreign inspection practice for devices.</w:t>
      </w:r>
    </w:p>
    <w:p>
      <w:pPr>
        <w:pStyle w:val="ListParagraph"/>
        <w:numPr>
          <w:ilvl w:val="0"/>
          <w:numId w:val="4"/>
        </w:numPr>
        <w:spacing w:after="80"/>
      </w:pPr>
      <w:r>
        <w:rPr>
          <w:b w:val="false"/>
          <w:bCs w:val="false"/>
          <w:i w:val="false"/>
          <w:iCs w:val="false"/>
          <w:sz w:val="21"/>
          <w:szCs w:val="21"/>
        </w:rPr>
        <w:t xml:space="preserve">Status of the draft guidance Quality Management System Information for Certain Premarket Submission Reviews (November 2025): finalized?</w:t>
      </w:r>
    </w:p>
    <w:p>
      <w:pPr>
        <w:pStyle w:val="ListParagraph"/>
        <w:numPr>
          <w:ilvl w:val="0"/>
          <w:numId w:val="4"/>
        </w:numPr>
        <w:spacing w:after="80"/>
      </w:pPr>
      <w:r>
        <w:rPr>
          <w:b w:val="false"/>
          <w:bCs w:val="false"/>
          <w:i w:val="false"/>
          <w:iCs w:val="false"/>
          <w:sz w:val="21"/>
          <w:szCs w:val="21"/>
        </w:rPr>
        <w:t xml:space="preserve">Status of the Computer Software Assurance guidance update and the human factors guidance revision, both reported in 2026 but not verified here.</w:t>
      </w:r>
    </w:p>
    <w:p>
      <w:pPr>
        <w:pStyle w:val="ListParagraph"/>
        <w:numPr>
          <w:ilvl w:val="0"/>
          <w:numId w:val="4"/>
        </w:numPr>
        <w:spacing w:after="80"/>
      </w:pPr>
      <w:r>
        <w:rPr>
          <w:b w:val="false"/>
          <w:bCs w:val="false"/>
          <w:i w:val="false"/>
          <w:iCs w:val="false"/>
          <w:sz w:val="21"/>
          <w:szCs w:val="21"/>
        </w:rPr>
        <w:t xml:space="preserve">The MDSAP Audit Approach revision reported as P0002.010 (February 2026): confirm the document number and that the US chapter now cites §820.10, §820.35 and §820.45.</w:t>
      </w:r>
    </w:p>
    <w:p>
      <w:pPr>
        <w:pStyle w:val="ListParagraph"/>
        <w:numPr>
          <w:ilvl w:val="0"/>
          <w:numId w:val="4"/>
        </w:numPr>
        <w:spacing w:after="80"/>
      </w:pPr>
      <w:r>
        <w:rPr>
          <w:b w:val="false"/>
          <w:bCs w:val="false"/>
          <w:i w:val="false"/>
          <w:iCs w:val="false"/>
          <w:sz w:val="21"/>
          <w:szCs w:val="21"/>
        </w:rPr>
        <w:t xml:space="preserve">ISO 13485 revision status in ISO/TC 210, and the publication status of ISO/TS 23485, the application guideline.</w:t>
      </w:r>
    </w:p>
    <w:p>
      <w:pPr>
        <w:pStyle w:val="ListParagraph"/>
        <w:numPr>
          <w:ilvl w:val="0"/>
          <w:numId w:val="4"/>
        </w:numPr>
        <w:spacing w:after="80"/>
      </w:pPr>
      <w:r>
        <w:rPr>
          <w:b w:val="false"/>
          <w:bCs w:val="false"/>
          <w:i w:val="false"/>
          <w:iCs w:val="false"/>
          <w:sz w:val="21"/>
          <w:szCs w:val="21"/>
        </w:rPr>
        <w:t xml:space="preserve">Whether FDA has published any QMSR-related guidance revisions promised in the final rule preamble.</w:t>
      </w:r>
    </w:p>
    <w:p>
      <w:pPr>
        <w:pStyle w:val="Heading3"/>
      </w:pPr>
      <w:r>
        <w:t xml:space="preserve">Statements to be careful with</w:t>
      </w:r>
    </w:p>
    <w:p>
      <w:pPr>
        <w:pStyle w:val="ListParagraph"/>
        <w:numPr>
          <w:ilvl w:val="0"/>
          <w:numId w:val="3"/>
        </w:numPr>
        <w:spacing w:after="60"/>
      </w:pPr>
      <w:r>
        <w:rPr>
          <w:b/>
          <w:bCs/>
          <w:i w:val="false"/>
          <w:iCs w:val="false"/>
          <w:sz w:val="21"/>
          <w:szCs w:val="21"/>
        </w:rPr>
        <w:t xml:space="preserve">The compliance program issue date.</w:t>
      </w:r>
      <w:r>
        <w:rPr>
          <w:b w:val="false"/>
          <w:bCs w:val="false"/>
          <w:i w:val="false"/>
          <w:iCs w:val="false"/>
          <w:sz w:val="21"/>
          <w:szCs w:val="21"/>
        </w:rPr>
        <w:t xml:space="preserve"> The PDF cover says 2 February 2026; several law firms report 30 January 2026. Say "issued at the end of January 2026 and applicable from 2 February" if you want to avoid the question.</w:t>
      </w:r>
    </w:p>
    <w:p>
      <w:pPr>
        <w:pStyle w:val="ListParagraph"/>
        <w:numPr>
          <w:ilvl w:val="0"/>
          <w:numId w:val="3"/>
        </w:numPr>
        <w:spacing w:after="60"/>
      </w:pPr>
      <w:r>
        <w:rPr>
          <w:b/>
          <w:bCs/>
          <w:i w:val="false"/>
          <w:iCs w:val="false"/>
          <w:sz w:val="21"/>
          <w:szCs w:val="21"/>
        </w:rPr>
        <w:t xml:space="preserve">The final rule date.</w:t>
      </w:r>
      <w:r>
        <w:rPr>
          <w:b w:val="false"/>
          <w:bCs w:val="false"/>
          <w:i w:val="false"/>
          <w:iCs w:val="false"/>
          <w:sz w:val="21"/>
          <w:szCs w:val="21"/>
        </w:rPr>
        <w:t xml:space="preserve"> 2 February 2024 is the Federal Register publication date; FDA's FAQ says the rule was issued 31 January 2024.</w:t>
      </w:r>
    </w:p>
    <w:p>
      <w:pPr>
        <w:pStyle w:val="ListParagraph"/>
        <w:numPr>
          <w:ilvl w:val="0"/>
          <w:numId w:val="3"/>
        </w:numPr>
        <w:spacing w:after="60"/>
      </w:pPr>
      <w:r>
        <w:rPr>
          <w:b/>
          <w:bCs/>
          <w:i w:val="false"/>
          <w:iCs w:val="false"/>
          <w:sz w:val="21"/>
          <w:szCs w:val="21"/>
        </w:rPr>
        <w:t xml:space="preserve">Cost savings.</w:t>
      </w:r>
      <w:r>
        <w:rPr>
          <w:b w:val="false"/>
          <w:bCs w:val="false"/>
          <w:i w:val="false"/>
          <w:iCs w:val="false"/>
          <w:sz w:val="21"/>
          <w:szCs w:val="21"/>
        </w:rPr>
        <w:t xml:space="preserve"> The final rule quotes roughly $532 million annualized at 7% in its executive summary and roughly $507 million in its economic analysis section. If you use a number, quote the range and the source.</w:t>
      </w:r>
    </w:p>
    <w:p>
      <w:pPr>
        <w:pStyle w:val="ListParagraph"/>
        <w:numPr>
          <w:ilvl w:val="0"/>
          <w:numId w:val="3"/>
        </w:numPr>
        <w:spacing w:after="60"/>
      </w:pPr>
      <w:r>
        <w:rPr>
          <w:b/>
          <w:bCs/>
          <w:i w:val="false"/>
          <w:iCs w:val="false"/>
          <w:sz w:val="21"/>
          <w:szCs w:val="21"/>
        </w:rPr>
        <w:t xml:space="preserve">Vendor inspection statistics.</w:t>
      </w:r>
      <w:r>
        <w:rPr>
          <w:b w:val="false"/>
          <w:bCs w:val="false"/>
          <w:i w:val="false"/>
          <w:iCs w:val="false"/>
          <w:sz w:val="21"/>
          <w:szCs w:val="21"/>
        </w:rPr>
        <w:t xml:space="preserve"> Percentages such as "about 90% of 2026 observations cite ISO clauses" and "almost all classified VAI" are vendor compilations of FDA databases, not FDA publications. Attribute them or leave them out.</w:t>
      </w:r>
    </w:p>
    <w:p>
      <w:pPr>
        <w:pStyle w:val="ListParagraph"/>
        <w:numPr>
          <w:ilvl w:val="0"/>
          <w:numId w:val="3"/>
        </w:numPr>
        <w:spacing w:after="60"/>
      </w:pPr>
      <w:r>
        <w:rPr>
          <w:b/>
          <w:bCs/>
          <w:i w:val="false"/>
          <w:iCs w:val="false"/>
          <w:sz w:val="21"/>
          <w:szCs w:val="21"/>
        </w:rPr>
        <w:t xml:space="preserve">Element counts.</w:t>
      </w:r>
      <w:r>
        <w:rPr>
          <w:b w:val="false"/>
          <w:bCs w:val="false"/>
          <w:i w:val="false"/>
          <w:iCs w:val="false"/>
          <w:sz w:val="21"/>
          <w:szCs w:val="21"/>
        </w:rPr>
        <w:t xml:space="preserve"> The 22 non-sterile and 23 sterile figures for Model 2 come from counting the elements listed in Figure 2 of the compliance program, and are also reported by law firms. If challenged, point to Figure 2 itself.</w:t>
      </w:r>
    </w:p>
    <w:p>
      <w:pPr>
        <w:pStyle w:val="Heading1"/>
      </w:pPr>
      <w:r>
        <w:t xml:space="preserve">9. Variants</w:t>
      </w:r>
    </w:p>
    <w:p>
      <w:pPr>
        <w:pStyle w:val="Heading2"/>
      </w:pPr>
      <w:r>
        <w:t xml:space="preserve">60-minute version</w:t>
      </w:r>
    </w:p>
    <w:p>
      <w:pPr>
        <w:pStyle w:val="ListParagraph"/>
        <w:numPr>
          <w:ilvl w:val="0"/>
          <w:numId w:val="3"/>
        </w:numPr>
        <w:spacing w:after="60"/>
      </w:pPr>
      <w:r>
        <w:rPr>
          <w:b w:val="false"/>
          <w:bCs w:val="false"/>
          <w:i w:val="false"/>
          <w:iCs w:val="false"/>
          <w:sz w:val="21"/>
          <w:szCs w:val="21"/>
        </w:rPr>
        <w:t xml:space="preserve">Cut slides 5, 7, 15, 27, 28, 29, 35 and 37. Run Exercise A only, at 8 minutes. Section 5 becomes slides 34 and 36 in five minutes. Close with the takeaways and 10 minutes of Q&amp;A.</w:t>
      </w:r>
    </w:p>
    <w:p>
      <w:pPr>
        <w:pStyle w:val="Heading2"/>
      </w:pPr>
      <w:r>
        <w:t xml:space="preserve">Half-day workshop (3 hours)</w:t>
      </w:r>
    </w:p>
    <w:p>
      <w:pPr>
        <w:pStyle w:val="ListParagraph"/>
        <w:numPr>
          <w:ilvl w:val="0"/>
          <w:numId w:val="3"/>
        </w:numPr>
        <w:spacing w:after="60"/>
      </w:pPr>
      <w:r>
        <w:rPr>
          <w:b w:val="false"/>
          <w:bCs w:val="false"/>
          <w:i w:val="false"/>
          <w:iCs w:val="false"/>
          <w:sz w:val="21"/>
          <w:szCs w:val="21"/>
        </w:rPr>
        <w:t xml:space="preserve">Add a 30-minute session on the Gap Assessment Workbook: each table completes five rows for its own firm, with evidence columns filled from memory and gaps flagged for verification.</w:t>
      </w:r>
    </w:p>
    <w:p>
      <w:pPr>
        <w:pStyle w:val="ListParagraph"/>
        <w:numPr>
          <w:ilvl w:val="0"/>
          <w:numId w:val="3"/>
        </w:numPr>
        <w:spacing w:after="60"/>
      </w:pPr>
      <w:r>
        <w:rPr>
          <w:b w:val="false"/>
          <w:bCs w:val="false"/>
          <w:i w:val="false"/>
          <w:iCs w:val="false"/>
          <w:sz w:val="21"/>
          <w:szCs w:val="21"/>
        </w:rPr>
        <w:t xml:space="preserve">Extend Exercise A to 25 minutes and add a second evidence pack: a complaint file with a missing reportability decision and a design change with no significance assessment.</w:t>
      </w:r>
    </w:p>
    <w:p>
      <w:pPr>
        <w:pStyle w:val="ListParagraph"/>
        <w:numPr>
          <w:ilvl w:val="0"/>
          <w:numId w:val="3"/>
        </w:numPr>
        <w:spacing w:after="60"/>
      </w:pPr>
      <w:r>
        <w:rPr>
          <w:b w:val="false"/>
          <w:bCs w:val="false"/>
          <w:i w:val="false"/>
          <w:iCs w:val="false"/>
          <w:sz w:val="21"/>
          <w:szCs w:val="21"/>
        </w:rPr>
        <w:t xml:space="preserve">Add a 30-minute mock-inspection rehearsal: one table plays the investigator, one the front room, one the back room, with the thread starting from a supplied product risk.</w:t>
      </w:r>
    </w:p>
    <w:p>
      <w:pPr>
        <w:pStyle w:val="ListParagraph"/>
        <w:numPr>
          <w:ilvl w:val="0"/>
          <w:numId w:val="3"/>
        </w:numPr>
        <w:spacing w:after="60"/>
      </w:pPr>
      <w:r>
        <w:rPr>
          <w:b w:val="false"/>
          <w:bCs w:val="false"/>
          <w:i w:val="false"/>
          <w:iCs w:val="false"/>
          <w:sz w:val="21"/>
          <w:szCs w:val="21"/>
        </w:rPr>
        <w:t xml:space="preserve">Close with participants completing the 30-60-90 plan in handout section 8, with owners and dates.</w:t>
      </w:r>
    </w:p>
    <w:p>
      <w:pPr>
        <w:pStyle w:val="Heading2"/>
      </w:pPr>
      <w:r>
        <w:t xml:space="preserve">Executive briefing (20 minutes)</w:t>
      </w:r>
    </w:p>
    <w:p>
      <w:pPr>
        <w:pStyle w:val="ListParagraph"/>
        <w:numPr>
          <w:ilvl w:val="0"/>
          <w:numId w:val="3"/>
        </w:numPr>
        <w:spacing w:after="60"/>
      </w:pPr>
      <w:r>
        <w:rPr>
          <w:b w:val="false"/>
          <w:bCs w:val="false"/>
          <w:i w:val="false"/>
          <w:iCs w:val="false"/>
          <w:sz w:val="21"/>
          <w:szCs w:val="21"/>
        </w:rPr>
        <w:t xml:space="preserve">Slides 1, 9, 22, 24, 34 and 39. The argument for a leadership audience is narrow: the records they sign are now inspection documents, risk management is the top observation area, and the roadmap needs a named sponsor and five metrics in management review.</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QMSR Transition  ·  Facilitator Guide (speaker only)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QMSR Transition: Facilitator Guide</dc:title>
  <dc:creator>Elder Consulting, LLC</dc:creator>
  <dc:description>ISO 13485 &amp; Audit Readiness seminar material</dc:description>
  <cp:lastModifiedBy>Un-named</cp:lastModifiedBy>
  <cp:revision>1</cp:revision>
  <dcterms:created xsi:type="dcterms:W3CDTF">2026-09-16T12:11:38.954Z</dcterms:created>
  <dcterms:modified xsi:type="dcterms:W3CDTF">2026-09-16T12:11:38.954Z</dcterms:modified>
</cp:coreProperties>
</file>

<file path=docProps/custom.xml><?xml version="1.0" encoding="utf-8"?>
<Properties xmlns="http://schemas.openxmlformats.org/officeDocument/2006/custom-properties" xmlns:vt="http://schemas.openxmlformats.org/officeDocument/2006/docPropsVTypes"/>
</file>