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A8730F"/>
          <w:spacing w:val="40"/>
          <w:sz w:val="20"/>
          <w:szCs w:val="20"/>
        </w:rPr>
        <w:t xml:space="preserve">MEDICAL DEVICE SEMINAR  ·  WORKSHOP EXERCISE PACK</w:t>
      </w:r>
    </w:p>
    <w:p>
      <w:pPr>
        <w:spacing w:after="120"/>
      </w:pPr>
      <w:r>
        <w:rPr>
          <w:rFonts w:ascii="Cambria" w:cs="Cambria" w:eastAsia="Cambria" w:hAnsi="Cambria"/>
          <w:b/>
          <w:bCs/>
          <w:color w:val="0F2A4A"/>
          <w:sz w:val="52"/>
          <w:szCs w:val="52"/>
        </w:rPr>
        <w:t xml:space="preserve">QMSR Transition</w:t>
      </w:r>
    </w:p>
    <w:p>
      <w:pPr>
        <w:spacing w:after="240"/>
      </w:pPr>
      <w:r>
        <w:rPr>
          <w:color w:val="5A6B7B"/>
          <w:sz w:val="26"/>
          <w:szCs w:val="26"/>
        </w:rPr>
        <w:t xml:space="preserve">Three table exercises: red-team the records, triage the gaps, build the 90-day plan</w:t>
      </w:r>
    </w:p>
    <w:p>
      <w:pPr>
        <w:spacing w:after="60"/>
      </w:pPr>
      <w:r>
        <w:rPr>
          <w:b/>
          <w:bCs/>
          <w:i w:val="false"/>
          <w:iCs w:val="false"/>
          <w:sz w:val="21"/>
          <w:szCs w:val="21"/>
        </w:rPr>
        <w:t xml:space="preserve">Presented by:</w:t>
      </w:r>
      <w:r>
        <w:rPr>
          <w:b w:val="false"/>
          <w:bCs w:val="false"/>
          <w:i w:val="false"/>
          <w:iCs w:val="false"/>
          <w:sz w:val="21"/>
          <w:szCs w:val="21"/>
        </w:rPr>
        <w:t xml:space="preserve"> Elder Consulting, LLC   ·   </w:t>
      </w:r>
      <w:r>
        <w:rPr>
          <w:b/>
          <w:bCs/>
          <w:i w:val="false"/>
          <w:iCs w:val="false"/>
          <w:sz w:val="21"/>
          <w:szCs w:val="21"/>
        </w:rPr>
        <w:t xml:space="preserve">Table number:</w:t>
      </w:r>
      <w:r>
        <w:rPr>
          <w:b w:val="false"/>
          <w:bCs w:val="false"/>
          <w:i w:val="false"/>
          <w:iCs w:val="false"/>
          <w:sz w:val="21"/>
          <w:szCs w:val="21"/>
        </w:rPr>
        <w:t xml:space="preserve"> ______   ·   </w:t>
      </w:r>
      <w:r>
        <w:rPr>
          <w:b/>
          <w:bCs/>
          <w:i w:val="false"/>
          <w:iCs w:val="false"/>
          <w:sz w:val="21"/>
          <w:szCs w:val="21"/>
        </w:rPr>
        <w:t xml:space="preserve">Date:</w:t>
      </w:r>
      <w:r>
        <w:rPr>
          <w:b w:val="false"/>
          <w:bCs w:val="false"/>
          <w:i w:val="false"/>
          <w:iCs w:val="false"/>
          <w:sz w:val="21"/>
          <w:szCs w:val="21"/>
        </w:rPr>
        <w:t xml:space="preserve"> ____________</w:t>
      </w:r>
    </w:p>
    <w:p>
      <w:pPr>
        <w:spacing w:after="60"/>
      </w:pPr>
      <w:r>
        <w:rPr>
          <w:b/>
          <w:bCs/>
          <w:i w:val="false"/>
          <w:iCs w:val="false"/>
          <w:sz w:val="21"/>
          <w:szCs w:val="21"/>
        </w:rPr>
        <w:t xml:space="preserve">Companion documents:</w:t>
      </w:r>
      <w:r>
        <w:rPr>
          <w:b w:val="false"/>
          <w:bCs w:val="false"/>
          <w:i w:val="false"/>
          <w:iCs w:val="false"/>
          <w:sz w:val="21"/>
          <w:szCs w:val="21"/>
        </w:rPr>
        <w:t xml:space="preserve"> Participant Handout; Gap Assessment Workbook</w:t>
      </w:r>
    </w:p>
    <w:p>
      <w:pPr>
        <w:pBdr>
          <w:bottom w:val="single" w:color="A8730F" w:sz="8" w:space="8"/>
        </w:pBdr>
        <w:spacing w:after="240"/>
      </w:pPr>
      <w:r>
        <w:t xml:space="preserve"/>
      </w:r>
    </w:p>
    <w:p>
      <w:pPr>
        <w:pStyle w:val="Heading1"/>
      </w:pPr>
      <w:r>
        <w:t xml:space="preserve">How to use this pack</w:t>
      </w:r>
    </w:p>
    <w:p>
      <w:pPr>
        <w:spacing w:after="120" w:before="0"/>
      </w:pPr>
      <w:r>
        <w:rPr>
          <w:b w:val="false"/>
          <w:bCs w:val="false"/>
          <w:i w:val="false"/>
          <w:iCs w:val="false"/>
          <w:sz w:val="21"/>
          <w:szCs w:val="21"/>
        </w:rPr>
        <w:t xml:space="preserve">The three exercises run inside the 90-minute seminar. Each has a strict clock, and each produces something you can take back to work. The firms, records and findings are fictional composites built from published Warning Letters, FDA officials' public remarks and reported 2026 gap assessments. Any resemblance to a real manufacturer is unintended.</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400"/>
        <w:gridCol w:w="2400"/>
        <w:gridCol w:w="2400"/>
        <w:gridCol w:w="2880"/>
      </w:tblGrid>
      <w:tr>
        <w:trPr>
          <w:tblHeader/>
        </w:trPr>
        <w:tc>
          <w:tcPr>
            <w:tcW w:type="dxa" w:w="24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Exercise</w:t>
            </w:r>
          </w:p>
        </w:tc>
        <w:tc>
          <w:tcPr>
            <w:tcW w:type="dxa" w:w="24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When</w:t>
            </w:r>
          </w:p>
        </w:tc>
        <w:tc>
          <w:tcPr>
            <w:tcW w:type="dxa" w:w="24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Clock</w:t>
            </w:r>
          </w:p>
        </w:tc>
        <w:tc>
          <w:tcPr>
            <w:tcW w:type="dxa" w:w="28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Output</w:t>
            </w:r>
          </w:p>
        </w:tc>
      </w:tr>
      <w:tr>
        <w:tc>
          <w:tcPr>
            <w:tcW w:type="dxa" w:w="2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A  Red-team the records</w:t>
            </w:r>
          </w:p>
        </w:tc>
        <w:tc>
          <w:tcPr>
            <w:tcW w:type="dxa" w:w="24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After the inspection section</w:t>
            </w:r>
          </w:p>
        </w:tc>
        <w:tc>
          <w:tcPr>
            <w:tcW w:type="dxa" w:w="24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6 minutes table work, 4 minutes debrief</w:t>
            </w:r>
          </w:p>
        </w:tc>
        <w:tc>
          <w:tcPr>
            <w:tcW w:type="dxa" w:w="28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Three investigator questions, one written observation, one response skeleton</w:t>
            </w:r>
          </w:p>
        </w:tc>
      </w:tr>
      <w:tr>
        <w:tc>
          <w:tcPr>
            <w:tcW w:type="dxa" w:w="24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B  Gap triage under time pressure</w:t>
            </w:r>
          </w:p>
        </w:tc>
        <w:tc>
          <w:tcPr>
            <w:tcW w:type="dxa" w:w="24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After the gap-assessment section</w:t>
            </w:r>
          </w:p>
        </w:tc>
        <w:tc>
          <w:tcPr>
            <w:tcW w:type="dxa" w:w="24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6 minutes table work, 4 minutes debrief</w:t>
            </w:r>
          </w:p>
        </w:tc>
        <w:tc>
          <w:tcPr>
            <w:tcW w:type="dxa" w:w="28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Eight gap cards scored and ranked, with an owner role and a first-30-day action for the top three</w:t>
            </w:r>
          </w:p>
        </w:tc>
      </w:tr>
      <w:tr>
        <w:tc>
          <w:tcPr>
            <w:tcW w:type="dxa" w:w="2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C  Your 90-day plan</w:t>
            </w:r>
          </w:p>
        </w:tc>
        <w:tc>
          <w:tcPr>
            <w:tcW w:type="dxa" w:w="24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At the close</w:t>
            </w:r>
          </w:p>
        </w:tc>
        <w:tc>
          <w:tcPr>
            <w:tcW w:type="dxa" w:w="24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3 minutes solo, 2 minutes read-outs</w:t>
            </w:r>
          </w:p>
        </w:tc>
        <w:tc>
          <w:tcPr>
            <w:tcW w:type="dxa" w:w="28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One completed plan card per participant</w:t>
            </w:r>
          </w:p>
        </w:tc>
      </w:tr>
    </w:tbl>
    <w:p>
      <w:pPr>
        <w:pStyle w:val="Heading3"/>
      </w:pPr>
      <w:r>
        <w:t xml:space="preserve">Roles at your table</w:t>
      </w:r>
    </w:p>
    <w:p>
      <w:pPr>
        <w:pStyle w:val="ListParagraph"/>
        <w:numPr>
          <w:ilvl w:val="0"/>
          <w:numId w:val="2"/>
        </w:numPr>
        <w:spacing w:after="60"/>
      </w:pPr>
      <w:r>
        <w:rPr>
          <w:b/>
          <w:bCs/>
          <w:i w:val="false"/>
          <w:iCs w:val="false"/>
          <w:sz w:val="21"/>
          <w:szCs w:val="21"/>
        </w:rPr>
        <w:t xml:space="preserve">Scribe</w:t>
      </w:r>
      <w:r>
        <w:rPr>
          <w:b w:val="false"/>
          <w:bCs w:val="false"/>
          <w:i w:val="false"/>
          <w:iCs w:val="false"/>
          <w:sz w:val="21"/>
          <w:szCs w:val="21"/>
        </w:rPr>
        <w:t xml:space="preserve"> writes the table's answers on these pages.</w:t>
      </w:r>
    </w:p>
    <w:p>
      <w:pPr>
        <w:pStyle w:val="ListParagraph"/>
        <w:numPr>
          <w:ilvl w:val="0"/>
          <w:numId w:val="2"/>
        </w:numPr>
        <w:spacing w:after="60"/>
      </w:pPr>
      <w:r>
        <w:rPr>
          <w:b/>
          <w:bCs/>
          <w:i w:val="false"/>
          <w:iCs w:val="false"/>
          <w:sz w:val="21"/>
          <w:szCs w:val="21"/>
        </w:rPr>
        <w:t xml:space="preserve">Investigator</w:t>
      </w:r>
      <w:r>
        <w:rPr>
          <w:b w:val="false"/>
          <w:bCs w:val="false"/>
          <w:i w:val="false"/>
          <w:iCs w:val="false"/>
          <w:sz w:val="21"/>
          <w:szCs w:val="21"/>
        </w:rPr>
        <w:t xml:space="preserve"> argues the FDA reading in Exercise A and challenges soft answers.</w:t>
      </w:r>
    </w:p>
    <w:p>
      <w:pPr>
        <w:pStyle w:val="ListParagraph"/>
        <w:numPr>
          <w:ilvl w:val="0"/>
          <w:numId w:val="2"/>
        </w:numPr>
        <w:spacing w:after="60"/>
      </w:pPr>
      <w:r>
        <w:rPr>
          <w:b/>
          <w:bCs/>
          <w:i w:val="false"/>
          <w:iCs w:val="false"/>
          <w:sz w:val="21"/>
          <w:szCs w:val="21"/>
        </w:rPr>
        <w:t xml:space="preserve">Spokesperson</w:t>
      </w:r>
      <w:r>
        <w:rPr>
          <w:b w:val="false"/>
          <w:bCs w:val="false"/>
          <w:i w:val="false"/>
          <w:iCs w:val="false"/>
          <w:sz w:val="21"/>
          <w:szCs w:val="21"/>
        </w:rPr>
        <w:t xml:space="preserve"> reports out in 90 seconds.</w:t>
      </w:r>
    </w:p>
    <w:p>
      <w:r>
        <w:br w:type="page"/>
      </w:r>
    </w:p>
    <w:p>
      <w:pPr>
        <w:pStyle w:val="Heading1"/>
      </w:pPr>
      <w:r>
        <w:t xml:space="preserve">Exercise A: red-team the records</w:t>
      </w:r>
    </w:p>
    <w:p>
      <w:pPr>
        <w:spacing w:after="120" w:before="0"/>
      </w:pPr>
      <w:r>
        <w:rPr>
          <w:b/>
          <w:bCs/>
          <w:i w:val="false"/>
          <w:iCs w:val="false"/>
          <w:sz w:val="21"/>
          <w:szCs w:val="21"/>
        </w:rPr>
        <w:t xml:space="preserve">The firm.</w:t>
      </w:r>
      <w:r>
        <w:rPr>
          <w:b w:val="false"/>
          <w:bCs w:val="false"/>
          <w:i w:val="false"/>
          <w:iCs w:val="false"/>
          <w:sz w:val="21"/>
          <w:szCs w:val="21"/>
        </w:rPr>
        <w:t xml:space="preserve"> Brightwater Instruments, a Class II manufacturer of powered surgical handpieces and a reusable irrigation controller. About 180 staff, one site, ISO 13485 certified since 2017, MDSAP for Canada. Last FDA inspection 2023 under the QS regulation, classified Voluntary Action Indicated with two observations (complaint handling and CAPA effectiveness). The firm closed its QMSR transition project in November 2025. It has not yet been inspected under the QMSR.</w:t>
      </w:r>
    </w:p>
    <w:p>
      <w:pPr>
        <w:spacing w:after="120" w:before="0"/>
      </w:pPr>
      <w:r>
        <w:rPr>
          <w:b/>
          <w:bCs/>
          <w:i w:val="false"/>
          <w:iCs w:val="false"/>
          <w:sz w:val="21"/>
          <w:szCs w:val="21"/>
        </w:rPr>
        <w:t xml:space="preserve">Your job.</w:t>
      </w:r>
      <w:r>
        <w:rPr>
          <w:b w:val="false"/>
          <w:bCs w:val="false"/>
          <w:i w:val="false"/>
          <w:iCs w:val="false"/>
          <w:sz w:val="21"/>
          <w:szCs w:val="21"/>
        </w:rPr>
        <w:t xml:space="preserve"> Read the three records below as an FDA investigator working to Compliance Program 7382.850. You have six minutes.</w:t>
      </w:r>
    </w:p>
    <w:p>
      <w:pPr>
        <w:pStyle w:val="Heading2"/>
      </w:pPr>
      <w:r>
        <w:t xml:space="preserve">Record A1: Management review minutes, Q2 2026 (extract)</w:t>
      </w:r>
    </w:p>
    <w:tbl>
      <w:tblPr>
        <w:tblW w:type="dxa" w:w="10080"/>
        <w:tblBorders>
          <w:top w:val="single" w:color="A8730F" w:sz="6"/>
          <w:left w:val="single" w:color="A8730F" w:sz="6"/>
          <w:bottom w:val="single" w:color="A8730F" w:sz="6"/>
          <w:right w:val="single" w:color="A8730F" w:sz="6"/>
          <w:insideH w:val="single" w:color="A8730F" w:sz="6"/>
          <w:insideV w:val="single" w:color="A8730F" w:sz="6"/>
        </w:tblBorders>
      </w:tblPr>
      <w:tblGrid>
        <w:gridCol w:w="10080"/>
      </w:tblGrid>
      <w:tr>
        <w:trPr>
          <w:cantSplit/>
        </w:trPr>
        <w:tc>
          <w:tcPr>
            <w:tcW w:type="dxa" w:w="10080"/>
            <w:shd w:fill="FFFFFF" w:color="auto" w:val="clear"/>
            <w:tcMar>
              <w:top w:type="dxa" w:w="120"/>
              <w:left w:type="dxa" w:w="200"/>
              <w:bottom w:type="dxa" w:w="120"/>
              <w:right w:type="dxa" w:w="200"/>
            </w:tcMar>
          </w:tcPr>
          <w:p>
            <w:pPr>
              <w:spacing w:after="40"/>
            </w:pPr>
            <w:r>
              <w:rPr>
                <w:b/>
                <w:bCs/>
                <w:color w:val="A8730F"/>
                <w:sz w:val="16"/>
                <w:szCs w:val="16"/>
              </w:rPr>
              <w:t xml:space="preserve">RECORD A1   </w:t>
            </w:r>
            <w:r>
              <w:rPr>
                <w:b/>
                <w:bCs/>
                <w:color w:val="0F2A4A"/>
                <w:sz w:val="20"/>
                <w:szCs w:val="20"/>
              </w:rPr>
              <w:t xml:space="preserve">Brightwater Instruments - Management Review Meeting, 14 July 2026</w:t>
            </w:r>
          </w:p>
          <w:p>
            <w:pPr>
              <w:spacing w:after="40"/>
            </w:pPr>
            <w:r>
              <w:rPr>
                <w:rFonts w:ascii="Courier New" w:cs="Courier New" w:eastAsia="Courier New" w:hAnsi="Courier New"/>
                <w:b w:val="false"/>
                <w:bCs w:val="false"/>
                <w:i w:val="false"/>
                <w:iCs w:val="false"/>
                <w:sz w:val="19"/>
                <w:szCs w:val="19"/>
              </w:rPr>
              <w:t xml:space="preserve">Attendees: President, VP Operations, Director Quality (chair), Director R&amp;D, Materials Manager.</w:t>
            </w:r>
          </w:p>
          <w:p>
            <w:pPr>
              <w:spacing w:after="40"/>
            </w:pPr>
            <w:r>
              <w:rPr>
                <w:rFonts w:ascii="Courier New" w:cs="Courier New" w:eastAsia="Courier New" w:hAnsi="Courier New"/>
                <w:b w:val="false"/>
                <w:bCs w:val="false"/>
                <w:i w:val="false"/>
                <w:iCs w:val="false"/>
                <w:sz w:val="19"/>
                <w:szCs w:val="19"/>
              </w:rPr>
              <w:t xml:space="preserve">Apologies: VP Regulatory Affairs.</w:t>
            </w:r>
          </w:p>
          <w:p>
            <w:pPr>
              <w:spacing w:after="40"/>
            </w:pPr>
            <w:r>
              <w:rPr>
                <w:sz w:val="19"/>
                <w:szCs w:val="19"/>
              </w:rPr>
              <w:t xml:space="preserve"/>
            </w:r>
          </w:p>
          <w:p>
            <w:pPr>
              <w:spacing w:after="40"/>
            </w:pPr>
            <w:r>
              <w:rPr>
                <w:rFonts w:ascii="Courier New" w:cs="Courier New" w:eastAsia="Courier New" w:hAnsi="Courier New"/>
                <w:b w:val="false"/>
                <w:bCs w:val="false"/>
                <w:i w:val="false"/>
                <w:iCs w:val="false"/>
                <w:sz w:val="19"/>
                <w:szCs w:val="19"/>
              </w:rPr>
              <w:t xml:space="preserve">1. Review of previous minutes: accepted.</w:t>
            </w:r>
          </w:p>
          <w:p>
            <w:pPr>
              <w:spacing w:after="40"/>
            </w:pPr>
            <w:r>
              <w:rPr>
                <w:rFonts w:ascii="Courier New" w:cs="Courier New" w:eastAsia="Courier New" w:hAnsi="Courier New"/>
                <w:b w:val="false"/>
                <w:bCs w:val="false"/>
                <w:i w:val="false"/>
                <w:iCs w:val="false"/>
                <w:sz w:val="19"/>
                <w:szCs w:val="19"/>
              </w:rPr>
              <w:t xml:space="preserve">2. Quality objectives: all objectives on track. Scrap 1.8% against a 2.0% target.</w:t>
            </w:r>
          </w:p>
          <w:p>
            <w:pPr>
              <w:spacing w:after="40"/>
            </w:pPr>
            <w:r>
              <w:rPr>
                <w:rFonts w:ascii="Courier New" w:cs="Courier New" w:eastAsia="Courier New" w:hAnsi="Courier New"/>
                <w:b w:val="false"/>
                <w:bCs w:val="false"/>
                <w:i w:val="false"/>
                <w:iCs w:val="false"/>
                <w:sz w:val="19"/>
                <w:szCs w:val="19"/>
              </w:rPr>
              <w:t xml:space="preserve">3. Internal audit: the 2026 audit plan is 60% complete. No major findings.</w:t>
            </w:r>
          </w:p>
          <w:p>
            <w:pPr>
              <w:spacing w:after="40"/>
            </w:pPr>
            <w:r>
              <w:rPr>
                <w:rFonts w:ascii="Courier New" w:cs="Courier New" w:eastAsia="Courier New" w:hAnsi="Courier New"/>
                <w:b w:val="false"/>
                <w:bCs w:val="false"/>
                <w:i w:val="false"/>
                <w:iCs w:val="false"/>
                <w:sz w:val="19"/>
                <w:szCs w:val="19"/>
              </w:rPr>
              <w:t xml:space="preserve">4. Complaints: 34 complaints received in H1 2026 (H1 2025: 29). No adverse trends identified.</w:t>
            </w:r>
          </w:p>
          <w:p>
            <w:pPr>
              <w:spacing w:after="40"/>
            </w:pPr>
            <w:r>
              <w:rPr>
                <w:rFonts w:ascii="Courier New" w:cs="Courier New" w:eastAsia="Courier New" w:hAnsi="Courier New"/>
                <w:b w:val="false"/>
                <w:bCs w:val="false"/>
                <w:i w:val="false"/>
                <w:iCs w:val="false"/>
                <w:sz w:val="19"/>
                <w:szCs w:val="19"/>
              </w:rPr>
              <w:t xml:space="preserve">5. CAPA: 11 CAPAs open, 6 closed in the period. Average age 142 days.</w:t>
            </w:r>
          </w:p>
          <w:p>
            <w:pPr>
              <w:spacing w:after="40"/>
            </w:pPr>
            <w:r>
              <w:rPr>
                <w:rFonts w:ascii="Courier New" w:cs="Courier New" w:eastAsia="Courier New" w:hAnsi="Courier New"/>
                <w:b w:val="false"/>
                <w:bCs w:val="false"/>
                <w:i w:val="false"/>
                <w:iCs w:val="false"/>
                <w:sz w:val="19"/>
                <w:szCs w:val="19"/>
              </w:rPr>
              <w:t xml:space="preserve">6. Suppliers: no supplier issues to report.</w:t>
            </w:r>
          </w:p>
          <w:p>
            <w:pPr>
              <w:spacing w:after="40"/>
            </w:pPr>
            <w:r>
              <w:rPr>
                <w:rFonts w:ascii="Courier New" w:cs="Courier New" w:eastAsia="Courier New" w:hAnsi="Courier New"/>
                <w:b w:val="false"/>
                <w:bCs w:val="false"/>
                <w:i w:val="false"/>
                <w:iCs w:val="false"/>
                <w:sz w:val="19"/>
                <w:szCs w:val="19"/>
              </w:rPr>
              <w:t xml:space="preserve">7. Customer feedback: satisfaction survey returned 4.2 of 5.</w:t>
            </w:r>
          </w:p>
          <w:p>
            <w:pPr>
              <w:spacing w:after="40"/>
            </w:pPr>
            <w:r>
              <w:rPr>
                <w:rFonts w:ascii="Courier New" w:cs="Courier New" w:eastAsia="Courier New" w:hAnsi="Courier New"/>
                <w:b w:val="false"/>
                <w:bCs w:val="false"/>
                <w:i w:val="false"/>
                <w:iCs w:val="false"/>
                <w:sz w:val="19"/>
                <w:szCs w:val="19"/>
              </w:rPr>
              <w:t xml:space="preserve">8. Resources: no additional resources requested.</w:t>
            </w:r>
          </w:p>
          <w:p>
            <w:pPr>
              <w:spacing w:after="40"/>
            </w:pPr>
            <w:r>
              <w:rPr>
                <w:rFonts w:ascii="Courier New" w:cs="Courier New" w:eastAsia="Courier New" w:hAnsi="Courier New"/>
                <w:b w:val="false"/>
                <w:bCs w:val="false"/>
                <w:i w:val="false"/>
                <w:iCs w:val="false"/>
                <w:sz w:val="19"/>
                <w:szCs w:val="19"/>
              </w:rPr>
              <w:t xml:space="preserve">9. AOB: QMSR transition project closed November 2025. No further action.</w:t>
            </w:r>
          </w:p>
          <w:p>
            <w:pPr>
              <w:spacing w:after="40"/>
            </w:pPr>
            <w:r>
              <w:rPr>
                <w:sz w:val="19"/>
                <w:szCs w:val="19"/>
              </w:rPr>
              <w:t xml:space="preserve"/>
            </w:r>
          </w:p>
          <w:p>
            <w:pPr>
              <w:spacing w:after="40"/>
            </w:pPr>
            <w:r>
              <w:rPr>
                <w:rFonts w:ascii="Courier New" w:cs="Courier New" w:eastAsia="Courier New" w:hAnsi="Courier New"/>
                <w:b w:val="false"/>
                <w:bCs w:val="false"/>
                <w:i w:val="false"/>
                <w:iCs w:val="false"/>
                <w:sz w:val="19"/>
                <w:szCs w:val="19"/>
              </w:rPr>
              <w:t xml:space="preserve">Conclusion: the quality management system continues to be effective and suitable.</w:t>
            </w:r>
          </w:p>
          <w:p>
            <w:pPr>
              <w:spacing w:after="40"/>
            </w:pPr>
            <w:r>
              <w:rPr>
                <w:rFonts w:ascii="Courier New" w:cs="Courier New" w:eastAsia="Courier New" w:hAnsi="Courier New"/>
                <w:b w:val="false"/>
                <w:bCs w:val="false"/>
                <w:i w:val="false"/>
                <w:iCs w:val="false"/>
                <w:sz w:val="19"/>
                <w:szCs w:val="19"/>
              </w:rPr>
              <w:t xml:space="preserve">Next review: January 2027.</w:t>
            </w:r>
          </w:p>
        </w:tc>
      </w:tr>
    </w:tbl>
    <w:p>
      <w:pPr>
        <w:pStyle w:val="Heading2"/>
      </w:pPr>
      <w:r>
        <w:t xml:space="preserve">Record A2: Internal audit summary, June 2026 (extract)</w:t>
      </w:r>
    </w:p>
    <w:tbl>
      <w:tblPr>
        <w:tblW w:type="dxa" w:w="10080"/>
        <w:tblBorders>
          <w:top w:val="single" w:color="A8730F" w:sz="6"/>
          <w:left w:val="single" w:color="A8730F" w:sz="6"/>
          <w:bottom w:val="single" w:color="A8730F" w:sz="6"/>
          <w:right w:val="single" w:color="A8730F" w:sz="6"/>
          <w:insideH w:val="single" w:color="A8730F" w:sz="6"/>
          <w:insideV w:val="single" w:color="A8730F" w:sz="6"/>
        </w:tblBorders>
      </w:tblPr>
      <w:tblGrid>
        <w:gridCol w:w="10080"/>
      </w:tblGrid>
      <w:tr>
        <w:trPr>
          <w:cantSplit/>
        </w:trPr>
        <w:tc>
          <w:tcPr>
            <w:tcW w:type="dxa" w:w="10080"/>
            <w:shd w:fill="FFFFFF" w:color="auto" w:val="clear"/>
            <w:tcMar>
              <w:top w:type="dxa" w:w="120"/>
              <w:left w:type="dxa" w:w="200"/>
              <w:bottom w:type="dxa" w:w="120"/>
              <w:right w:type="dxa" w:w="200"/>
            </w:tcMar>
          </w:tcPr>
          <w:p>
            <w:pPr>
              <w:spacing w:after="40"/>
            </w:pPr>
            <w:r>
              <w:rPr>
                <w:b/>
                <w:bCs/>
                <w:color w:val="A8730F"/>
                <w:sz w:val="16"/>
                <w:szCs w:val="16"/>
              </w:rPr>
              <w:t xml:space="preserve">RECORD A2   </w:t>
            </w:r>
            <w:r>
              <w:rPr>
                <w:b/>
                <w:bCs/>
                <w:color w:val="0F2A4A"/>
                <w:sz w:val="20"/>
                <w:szCs w:val="20"/>
              </w:rPr>
              <w:t xml:space="preserve">Internal Audit Report IA-2026-04, Purchasing and Outsourcing, 9 June 2026</w:t>
            </w:r>
          </w:p>
          <w:p>
            <w:pPr>
              <w:spacing w:after="40"/>
            </w:pPr>
            <w:r>
              <w:rPr>
                <w:rFonts w:ascii="Courier New" w:cs="Courier New" w:eastAsia="Courier New" w:hAnsi="Courier New"/>
                <w:b w:val="false"/>
                <w:bCs w:val="false"/>
                <w:i w:val="false"/>
                <w:iCs w:val="false"/>
                <w:sz w:val="19"/>
                <w:szCs w:val="19"/>
              </w:rPr>
              <w:t xml:space="preserve">Scope: Purchasing procedure QP-740 rev 6. Checklist used: "21 CFR 820.50 Purchasing Controls" (rev 2019).</w:t>
            </w:r>
          </w:p>
          <w:p>
            <w:pPr>
              <w:spacing w:after="40"/>
            </w:pPr>
            <w:r>
              <w:rPr>
                <w:rFonts w:ascii="Courier New" w:cs="Courier New" w:eastAsia="Courier New" w:hAnsi="Courier New"/>
                <w:b w:val="false"/>
                <w:bCs w:val="false"/>
                <w:i w:val="false"/>
                <w:iCs w:val="false"/>
                <w:sz w:val="19"/>
                <w:szCs w:val="19"/>
              </w:rPr>
              <w:t xml:space="preserve">Auditor: Quality Engineer (reports to Director Quality).</w:t>
            </w:r>
          </w:p>
          <w:p>
            <w:pPr>
              <w:spacing w:after="40"/>
            </w:pPr>
            <w:r>
              <w:rPr>
                <w:sz w:val="19"/>
                <w:szCs w:val="19"/>
              </w:rPr>
              <w:t xml:space="preserve"/>
            </w:r>
          </w:p>
          <w:p>
            <w:pPr>
              <w:spacing w:after="40"/>
            </w:pPr>
            <w:r>
              <w:rPr>
                <w:rFonts w:ascii="Courier New" w:cs="Courier New" w:eastAsia="Courier New" w:hAnsi="Courier New"/>
                <w:b w:val="false"/>
                <w:bCs w:val="false"/>
                <w:i w:val="false"/>
                <w:iCs w:val="false"/>
                <w:sz w:val="19"/>
                <w:szCs w:val="19"/>
              </w:rPr>
              <w:t xml:space="preserve">Findings:</w:t>
            </w:r>
          </w:p>
          <w:p>
            <w:pPr>
              <w:spacing w:after="40"/>
            </w:pPr>
            <w:r>
              <w:rPr>
                <w:rFonts w:ascii="Courier New" w:cs="Courier New" w:eastAsia="Courier New" w:hAnsi="Courier New"/>
                <w:b w:val="false"/>
                <w:bCs w:val="false"/>
                <w:i w:val="false"/>
                <w:iCs w:val="false"/>
                <w:sz w:val="19"/>
                <w:szCs w:val="19"/>
              </w:rPr>
              <w:t xml:space="preserve">OFI-1  The approved supplier list has not been reviewed since 2024.</w:t>
            </w:r>
          </w:p>
          <w:p>
            <w:pPr>
              <w:spacing w:after="40"/>
            </w:pPr>
            <w:r>
              <w:rPr>
                <w:rFonts w:ascii="Courier New" w:cs="Courier New" w:eastAsia="Courier New" w:hAnsi="Courier New"/>
                <w:b w:val="false"/>
                <w:bCs w:val="false"/>
                <w:i w:val="false"/>
                <w:iCs w:val="false"/>
                <w:sz w:val="19"/>
                <w:szCs w:val="19"/>
              </w:rPr>
              <w:t xml:space="preserve">OFI-2  Supplier questionnaires on file for 22 of 24 active suppliers.</w:t>
            </w:r>
          </w:p>
          <w:p>
            <w:pPr>
              <w:spacing w:after="40"/>
            </w:pPr>
            <w:r>
              <w:rPr>
                <w:sz w:val="19"/>
                <w:szCs w:val="19"/>
              </w:rPr>
              <w:t xml:space="preserve"/>
            </w:r>
          </w:p>
          <w:p>
            <w:pPr>
              <w:spacing w:after="40"/>
            </w:pPr>
            <w:r>
              <w:rPr>
                <w:rFonts w:ascii="Courier New" w:cs="Courier New" w:eastAsia="Courier New" w:hAnsi="Courier New"/>
                <w:b w:val="false"/>
                <w:bCs w:val="false"/>
                <w:i w:val="false"/>
                <w:iCs w:val="false"/>
                <w:sz w:val="19"/>
                <w:szCs w:val="19"/>
              </w:rPr>
              <w:t xml:space="preserve">Observation: "There continues to be a systemic weakness in how supplier risk is handled,</w:t>
            </w:r>
          </w:p>
          <w:p>
            <w:pPr>
              <w:spacing w:after="40"/>
            </w:pPr>
            <w:r>
              <w:rPr>
                <w:rFonts w:ascii="Courier New" w:cs="Courier New" w:eastAsia="Courier New" w:hAnsi="Courier New"/>
                <w:b w:val="false"/>
                <w:bCs w:val="false"/>
                <w:i w:val="false"/>
                <w:iCs w:val="false"/>
                <w:sz w:val="19"/>
                <w:szCs w:val="19"/>
              </w:rPr>
              <w:t xml:space="preserve">as noted in prior audits. Recommend management attention."</w:t>
            </w:r>
          </w:p>
          <w:p>
            <w:pPr>
              <w:spacing w:after="40"/>
            </w:pPr>
            <w:r>
              <w:rPr>
                <w:sz w:val="19"/>
                <w:szCs w:val="19"/>
              </w:rPr>
              <w:t xml:space="preserve"/>
            </w:r>
          </w:p>
          <w:p>
            <w:pPr>
              <w:spacing w:after="40"/>
            </w:pPr>
            <w:r>
              <w:rPr>
                <w:rFonts w:ascii="Courier New" w:cs="Courier New" w:eastAsia="Courier New" w:hAnsi="Courier New"/>
                <w:b w:val="false"/>
                <w:bCs w:val="false"/>
                <w:i w:val="false"/>
                <w:iCs w:val="false"/>
                <w:sz w:val="19"/>
                <w:szCs w:val="19"/>
              </w:rPr>
              <w:t xml:space="preserve">Conclusion: no nonconformities raised. Two opportunities for improvement (OFIs) assigned to</w:t>
            </w:r>
          </w:p>
          <w:p>
            <w:pPr>
              <w:spacing w:after="40"/>
            </w:pPr>
            <w:r>
              <w:rPr>
                <w:rFonts w:ascii="Courier New" w:cs="Courier New" w:eastAsia="Courier New" w:hAnsi="Courier New"/>
                <w:b w:val="false"/>
                <w:bCs w:val="false"/>
                <w:i w:val="false"/>
                <w:iCs w:val="false"/>
                <w:sz w:val="19"/>
                <w:szCs w:val="19"/>
              </w:rPr>
              <w:t xml:space="preserve">the Materials Manager. No CAPA initiated. Audit closed 9 June 2026.</w:t>
            </w:r>
          </w:p>
        </w:tc>
      </w:tr>
    </w:tbl>
    <w:p>
      <w:pPr>
        <w:pStyle w:val="Heading2"/>
      </w:pPr>
      <w:r>
        <w:t xml:space="preserve">Record A3: Supplier audit report, critical supplier (extract)</w:t>
      </w:r>
    </w:p>
    <w:tbl>
      <w:tblPr>
        <w:tblW w:type="dxa" w:w="10080"/>
        <w:tblBorders>
          <w:top w:val="single" w:color="A8730F" w:sz="6"/>
          <w:left w:val="single" w:color="A8730F" w:sz="6"/>
          <w:bottom w:val="single" w:color="A8730F" w:sz="6"/>
          <w:right w:val="single" w:color="A8730F" w:sz="6"/>
          <w:insideH w:val="single" w:color="A8730F" w:sz="6"/>
          <w:insideV w:val="single" w:color="A8730F" w:sz="6"/>
        </w:tblBorders>
      </w:tblPr>
      <w:tblGrid>
        <w:gridCol w:w="10080"/>
      </w:tblGrid>
      <w:tr>
        <w:trPr>
          <w:cantSplit/>
        </w:trPr>
        <w:tc>
          <w:tcPr>
            <w:tcW w:type="dxa" w:w="10080"/>
            <w:shd w:fill="FFFFFF" w:color="auto" w:val="clear"/>
            <w:tcMar>
              <w:top w:type="dxa" w:w="120"/>
              <w:left w:type="dxa" w:w="200"/>
              <w:bottom w:type="dxa" w:w="120"/>
              <w:right w:type="dxa" w:w="200"/>
            </w:tcMar>
          </w:tcPr>
          <w:p>
            <w:pPr>
              <w:spacing w:after="40"/>
            </w:pPr>
            <w:r>
              <w:rPr>
                <w:b/>
                <w:bCs/>
                <w:color w:val="A8730F"/>
                <w:sz w:val="16"/>
                <w:szCs w:val="16"/>
              </w:rPr>
              <w:t xml:space="preserve">RECORD A3   </w:t>
            </w:r>
            <w:r>
              <w:rPr>
                <w:b/>
                <w:bCs/>
                <w:color w:val="0F2A4A"/>
                <w:sz w:val="20"/>
                <w:szCs w:val="20"/>
              </w:rPr>
              <w:t xml:space="preserve">Supplier Audit SA-2025-11, Northbank Machining (motor housings), 3 October 2025</w:t>
            </w:r>
          </w:p>
          <w:p>
            <w:pPr>
              <w:spacing w:after="40"/>
            </w:pPr>
            <w:r>
              <w:rPr>
                <w:rFonts w:ascii="Courier New" w:cs="Courier New" w:eastAsia="Courier New" w:hAnsi="Courier New"/>
                <w:b w:val="false"/>
                <w:bCs w:val="false"/>
                <w:i w:val="false"/>
                <w:iCs w:val="false"/>
                <w:sz w:val="19"/>
                <w:szCs w:val="19"/>
              </w:rPr>
              <w:t xml:space="preserve">Supplier criticality per QP-740 Appendix A: "Critical - direct product contact, custom machined".</w:t>
            </w:r>
          </w:p>
          <w:p>
            <w:pPr>
              <w:spacing w:after="40"/>
            </w:pPr>
            <w:r>
              <w:rPr>
                <w:rFonts w:ascii="Courier New" w:cs="Courier New" w:eastAsia="Courier New" w:hAnsi="Courier New"/>
                <w:b w:val="false"/>
                <w:bCs w:val="false"/>
                <w:i w:val="false"/>
                <w:iCs w:val="false"/>
                <w:sz w:val="19"/>
                <w:szCs w:val="19"/>
              </w:rPr>
              <w:t xml:space="preserve">Audit type: remote documentation review (no site visit).</w:t>
            </w:r>
          </w:p>
          <w:p>
            <w:pPr>
              <w:spacing w:after="40"/>
            </w:pPr>
            <w:r>
              <w:rPr>
                <w:sz w:val="19"/>
                <w:szCs w:val="19"/>
              </w:rPr>
              <w:t xml:space="preserve"/>
            </w:r>
          </w:p>
          <w:p>
            <w:pPr>
              <w:spacing w:after="40"/>
            </w:pPr>
            <w:r>
              <w:rPr>
                <w:rFonts w:ascii="Courier New" w:cs="Courier New" w:eastAsia="Courier New" w:hAnsi="Courier New"/>
                <w:b w:val="false"/>
                <w:bCs w:val="false"/>
                <w:i w:val="false"/>
                <w:iCs w:val="false"/>
                <w:sz w:val="19"/>
                <w:szCs w:val="19"/>
              </w:rPr>
              <w:t xml:space="preserve">Findings: 3 minor. (1) Calibration records for 2 of 8 gauges overdue. (2) No documented</w:t>
            </w:r>
          </w:p>
          <w:p>
            <w:pPr>
              <w:spacing w:after="40"/>
            </w:pPr>
            <w:r>
              <w:rPr>
                <w:rFonts w:ascii="Courier New" w:cs="Courier New" w:eastAsia="Courier New" w:hAnsi="Courier New"/>
                <w:b w:val="false"/>
                <w:bCs w:val="false"/>
                <w:i w:val="false"/>
                <w:iCs w:val="false"/>
                <w:sz w:val="19"/>
                <w:szCs w:val="19"/>
              </w:rPr>
              <w:t xml:space="preserve">process for notifying Brightwater of process changes. (3) Operator training records incomplete</w:t>
            </w:r>
          </w:p>
          <w:p>
            <w:pPr>
              <w:spacing w:after="40"/>
            </w:pPr>
            <w:r>
              <w:rPr>
                <w:rFonts w:ascii="Courier New" w:cs="Courier New" w:eastAsia="Courier New" w:hAnsi="Courier New"/>
                <w:b w:val="false"/>
                <w:bCs w:val="false"/>
                <w:i w:val="false"/>
                <w:iCs w:val="false"/>
                <w:sz w:val="19"/>
                <w:szCs w:val="19"/>
              </w:rPr>
              <w:t xml:space="preserve">for the CNC cell.</w:t>
            </w:r>
          </w:p>
          <w:p>
            <w:pPr>
              <w:spacing w:after="40"/>
            </w:pPr>
            <w:r>
              <w:rPr>
                <w:sz w:val="19"/>
                <w:szCs w:val="19"/>
              </w:rPr>
              <w:t xml:space="preserve"/>
            </w:r>
          </w:p>
          <w:p>
            <w:pPr>
              <w:spacing w:after="40"/>
            </w:pPr>
            <w:r>
              <w:rPr>
                <w:rFonts w:ascii="Courier New" w:cs="Courier New" w:eastAsia="Courier New" w:hAnsi="Courier New"/>
                <w:b w:val="false"/>
                <w:bCs w:val="false"/>
                <w:i w:val="false"/>
                <w:iCs w:val="false"/>
                <w:sz w:val="19"/>
                <w:szCs w:val="19"/>
              </w:rPr>
              <w:t xml:space="preserve">Supplier response: received 20 October 2025, "actions in progress".</w:t>
            </w:r>
          </w:p>
          <w:p>
            <w:pPr>
              <w:spacing w:after="40"/>
            </w:pPr>
            <w:r>
              <w:rPr>
                <w:rFonts w:ascii="Courier New" w:cs="Courier New" w:eastAsia="Courier New" w:hAnsi="Courier New"/>
                <w:b w:val="false"/>
                <w:bCs w:val="false"/>
                <w:i w:val="false"/>
                <w:iCs w:val="false"/>
                <w:sz w:val="19"/>
                <w:szCs w:val="19"/>
              </w:rPr>
              <w:t xml:space="preserve">Brightwater follow-up: none recorded.</w:t>
            </w:r>
          </w:p>
          <w:p>
            <w:pPr>
              <w:spacing w:after="40"/>
            </w:pPr>
            <w:r>
              <w:rPr>
                <w:rFonts w:ascii="Courier New" w:cs="Courier New" w:eastAsia="Courier New" w:hAnsi="Courier New"/>
                <w:b w:val="false"/>
                <w:bCs w:val="false"/>
                <w:i w:val="false"/>
                <w:iCs w:val="false"/>
                <w:sz w:val="19"/>
                <w:szCs w:val="19"/>
              </w:rPr>
              <w:t xml:space="preserve">Supplier status in ERP as of July 2026: APPROVED. Scorecard rating: GREEN (on-time delivery 99%,</w:t>
            </w:r>
          </w:p>
          <w:p>
            <w:pPr>
              <w:spacing w:after="40"/>
            </w:pPr>
            <w:r>
              <w:rPr>
                <w:rFonts w:ascii="Courier New" w:cs="Courier New" w:eastAsia="Courier New" w:hAnsi="Courier New"/>
                <w:b w:val="false"/>
                <w:bCs w:val="false"/>
                <w:i w:val="false"/>
                <w:iCs w:val="false"/>
                <w:sz w:val="19"/>
                <w:szCs w:val="19"/>
              </w:rPr>
              <w:t xml:space="preserve">incoming inspection rejects 0.4%).</w:t>
            </w:r>
          </w:p>
        </w:tc>
      </w:tr>
    </w:tbl>
    <w:p>
      <w:pPr>
        <w:pStyle w:val="Heading2"/>
      </w:pPr>
      <w:r>
        <w:t xml:space="preserve">Your table's answers</w:t>
      </w:r>
    </w:p>
    <w:p>
      <w:pPr>
        <w:pStyle w:val="Heading3"/>
      </w:pPr>
      <w:r>
        <w:t xml:space="preserve">1. The three questions you would ask first</w:t>
      </w:r>
    </w:p>
    <w:tbl>
      <w:tblPr>
        <w:tblW w:type="dxa" w:w="10080"/>
        <w:tblBorders>
          <w:top w:val="none" w:color="FFFFFF" w:sz="0"/>
          <w:left w:val="none" w:color="FFFFFF" w:sz="0"/>
          <w:bottom w:val="single" w:color="CBD2D9" w:sz="4"/>
          <w:right w:val="none" w:color="FFFFFF" w:sz="0"/>
          <w:insideH w:val="single" w:color="CBD2D9" w:sz="4"/>
          <w:insideV w:val="none" w:color="FFFFFF" w:sz="0"/>
        </w:tblBorders>
      </w:tblPr>
      <w:tblGrid>
        <w:gridCol w:w="10080"/>
      </w:tblGrid>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bl>
    <w:p>
      <w:pPr>
        <w:spacing w:after="60"/>
      </w:pPr>
      <w:r>
        <w:t xml:space="preserve"/>
      </w:r>
    </w:p>
    <w:p>
      <w:pPr>
        <w:pStyle w:val="Heading3"/>
      </w:pPr>
      <w:r>
        <w:t xml:space="preserve">2. The element you would go dig into, and why</w:t>
      </w:r>
    </w:p>
    <w:tbl>
      <w:tblPr>
        <w:tblW w:type="dxa" w:w="10080"/>
        <w:tblBorders>
          <w:top w:val="none" w:color="FFFFFF" w:sz="0"/>
          <w:left w:val="none" w:color="FFFFFF" w:sz="0"/>
          <w:bottom w:val="single" w:color="CBD2D9" w:sz="4"/>
          <w:right w:val="none" w:color="FFFFFF" w:sz="0"/>
          <w:insideH w:val="single" w:color="CBD2D9" w:sz="4"/>
          <w:insideV w:val="none" w:color="FFFFFF" w:sz="0"/>
        </w:tblBorders>
      </w:tblPr>
      <w:tblGrid>
        <w:gridCol w:w="10080"/>
      </w:tblGrid>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bl>
    <w:p>
      <w:pPr>
        <w:spacing w:after="60"/>
      </w:pPr>
      <w:r>
        <w:t xml:space="preserve"/>
      </w:r>
    </w:p>
    <w:p>
      <w:pPr>
        <w:pStyle w:val="Heading3"/>
      </w:pPr>
      <w:r>
        <w:t xml:space="preserve">3. Write one observation</w:t>
      </w:r>
    </w:p>
    <w:p>
      <w:pPr>
        <w:spacing w:after="120" w:before="0"/>
      </w:pPr>
      <w:r>
        <w:rPr>
          <w:b w:val="false"/>
          <w:bCs w:val="false"/>
          <w:i w:val="false"/>
          <w:iCs w:val="false"/>
          <w:sz w:val="21"/>
          <w:szCs w:val="21"/>
        </w:rPr>
        <w:t xml:space="preserve">Name the clause or QMSR section, the specific record, and the specific failure. An observation that says "management review is weak" is not an observation.</w:t>
      </w:r>
    </w:p>
    <w:tbl>
      <w:tblPr>
        <w:tblW w:type="dxa" w:w="10080"/>
        <w:tblBorders>
          <w:top w:val="none" w:color="FFFFFF" w:sz="0"/>
          <w:left w:val="none" w:color="FFFFFF" w:sz="0"/>
          <w:bottom w:val="single" w:color="CBD2D9" w:sz="4"/>
          <w:right w:val="none" w:color="FFFFFF" w:sz="0"/>
          <w:insideH w:val="single" w:color="CBD2D9" w:sz="4"/>
          <w:insideV w:val="none" w:color="FFFFFF" w:sz="0"/>
        </w:tblBorders>
      </w:tblPr>
      <w:tblGrid>
        <w:gridCol w:w="10080"/>
      </w:tblGrid>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bl>
    <w:p>
      <w:pPr>
        <w:spacing w:after="60"/>
      </w:pPr>
      <w:r>
        <w:t xml:space="preserve"/>
      </w:r>
    </w:p>
    <w:p>
      <w:r>
        <w:br w:type="page"/>
      </w:r>
    </w:p>
    <w:p>
      <w:pPr>
        <w:pStyle w:val="Heading3"/>
      </w:pPr>
      <w:r>
        <w:t xml:space="preserve">4. Swap sheets. Draft the response skeleton for the neighbouring table's observation</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3000"/>
        <w:gridCol w:w="7080"/>
      </w:tblGrid>
      <w:tr>
        <w:trPr>
          <w:tblHeader/>
        </w:trPr>
        <w:tc>
          <w:tcPr>
            <w:tcW w:type="dxa" w:w="30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Element</w:t>
            </w:r>
          </w:p>
        </w:tc>
        <w:tc>
          <w:tcPr>
            <w:tcW w:type="dxa" w:w="70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Your answer</w:t>
            </w:r>
          </w:p>
        </w:tc>
      </w:tr>
      <w:tr>
        <w:tc>
          <w:tcPr>
            <w:tcW w:type="dxa" w:w="3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Immediate correction</w:t>
            </w:r>
          </w:p>
        </w:tc>
        <w:tc>
          <w:tcPr>
            <w:tcW w:type="dxa" w:w="70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30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Root cause (not "the procedure was not followed")</w:t>
            </w:r>
          </w:p>
        </w:tc>
        <w:tc>
          <w:tcPr>
            <w:tcW w:type="dxa" w:w="708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3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Systemic corrective action</w:t>
            </w:r>
          </w:p>
        </w:tc>
        <w:tc>
          <w:tcPr>
            <w:tcW w:type="dxa" w:w="70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30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Evidence and date you would commit to</w:t>
            </w:r>
          </w:p>
        </w:tc>
        <w:tc>
          <w:tcPr>
            <w:tcW w:type="dxa" w:w="708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3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The metric that would prove effectiveness</w:t>
            </w:r>
          </w:p>
        </w:tc>
        <w:tc>
          <w:tcPr>
            <w:tcW w:type="dxa" w:w="7080"/>
            <w:shd w:fill="F5F8FB" w:color="auto" w:val="clear"/>
            <w:tcMar>
              <w:top w:type="dxa" w:w="70"/>
              <w:left w:type="dxa" w:w="100"/>
              <w:bottom w:type="dxa" w:w="70"/>
              <w:right w:type="dxa" w:w="100"/>
            </w:tcMar>
            <w:vAlign w:val="top"/>
          </w:tcPr>
          <w:p>
            <w:pPr>
              <w:spacing w:after="40"/>
            </w:pPr>
            <w:r>
              <w:rPr>
                <w:sz w:val="19"/>
                <w:szCs w:val="19"/>
              </w:rPr>
              <w:t xml:space="preserve"/>
            </w:r>
          </w:p>
        </w:tc>
      </w:tr>
    </w:tbl>
    <w:p>
      <w:r>
        <w:br w:type="page"/>
      </w:r>
    </w:p>
    <w:p>
      <w:pPr>
        <w:pStyle w:val="Heading1"/>
      </w:pPr>
      <w:r>
        <w:t xml:space="preserve">Exercise B: gap triage under time pressure</w:t>
      </w:r>
    </w:p>
    <w:p>
      <w:pPr>
        <w:spacing w:after="120" w:before="0"/>
      </w:pPr>
      <w:r>
        <w:rPr>
          <w:b w:val="false"/>
          <w:bCs w:val="false"/>
          <w:i w:val="false"/>
          <w:iCs w:val="false"/>
          <w:sz w:val="21"/>
          <w:szCs w:val="21"/>
        </w:rPr>
        <w:t xml:space="preserve">Eight findings from a 2026 gap assessment. Score each one, then sort by exposure. You have six minutes. Two cards are deliberately arguable; record your table's position and be ready to defend it.</w:t>
      </w:r>
    </w:p>
    <w:p>
      <w:pPr>
        <w:pStyle w:val="Heading3"/>
      </w:pPr>
      <w:r>
        <w:t xml:space="preserve">Scoring guide</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800"/>
        <w:gridCol w:w="1400"/>
        <w:gridCol w:w="6880"/>
      </w:tblGrid>
      <w:tr>
        <w:trPr>
          <w:tblHeader/>
        </w:trPr>
        <w:tc>
          <w:tcPr>
            <w:tcW w:type="dxa" w:w="18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Axis</w:t>
            </w:r>
          </w:p>
        </w:tc>
        <w:tc>
          <w:tcPr>
            <w:tcW w:type="dxa" w:w="14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Values</w:t>
            </w:r>
          </w:p>
        </w:tc>
        <w:tc>
          <w:tcPr>
            <w:tcW w:type="dxa" w:w="68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Guidance</w:t>
            </w:r>
          </w:p>
        </w:tc>
      </w:tr>
      <w:tr>
        <w:tc>
          <w:tcPr>
            <w:tcW w:type="dxa" w:w="18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Regulatory gap</w:t>
            </w:r>
          </w:p>
        </w:tc>
        <w:tc>
          <w:tcPr>
            <w:tcW w:type="dxa" w:w="14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Y / N</w:t>
            </w:r>
          </w:p>
        </w:tc>
        <w:tc>
          <w:tcPr>
            <w:tcW w:type="dxa" w:w="68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Is there a requirement you do not meet? A cosmetic problem is not a regulatory gap.</w:t>
            </w:r>
          </w:p>
        </w:tc>
      </w:tr>
      <w:tr>
        <w:tc>
          <w:tcPr>
            <w:tcW w:type="dxa" w:w="18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Exposure</w:t>
            </w:r>
          </w:p>
        </w:tc>
        <w:tc>
          <w:tcPr>
            <w:tcW w:type="dxa" w:w="14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H / M / L</w:t>
            </w:r>
          </w:p>
        </w:tc>
        <w:tc>
          <w:tcPr>
            <w:tcW w:type="dxa" w:w="68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High: an investigator reads this record early; the element is in Model 2's minimum list; it is one of the top-cited areas. Medium: reached when a thread leads there. Low: housekeeping; investigators judge content, not titles.</w:t>
            </w:r>
          </w:p>
        </w:tc>
      </w:tr>
      <w:tr>
        <w:tc>
          <w:tcPr>
            <w:tcW w:type="dxa" w:w="18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Effort</w:t>
            </w:r>
          </w:p>
        </w:tc>
        <w:tc>
          <w:tcPr>
            <w:tcW w:type="dxa" w:w="14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 / M / L</w:t>
            </w:r>
          </w:p>
        </w:tc>
        <w:tc>
          <w:tcPr>
            <w:tcW w:type="dxa" w:w="68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 a form or a clause. M: a procedure and training. L: a system, a validation or a file rebuild.</w:t>
            </w:r>
          </w:p>
        </w:tc>
      </w:tr>
    </w:tbl>
    <w:p>
      <w:pPr>
        <w:pStyle w:val="Heading2"/>
      </w:pPr>
      <w:r>
        <w:t xml:space="preserve">The eight cards</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500"/>
        <w:gridCol w:w="5580"/>
        <w:gridCol w:w="1100"/>
        <w:gridCol w:w="900"/>
        <w:gridCol w:w="1000"/>
        <w:gridCol w:w="1000"/>
      </w:tblGrid>
      <w:tr>
        <w:trPr>
          <w:tblHeader/>
        </w:trPr>
        <w:tc>
          <w:tcPr>
            <w:tcW w:type="dxa" w:w="5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t>
            </w:r>
          </w:p>
        </w:tc>
        <w:tc>
          <w:tcPr>
            <w:tcW w:type="dxa" w:w="55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Finding</w:t>
            </w:r>
          </w:p>
        </w:tc>
        <w:tc>
          <w:tcPr>
            <w:tcW w:type="dxa" w:w="11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Gap Y/N</w:t>
            </w:r>
          </w:p>
        </w:tc>
        <w:tc>
          <w:tcPr>
            <w:tcW w:type="dxa" w:w="9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Exp.</w:t>
            </w:r>
          </w:p>
        </w:tc>
        <w:tc>
          <w:tcPr>
            <w:tcW w:type="dxa" w:w="10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Effort</w:t>
            </w:r>
          </w:p>
        </w:tc>
        <w:tc>
          <w:tcPr>
            <w:tcW w:type="dxa" w:w="10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Rank</w:t>
            </w:r>
          </w:p>
        </w:tc>
      </w:tr>
      <w:tr>
        <w:tc>
          <w:tcPr>
            <w:tcW w:type="dxa" w:w="5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w:t>
            </w:r>
          </w:p>
        </w:tc>
        <w:tc>
          <w:tcPr>
            <w:tcW w:type="dxa" w:w="55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complaint form has no UDI field and no place to record the Part 803 reportability decision or its rationale. 6 of 20 sampled records have neither.</w:t>
            </w:r>
          </w:p>
        </w:tc>
        <w:tc>
          <w:tcPr>
            <w:tcW w:type="dxa" w:w="11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9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0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0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5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2</w:t>
            </w:r>
          </w:p>
        </w:tc>
        <w:tc>
          <w:tcPr>
            <w:tcW w:type="dxa" w:w="55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Forty procedures still say "design history file" and cite "21 CFR 820.30". The content of each procedure meets the ISO 13485 requirement.</w:t>
            </w:r>
          </w:p>
        </w:tc>
        <w:tc>
          <w:tcPr>
            <w:tcW w:type="dxa" w:w="11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9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0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00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5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3</w:t>
            </w:r>
          </w:p>
        </w:tc>
        <w:tc>
          <w:tcPr>
            <w:tcW w:type="dxa" w:w="55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label release step in the batch record is a single checkbox marked "labels verified". No record of the five §820.45(a) elements, and no signature.</w:t>
            </w:r>
          </w:p>
        </w:tc>
        <w:tc>
          <w:tcPr>
            <w:tcW w:type="dxa" w:w="11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9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0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0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5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4</w:t>
            </w:r>
          </w:p>
        </w:tc>
        <w:tc>
          <w:tcPr>
            <w:tcW w:type="dxa" w:w="55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risk file for the flagship product family has not been revised since design transfer in 2022, despite 14 complaints, 2 design changes and 1 field correction since.</w:t>
            </w:r>
          </w:p>
        </w:tc>
        <w:tc>
          <w:tcPr>
            <w:tcW w:type="dxa" w:w="11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9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0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00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5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5</w:t>
            </w:r>
          </w:p>
        </w:tc>
        <w:tc>
          <w:tcPr>
            <w:tcW w:type="dxa" w:w="55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eQMS, the complaint database and the ERP lot-genealogy module were validated in 2016. Four upgrades since; no revalidation. (Clause 4.1.6)</w:t>
            </w:r>
          </w:p>
        </w:tc>
        <w:tc>
          <w:tcPr>
            <w:tcW w:type="dxa" w:w="11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9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0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0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5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6</w:t>
            </w:r>
          </w:p>
        </w:tc>
        <w:tc>
          <w:tcPr>
            <w:tcW w:type="dxa" w:w="55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An internal audit report describes "a systemic failure of the CAPA process" with no evidence cited, no nonconformity raised and no CAPA opened.</w:t>
            </w:r>
          </w:p>
        </w:tc>
        <w:tc>
          <w:tcPr>
            <w:tcW w:type="dxa" w:w="11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9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0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00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5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7</w:t>
            </w:r>
          </w:p>
        </w:tc>
        <w:tc>
          <w:tcPr>
            <w:tcW w:type="dxa" w:w="55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Supplier controls are tiered by annual spend. The sole-source contract manufacturer of a critical sub-assembly has never been audited on site; its file holds one 2021 questionnaire.</w:t>
            </w:r>
          </w:p>
        </w:tc>
        <w:tc>
          <w:tcPr>
            <w:tcW w:type="dxa" w:w="11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9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0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0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5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8</w:t>
            </w:r>
          </w:p>
        </w:tc>
        <w:tc>
          <w:tcPr>
            <w:tcW w:type="dxa" w:w="55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Servicing records capture the device name, date and technician, but not the UDI, the service performed in detail, or any test data; service reports are never screened as possible complaints.</w:t>
            </w:r>
          </w:p>
        </w:tc>
        <w:tc>
          <w:tcPr>
            <w:tcW w:type="dxa" w:w="11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9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0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000"/>
            <w:shd w:fill="FFFFFF" w:color="auto" w:val="clear"/>
            <w:tcMar>
              <w:top w:type="dxa" w:w="70"/>
              <w:left w:type="dxa" w:w="100"/>
              <w:bottom w:type="dxa" w:w="70"/>
              <w:right w:type="dxa" w:w="100"/>
            </w:tcMar>
            <w:vAlign w:val="top"/>
          </w:tcPr>
          <w:p>
            <w:pPr>
              <w:spacing w:after="40"/>
            </w:pPr>
            <w:r>
              <w:rPr>
                <w:sz w:val="19"/>
                <w:szCs w:val="19"/>
              </w:rPr>
              <w:t xml:space="preserve"/>
            </w:r>
          </w:p>
        </w:tc>
      </w:tr>
    </w:tbl>
    <w:p>
      <w:pPr>
        <w:pStyle w:val="Heading3"/>
      </w:pPr>
      <w:r>
        <w:t xml:space="preserve">Your top three, with an owner role and a first-30-day action</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900"/>
        <w:gridCol w:w="900"/>
        <w:gridCol w:w="2200"/>
        <w:gridCol w:w="6080"/>
      </w:tblGrid>
      <w:tr>
        <w:trPr>
          <w:tblHeader/>
        </w:trPr>
        <w:tc>
          <w:tcPr>
            <w:tcW w:type="dxa" w:w="9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Rank</w:t>
            </w:r>
          </w:p>
        </w:tc>
        <w:tc>
          <w:tcPr>
            <w:tcW w:type="dxa" w:w="9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Card #</w:t>
            </w:r>
          </w:p>
        </w:tc>
        <w:tc>
          <w:tcPr>
            <w:tcW w:type="dxa" w:w="22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Owner role</w:t>
            </w:r>
          </w:p>
        </w:tc>
        <w:tc>
          <w:tcPr>
            <w:tcW w:type="dxa" w:w="60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First 30-day action</w:t>
            </w:r>
          </w:p>
        </w:tc>
      </w:tr>
      <w:tr>
        <w:tc>
          <w:tcPr>
            <w:tcW w:type="dxa" w:w="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1</w:t>
            </w:r>
          </w:p>
        </w:tc>
        <w:tc>
          <w:tcPr>
            <w:tcW w:type="dxa" w:w="9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22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60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2</w:t>
            </w:r>
          </w:p>
        </w:tc>
        <w:tc>
          <w:tcPr>
            <w:tcW w:type="dxa" w:w="9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22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608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3</w:t>
            </w:r>
          </w:p>
        </w:tc>
        <w:tc>
          <w:tcPr>
            <w:tcW w:type="dxa" w:w="9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22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6080"/>
            <w:shd w:fill="F5F8FB" w:color="auto" w:val="clear"/>
            <w:tcMar>
              <w:top w:type="dxa" w:w="70"/>
              <w:left w:type="dxa" w:w="100"/>
              <w:bottom w:type="dxa" w:w="70"/>
              <w:right w:type="dxa" w:w="100"/>
            </w:tcMar>
            <w:vAlign w:val="top"/>
          </w:tcPr>
          <w:p>
            <w:pPr>
              <w:spacing w:after="40"/>
            </w:pPr>
            <w:r>
              <w:rPr>
                <w:sz w:val="19"/>
                <w:szCs w:val="19"/>
              </w:rPr>
              <w:t xml:space="preserve"/>
            </w:r>
          </w:p>
        </w:tc>
      </w:tr>
    </w:tbl>
    <w:p>
      <w:pPr>
        <w:pStyle w:val="Heading3"/>
      </w:pPr>
      <w:r>
        <w:t xml:space="preserve">Your position on the two arguable cards</w:t>
      </w:r>
    </w:p>
    <w:p>
      <w:pPr>
        <w:spacing w:after="120" w:before="0"/>
      </w:pPr>
      <w:r>
        <w:rPr>
          <w:b/>
          <w:bCs/>
          <w:i w:val="false"/>
          <w:iCs w:val="false"/>
          <w:sz w:val="21"/>
          <w:szCs w:val="21"/>
        </w:rPr>
        <w:t xml:space="preserve">Card 2 (legacy terminology in 40 procedures):</w:t>
      </w:r>
      <w:r>
        <w:rPr>
          <w:b w:val="false"/>
          <w:bCs w:val="false"/>
          <w:i w:val="false"/>
          <w:iCs w:val="false"/>
          <w:sz w:val="21"/>
          <w:szCs w:val="21"/>
        </w:rPr>
        <w:t xml:space="preserve"> is this a regulatory gap? What exposure would you assign, and why?</w:t>
      </w:r>
    </w:p>
    <w:tbl>
      <w:tblPr>
        <w:tblW w:type="dxa" w:w="10080"/>
        <w:tblBorders>
          <w:top w:val="none" w:color="FFFFFF" w:sz="0"/>
          <w:left w:val="none" w:color="FFFFFF" w:sz="0"/>
          <w:bottom w:val="single" w:color="CBD2D9" w:sz="4"/>
          <w:right w:val="none" w:color="FFFFFF" w:sz="0"/>
          <w:insideH w:val="single" w:color="CBD2D9" w:sz="4"/>
          <w:insideV w:val="none" w:color="FFFFFF" w:sz="0"/>
        </w:tblBorders>
      </w:tblPr>
      <w:tblGrid>
        <w:gridCol w:w="10080"/>
      </w:tblGrid>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bl>
    <w:p>
      <w:pPr>
        <w:spacing w:after="60"/>
      </w:pPr>
      <w:r>
        <w:t xml:space="preserve"/>
      </w:r>
    </w:p>
    <w:p>
      <w:pPr>
        <w:spacing w:after="120" w:before="0"/>
      </w:pPr>
      <w:r>
        <w:rPr>
          <w:b/>
          <w:bCs/>
          <w:i w:val="false"/>
          <w:iCs w:val="false"/>
          <w:sz w:val="21"/>
          <w:szCs w:val="21"/>
        </w:rPr>
        <w:t xml:space="preserve">Card 6 (the audit report that says "systemic failure"):</w:t>
      </w:r>
      <w:r>
        <w:rPr>
          <w:b w:val="false"/>
          <w:bCs w:val="false"/>
          <w:i w:val="false"/>
          <w:iCs w:val="false"/>
          <w:sz w:val="21"/>
          <w:szCs w:val="21"/>
        </w:rPr>
        <w:t xml:space="preserve"> what would you do about the wording, and about the underlying finding?</w:t>
      </w:r>
    </w:p>
    <w:tbl>
      <w:tblPr>
        <w:tblW w:type="dxa" w:w="10080"/>
        <w:tblBorders>
          <w:top w:val="none" w:color="FFFFFF" w:sz="0"/>
          <w:left w:val="none" w:color="FFFFFF" w:sz="0"/>
          <w:bottom w:val="single" w:color="CBD2D9" w:sz="4"/>
          <w:right w:val="none" w:color="FFFFFF" w:sz="0"/>
          <w:insideH w:val="single" w:color="CBD2D9" w:sz="4"/>
          <w:insideV w:val="none" w:color="FFFFFF" w:sz="0"/>
        </w:tblBorders>
      </w:tblPr>
      <w:tblGrid>
        <w:gridCol w:w="10080"/>
      </w:tblGrid>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bl>
    <w:p>
      <w:pPr>
        <w:spacing w:after="60"/>
      </w:pPr>
      <w:r>
        <w:t xml:space="preserve"/>
      </w:r>
    </w:p>
    <w:p>
      <w:r>
        <w:br w:type="page"/>
      </w:r>
    </w:p>
    <w:p>
      <w:pPr>
        <w:pStyle w:val="Heading1"/>
      </w:pPr>
      <w:r>
        <w:t xml:space="preserve">Exercise C: your 90-day plan</w:t>
      </w:r>
    </w:p>
    <w:p>
      <w:pPr>
        <w:spacing w:after="120" w:before="0"/>
      </w:pPr>
      <w:r>
        <w:rPr>
          <w:b w:val="false"/>
          <w:bCs w:val="false"/>
          <w:i w:val="false"/>
          <w:iCs w:val="false"/>
          <w:sz w:val="21"/>
          <w:szCs w:val="21"/>
        </w:rPr>
        <w:t xml:space="preserve">Three minutes on your own. Then one sentence per table: "By [date], we will ...".</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4600"/>
        <w:gridCol w:w="5480"/>
      </w:tblGrid>
      <w:tr>
        <w:trPr>
          <w:tblHeader/>
        </w:trPr>
        <w:tc>
          <w:tcPr>
            <w:tcW w:type="dxa" w:w="46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Field</w:t>
            </w:r>
          </w:p>
        </w:tc>
        <w:tc>
          <w:tcPr>
            <w:tcW w:type="dxa" w:w="54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Your answer</w:t>
            </w:r>
          </w:p>
        </w:tc>
      </w:tr>
      <w:tr>
        <w:tc>
          <w:tcPr>
            <w:tcW w:type="dxa" w:w="46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Your track (A: complete, verifying · B: still closing gaps)</w:t>
            </w:r>
          </w:p>
        </w:tc>
        <w:tc>
          <w:tcPr>
            <w:tcW w:type="dxa" w:w="54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46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Record to fix first</w:t>
            </w:r>
          </w:p>
        </w:tc>
        <w:tc>
          <w:tcPr>
            <w:tcW w:type="dxa" w:w="548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46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Owner and date</w:t>
            </w:r>
          </w:p>
        </w:tc>
        <w:tc>
          <w:tcPr>
            <w:tcW w:type="dxa" w:w="54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46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Record to fix second</w:t>
            </w:r>
          </w:p>
        </w:tc>
        <w:tc>
          <w:tcPr>
            <w:tcW w:type="dxa" w:w="548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46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Owner and date</w:t>
            </w:r>
          </w:p>
        </w:tc>
        <w:tc>
          <w:tcPr>
            <w:tcW w:type="dxa" w:w="54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46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Record to fix third</w:t>
            </w:r>
          </w:p>
        </w:tc>
        <w:tc>
          <w:tcPr>
            <w:tcW w:type="dxa" w:w="548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46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Owner and date</w:t>
            </w:r>
          </w:p>
        </w:tc>
        <w:tc>
          <w:tcPr>
            <w:tcW w:type="dxa" w:w="54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46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Mock inspection: date, model (1 or 2), who plays the investigator</w:t>
            </w:r>
          </w:p>
        </w:tc>
        <w:tc>
          <w:tcPr>
            <w:tcW w:type="dxa" w:w="548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46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The product risk your mock inspection thread starts from</w:t>
            </w:r>
          </w:p>
        </w:tc>
        <w:tc>
          <w:tcPr>
            <w:tcW w:type="dxa" w:w="54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46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One behaviour to train, and who trains it</w:t>
            </w:r>
          </w:p>
        </w:tc>
        <w:tc>
          <w:tcPr>
            <w:tcW w:type="dxa" w:w="548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46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Public-footprint check this month (registration and listing, MDR history, recalls, prior 483s, GUDID versus labels)</w:t>
            </w:r>
          </w:p>
        </w:tc>
        <w:tc>
          <w:tcPr>
            <w:tcW w:type="dxa" w:w="54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46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The one metric you will put in front of top management this quarter</w:t>
            </w:r>
          </w:p>
        </w:tc>
        <w:tc>
          <w:tcPr>
            <w:tcW w:type="dxa" w:w="5480"/>
            <w:shd w:fill="FFFFFF" w:color="auto" w:val="clear"/>
            <w:tcMar>
              <w:top w:type="dxa" w:w="70"/>
              <w:left w:type="dxa" w:w="100"/>
              <w:bottom w:type="dxa" w:w="70"/>
              <w:right w:type="dxa" w:w="100"/>
            </w:tcMar>
            <w:vAlign w:val="top"/>
          </w:tcPr>
          <w:p>
            <w:pPr>
              <w:spacing w:after="40"/>
            </w:pPr>
            <w:r>
              <w:rPr>
                <w:sz w:val="19"/>
                <w:szCs w:val="19"/>
              </w:rPr>
              <w:t xml:space="preserve"/>
            </w:r>
          </w:p>
        </w:tc>
      </w:tr>
    </w:tbl>
    <w:p>
      <w:pPr>
        <w:pStyle w:val="Heading3"/>
      </w:pPr>
      <w:r>
        <w:t xml:space="preserve">My commitment, in one sentence</w:t>
      </w:r>
    </w:p>
    <w:tbl>
      <w:tblPr>
        <w:tblW w:type="dxa" w:w="10080"/>
        <w:tblBorders>
          <w:top w:val="none" w:color="FFFFFF" w:sz="0"/>
          <w:left w:val="none" w:color="FFFFFF" w:sz="0"/>
          <w:bottom w:val="single" w:color="CBD2D9" w:sz="4"/>
          <w:right w:val="none" w:color="FFFFFF" w:sz="0"/>
          <w:insideH w:val="single" w:color="CBD2D9" w:sz="4"/>
          <w:insideV w:val="none" w:color="FFFFFF" w:sz="0"/>
        </w:tblBorders>
      </w:tblPr>
      <w:tblGrid>
        <w:gridCol w:w="10080"/>
      </w:tblGrid>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bl>
    <w:p>
      <w:pPr>
        <w:spacing w:after="60"/>
      </w:pPr>
      <w:r>
        <w:t xml:space="preserve"/>
      </w:r>
    </w:p>
    <w:p>
      <w:pPr>
        <w:pStyle w:val="Heading1"/>
      </w:pPr>
      <w:r>
        <w:t xml:space="preserve">Notes</w:t>
      </w:r>
    </w:p>
    <w:tbl>
      <w:tblPr>
        <w:tblW w:type="dxa" w:w="10080"/>
        <w:tblBorders>
          <w:top w:val="none" w:color="FFFFFF" w:sz="0"/>
          <w:left w:val="none" w:color="FFFFFF" w:sz="0"/>
          <w:bottom w:val="single" w:color="CBD2D9" w:sz="4"/>
          <w:right w:val="none" w:color="FFFFFF" w:sz="0"/>
          <w:insideH w:val="single" w:color="CBD2D9" w:sz="4"/>
          <w:insideV w:val="none" w:color="FFFFFF" w:sz="0"/>
        </w:tblBorders>
      </w:tblPr>
      <w:tblGrid>
        <w:gridCol w:w="10080"/>
      </w:tblGrid>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bl>
    <w:p>
      <w:pPr>
        <w:spacing w:after="6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QMSR Transition  ·  Workshop Exercise Pack  ·  Elder Consulting, LLC   |   Page </w:t>
    </w:r>
    <w:r>
      <w:rPr>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bullet"/>
      <w:lvlText w:val="☐"/>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abstractNum w:abstractNumId="63" w15:restartNumberingAfterBreak="0">
    <w:multiLevelType w:val="hybridMultilevel"/>
    <w:lvl w:ilvl="0" w15:tentative="1">
      <w:start w:val="1"/>
      <w:numFmt w:val="decimal"/>
      <w:lvlText w:val="%1."/>
      <w:lvlJc w:val="left"/>
      <w:pPr>
        <w:ind w:left="540" w:hanging="360"/>
      </w:pPr>
    </w:lvl>
  </w:abstractNum>
  <w:abstractNum w:abstractNumId="64" w15:restartNumberingAfterBreak="0">
    <w:multiLevelType w:val="hybridMultilevel"/>
    <w:lvl w:ilvl="0" w15:tentative="1">
      <w:start w:val="1"/>
      <w:numFmt w:val="decimal"/>
      <w:lvlText w:val="%1."/>
      <w:lvlJc w:val="left"/>
      <w:pPr>
        <w:ind w:left="540" w:hanging="360"/>
      </w:pPr>
    </w:lvl>
  </w:abstractNum>
  <w:abstractNum w:abstractNumId="65" w15:restartNumberingAfterBreak="0">
    <w:multiLevelType w:val="hybridMultilevel"/>
    <w:lvl w:ilvl="0" w15:tentative="1">
      <w:start w:val="1"/>
      <w:numFmt w:val="decimal"/>
      <w:lvlText w:val="%1."/>
      <w:lvlJc w:val="left"/>
      <w:pPr>
        <w:ind w:left="540" w:hanging="360"/>
      </w:pPr>
    </w:lvl>
  </w:abstractNum>
  <w:abstractNum w:abstractNumId="66" w15:restartNumberingAfterBreak="0">
    <w:multiLevelType w:val="hybridMultilevel"/>
    <w:lvl w:ilvl="0" w15:tentative="1">
      <w:start w:val="1"/>
      <w:numFmt w:val="decimal"/>
      <w:lvlText w:val="%1."/>
      <w:lvlJc w:val="left"/>
      <w:pPr>
        <w:ind w:left="540" w:hanging="360"/>
      </w:pPr>
    </w:lvl>
  </w:abstractNum>
  <w:abstractNum w:abstractNumId="67" w15:restartNumberingAfterBreak="0">
    <w:multiLevelType w:val="hybridMultilevel"/>
    <w:lvl w:ilvl="0" w15:tentative="1">
      <w:start w:val="1"/>
      <w:numFmt w:val="decimal"/>
      <w:lvlText w:val="%1."/>
      <w:lvlJc w:val="left"/>
      <w:pPr>
        <w:ind w:left="540" w:hanging="360"/>
      </w:pPr>
    </w:lvl>
  </w:abstractNum>
  <w:abstractNum w:abstractNumId="68" w15:restartNumberingAfterBreak="0">
    <w:multiLevelType w:val="hybridMultilevel"/>
    <w:lvl w:ilvl="0" w15:tentative="1">
      <w:start w:val="1"/>
      <w:numFmt w:val="decimal"/>
      <w:lvlText w:val="%1."/>
      <w:lvlJc w:val="left"/>
      <w:pPr>
        <w:ind w:left="540" w:hanging="360"/>
      </w:pPr>
    </w:lvl>
  </w:abstractNum>
  <w:abstractNum w:abstractNumId="69" w15:restartNumberingAfterBreak="0">
    <w:multiLevelType w:val="hybridMultilevel"/>
    <w:lvl w:ilvl="0" w15:tentative="1">
      <w:start w:val="1"/>
      <w:numFmt w:val="decimal"/>
      <w:lvlText w:val="%1."/>
      <w:lvlJc w:val="left"/>
      <w:pPr>
        <w:ind w:left="540" w:hanging="360"/>
      </w:pPr>
    </w:lvl>
  </w:abstractNum>
  <w:abstractNum w:abstractNumId="70" w15:restartNumberingAfterBreak="0">
    <w:multiLevelType w:val="hybridMultilevel"/>
    <w:lvl w:ilvl="0" w15:tentative="1">
      <w:start w:val="1"/>
      <w:numFmt w:val="decimal"/>
      <w:lvlText w:val="%1."/>
      <w:lvlJc w:val="left"/>
      <w:pPr>
        <w:ind w:left="540" w:hanging="360"/>
      </w:pPr>
    </w:lvl>
  </w:abstractNum>
  <w:abstractNum w:abstractNumId="71" w15:restartNumberingAfterBreak="0">
    <w:multiLevelType w:val="hybridMultilevel"/>
    <w:lvl w:ilvl="0" w15:tentative="1">
      <w:start w:val="1"/>
      <w:numFmt w:val="decimal"/>
      <w:lvlText w:val="%1."/>
      <w:lvlJc w:val="left"/>
      <w:pPr>
        <w:ind w:left="540" w:hanging="360"/>
      </w:pPr>
    </w:lvl>
  </w:abstractNum>
  <w:abstractNum w:abstractNumId="72" w15:restartNumberingAfterBreak="0">
    <w:multiLevelType w:val="hybridMultilevel"/>
    <w:lvl w:ilvl="0" w15:tentative="1">
      <w:start w:val="1"/>
      <w:numFmt w:val="decimal"/>
      <w:lvlText w:val="%1."/>
      <w:lvlJc w:val="left"/>
      <w:pPr>
        <w:ind w:left="540" w:hanging="360"/>
      </w:pPr>
    </w:lvl>
  </w:abstractNum>
  <w:abstractNum w:abstractNumId="73" w15:restartNumberingAfterBreak="0">
    <w:multiLevelType w:val="hybridMultilevel"/>
    <w:lvl w:ilvl="0" w15:tentative="1">
      <w:start w:val="1"/>
      <w:numFmt w:val="decimal"/>
      <w:lvlText w:val="%1."/>
      <w:lvlJc w:val="left"/>
      <w:pPr>
        <w:ind w:left="540" w:hanging="360"/>
      </w:pPr>
    </w:lvl>
  </w:abstractNum>
  <w:abstractNum w:abstractNumId="74" w15:restartNumberingAfterBreak="0">
    <w:multiLevelType w:val="hybridMultilevel"/>
    <w:lvl w:ilvl="0" w15:tentative="1">
      <w:start w:val="1"/>
      <w:numFmt w:val="decimal"/>
      <w:lvlText w:val="%1."/>
      <w:lvlJc w:val="left"/>
      <w:pPr>
        <w:ind w:left="540" w:hanging="360"/>
      </w:pPr>
    </w:lvl>
  </w:abstractNum>
  <w:abstractNum w:abstractNumId="75" w15:restartNumberingAfterBreak="0">
    <w:multiLevelType w:val="hybridMultilevel"/>
    <w:lvl w:ilvl="0" w15:tentative="1">
      <w:start w:val="1"/>
      <w:numFmt w:val="decimal"/>
      <w:lvlText w:val="%1."/>
      <w:lvlJc w:val="left"/>
      <w:pPr>
        <w:ind w:left="540" w:hanging="360"/>
      </w:pPr>
    </w:lvl>
  </w:abstractNum>
  <w:abstractNum w:abstractNumId="76" w15:restartNumberingAfterBreak="0">
    <w:multiLevelType w:val="hybridMultilevel"/>
    <w:lvl w:ilvl="0" w15:tentative="1">
      <w:start w:val="1"/>
      <w:numFmt w:val="decimal"/>
      <w:lvlText w:val="%1."/>
      <w:lvlJc w:val="left"/>
      <w:pPr>
        <w:ind w:left="540" w:hanging="360"/>
      </w:pPr>
    </w:lvl>
  </w:abstractNum>
  <w:abstractNum w:abstractNumId="77" w15:restartNumberingAfterBreak="0">
    <w:multiLevelType w:val="hybridMultilevel"/>
    <w:lvl w:ilvl="0" w15:tentative="1">
      <w:start w:val="1"/>
      <w:numFmt w:val="decimal"/>
      <w:lvlText w:val="%1."/>
      <w:lvlJc w:val="left"/>
      <w:pPr>
        <w:ind w:left="540" w:hanging="360"/>
      </w:pPr>
    </w:lvl>
  </w:abstractNum>
  <w:abstractNum w:abstractNumId="78" w15:restartNumberingAfterBreak="0">
    <w:multiLevelType w:val="hybridMultilevel"/>
    <w:lvl w:ilvl="0" w15:tentative="1">
      <w:start w:val="1"/>
      <w:numFmt w:val="decimal"/>
      <w:lvlText w:val="%1."/>
      <w:lvlJc w:val="left"/>
      <w:pPr>
        <w:ind w:left="540" w:hanging="360"/>
      </w:pPr>
    </w:lvl>
  </w:abstractNum>
  <w:abstractNum w:abstractNumId="79" w15:restartNumberingAfterBreak="0">
    <w:multiLevelType w:val="hybridMultilevel"/>
    <w:lvl w:ilvl="0" w15:tentative="1">
      <w:start w:val="1"/>
      <w:numFmt w:val="decimal"/>
      <w:lvlText w:val="%1."/>
      <w:lvlJc w:val="left"/>
      <w:pPr>
        <w:ind w:left="540" w:hanging="360"/>
      </w:pPr>
    </w:lvl>
  </w:abstractNum>
  <w:abstractNum w:abstractNumId="80" w15:restartNumberingAfterBreak="0">
    <w:multiLevelType w:val="hybridMultilevel"/>
    <w:lvl w:ilvl="0" w15:tentative="1">
      <w:start w:val="1"/>
      <w:numFmt w:val="decimal"/>
      <w:lvlText w:val="%1."/>
      <w:lvlJc w:val="left"/>
      <w:pPr>
        <w:ind w:left="540" w:hanging="360"/>
      </w:pPr>
    </w:lvl>
  </w:abstractNum>
  <w:abstractNum w:abstractNumId="81" w15:restartNumberingAfterBreak="0">
    <w:multiLevelType w:val="hybridMultilevel"/>
    <w:lvl w:ilvl="0" w15:tentative="1">
      <w:start w:val="1"/>
      <w:numFmt w:val="decimal"/>
      <w:lvlText w:val="%1."/>
      <w:lvlJc w:val="left"/>
      <w:pPr>
        <w:ind w:left="540" w:hanging="360"/>
      </w:pPr>
    </w:lvl>
  </w:abstractNum>
  <w:abstractNum w:abstractNumId="82" w15:restartNumberingAfterBreak="0">
    <w:multiLevelType w:val="hybridMultilevel"/>
    <w:lvl w:ilvl="0" w15:tentative="1">
      <w:start w:val="1"/>
      <w:numFmt w:val="decimal"/>
      <w:lvlText w:val="%1."/>
      <w:lvlJc w:val="left"/>
      <w:pPr>
        <w:ind w:left="540" w:hanging="360"/>
      </w:pPr>
    </w:lvl>
  </w:abstractNum>
  <w:abstractNum w:abstractNumId="8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400"/>
      <w:outlineLvl w:val="0"/>
    </w:pPr>
    <w:rPr>
      <w:rFonts w:ascii="Cambria" w:cs="Cambria" w:eastAsia="Cambria" w:hAnsi="Cambria"/>
      <w:b/>
      <w:bCs/>
      <w:color w:val="0F2A4A"/>
      <w:sz w:val="32"/>
      <w:szCs w:val="32"/>
    </w:rPr>
  </w:style>
  <w:style w:type="paragraph" w:styleId="Heading2">
    <w:name w:val="Heading 2"/>
    <w:basedOn w:val="Normal"/>
    <w:next w:val="Normal"/>
    <w:qFormat/>
    <w:pPr>
      <w:keepNext/>
      <w:spacing w:after="100" w:before="280"/>
      <w:outlineLvl w:val="1"/>
    </w:pPr>
    <w:rPr>
      <w:rFonts w:ascii="Cambria" w:cs="Cambria" w:eastAsia="Cambria" w:hAnsi="Cambria"/>
      <w:b/>
      <w:bCs/>
      <w:color w:val="0F2A4A"/>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A8730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QMSR Transition: Workshop Exercise Pack</dc:title>
  <dc:creator>Elder Consulting, LLC</dc:creator>
  <dc:description>ISO 13485 &amp; Audit Readiness seminar material</dc:description>
  <cp:lastModifiedBy>Un-named</cp:lastModifiedBy>
  <cp:revision>1</cp:revision>
  <dcterms:created xsi:type="dcterms:W3CDTF">2026-09-16T12:11:38.905Z</dcterms:created>
  <dcterms:modified xsi:type="dcterms:W3CDTF">2026-09-16T12:11:38.905Z</dcterms:modified>
</cp:coreProperties>
</file>

<file path=docProps/custom.xml><?xml version="1.0" encoding="utf-8"?>
<Properties xmlns="http://schemas.openxmlformats.org/officeDocument/2006/custom-properties" xmlns:vt="http://schemas.openxmlformats.org/officeDocument/2006/docPropsVTypes"/>
</file>