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color w:val="0E7C7B"/>
          <w:sz w:val="17"/>
          <w:spacing w:val="30"/>
        </w:rPr>
        <w:t>MEDICAL DEVICE SEMINAR  ·  FACILITATOR GUIDE</w:t>
      </w:r>
    </w:p>
    <w:p>
      <w:pPr>
        <w:spacing w:after="40" w:before="0"/>
      </w:pPr>
      <w:r>
        <w:rPr>
          <w:rFonts w:ascii="Cambria" w:hAnsi="Cambria"/>
          <w:b/>
          <w:color w:val="1B3A4B"/>
          <w:sz w:val="48"/>
        </w:rPr>
        <w:t>Global Market Entry</w:t>
      </w:r>
    </w:p>
    <w:p>
      <w:pPr>
        <w:spacing w:after="200"/>
      </w:pPr>
      <w:r>
        <w:rPr>
          <w:rFonts w:ascii="Calibri" w:hAnsi="Calibri"/>
          <w:b w:val="0"/>
          <w:i/>
          <w:color w:val="4E626D"/>
          <w:sz w:val="24"/>
        </w:rPr>
        <w:t>US · EU · UK · Japan  —  run of show, cut lines, answer keys and preparation checklist</w:t>
      </w:r>
    </w:p>
    <w:p>
      <w:pPr>
        <w:spacing w:before="120" w:after="120"/>
        <w:pBdr>
          <w:bottom w:val="single" w:sz="6" w:space="1" w:color="D7E2E5"/>
        </w:pBdr>
      </w:pP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F0E2"/>
          </w:tcPr>
          <w:p>
            <w:pPr>
              <w:spacing w:after="60" w:before="80"/>
            </w:pPr>
            <w:r/>
            <w:r>
              <w:rPr>
                <w:rFonts w:ascii="Calibri" w:hAnsi="Calibri"/>
                <w:b/>
                <w:color w:val="C77C1E"/>
                <w:sz w:val="20"/>
              </w:rPr>
              <w:t>Before you present — three things to do</w:t>
            </w:r>
          </w:p>
          <w:p>
            <w:pPr>
              <w:spacing w:after="80"/>
            </w:pPr>
            <w:r>
              <w:rPr>
                <w:rFonts w:ascii="Calibri" w:hAnsi="Calibri"/>
                <w:color w:val="22333B"/>
                <w:sz w:val="19"/>
              </w:rPr>
              <w:t>1.  Re-check the volatile dates. Three areas move: the UK acceptance dates and the future framework; the stage of the EU simplification proposal; and which EUDAMED modules are mandatory. The deck's speaker notes flag each with a VERIFY line. Slide 52 lists the sources.</w:t>
            </w:r>
          </w:p>
          <w:p>
            <w:pPr>
              <w:spacing w:after="80"/>
            </w:pPr>
            <w:r>
              <w:rPr>
                <w:rFonts w:ascii="Calibri" w:hAnsi="Calibri"/>
                <w:color w:val="22333B"/>
                <w:sz w:val="19"/>
              </w:rPr>
              <w:t>2.  Read the speaker notes. Every slide carries them — the argument to make, what to emphasise, what to cut, and a clock checkpoint at each divider. This guide covers structure and the exercises; the notes cover delivery.</w:t>
            </w:r>
          </w:p>
          <w:p>
            <w:pPr>
              <w:spacing w:after="80"/>
            </w:pPr>
            <w:r>
              <w:rPr>
                <w:rFonts w:ascii="Calibri" w:hAnsi="Calibri"/>
                <w:color w:val="22333B"/>
                <w:sz w:val="19"/>
              </w:rPr>
              <w:t>3.  Decide your cut line now. The session is a full 90 minutes and Part 2 will overrun if you let live MDR problems into the room. See the cut list overleaf and commit to it in advance.</w:t>
            </w:r>
          </w:p>
        </w:tc>
      </w:tr>
    </w:tbl>
    <w:p>
      <w:pPr>
        <w:spacing w:after="100" w:before="0" w:line="240" w:lineRule="auto"/>
      </w:pPr>
      <w:r>
        <w:rPr>
          <w:sz w:val="2"/>
        </w:rPr>
      </w:r>
    </w:p>
    <w:p>
      <w:pPr>
        <w:keepNext/>
        <w:spacing w:after="80" w:before="180"/>
      </w:pPr>
      <w:r>
        <w:rPr>
          <w:rFonts w:ascii="Cambria" w:hAnsi="Cambria"/>
          <w:b/>
          <w:color w:val="1B3A4B"/>
          <w:sz w:val="26"/>
        </w:rPr>
        <w:t>Session at a glance</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1007"/>
        <w:gridCol w:w="1152"/>
        <w:gridCol w:w="3744"/>
        <w:gridCol w:w="3888"/>
      </w:tblGrid>
      <w:tr>
        <w:trPr>
          <w:cantSplit/>
          <w:tblHeader/>
        </w:trPr>
        <w:tc>
          <w:tcPr>
            <w:tcW w:type="dxa" w:w="1008"/>
            <w:shd w:val="clear" w:color="auto" w:fill="1B3A4B"/>
          </w:tcPr>
          <w:p>
            <w:pPr>
              <w:spacing w:after="40" w:before="40"/>
            </w:pPr>
            <w:r/>
            <w:r>
              <w:rPr>
                <w:rFonts w:ascii="Calibri" w:hAnsi="Calibri"/>
                <w:b/>
                <w:i w:val="0"/>
                <w:color w:val="FFFFFF"/>
                <w:sz w:val="18"/>
              </w:rPr>
              <w:t>Clock</w:t>
            </w:r>
          </w:p>
        </w:tc>
        <w:tc>
          <w:tcPr>
            <w:tcW w:type="dxa" w:w="1152"/>
            <w:shd w:val="clear" w:color="auto" w:fill="1B3A4B"/>
          </w:tcPr>
          <w:p>
            <w:pPr>
              <w:spacing w:after="40" w:before="40"/>
            </w:pPr>
            <w:r/>
            <w:r>
              <w:rPr>
                <w:rFonts w:ascii="Calibri" w:hAnsi="Calibri"/>
                <w:b/>
                <w:i w:val="0"/>
                <w:color w:val="FFFFFF"/>
                <w:sz w:val="18"/>
              </w:rPr>
              <w:t>Slides</w:t>
            </w:r>
          </w:p>
        </w:tc>
        <w:tc>
          <w:tcPr>
            <w:tcW w:type="dxa" w:w="3744"/>
            <w:shd w:val="clear" w:color="auto" w:fill="1B3A4B"/>
          </w:tcPr>
          <w:p>
            <w:pPr>
              <w:spacing w:after="40" w:before="40"/>
            </w:pPr>
            <w:r/>
            <w:r>
              <w:rPr>
                <w:rFonts w:ascii="Calibri" w:hAnsi="Calibri"/>
                <w:b/>
                <w:i w:val="0"/>
                <w:color w:val="FFFFFF"/>
                <w:sz w:val="18"/>
              </w:rPr>
              <w:t>Segment</w:t>
            </w:r>
          </w:p>
        </w:tc>
        <w:tc>
          <w:tcPr>
            <w:tcW w:type="dxa" w:w="3888"/>
            <w:shd w:val="clear" w:color="auto" w:fill="1B3A4B"/>
          </w:tcPr>
          <w:p>
            <w:pPr>
              <w:spacing w:after="40" w:before="40"/>
            </w:pPr>
            <w:r/>
            <w:r>
              <w:rPr>
                <w:rFonts w:ascii="Calibri" w:hAnsi="Calibri"/>
                <w:b/>
                <w:i w:val="0"/>
                <w:color w:val="FFFFFF"/>
                <w:sz w:val="18"/>
              </w:rPr>
              <w:t>Notes</w:t>
            </w:r>
          </w:p>
        </w:tc>
      </w:tr>
      <w:tr>
        <w:trPr>
          <w:cantSplit/>
        </w:trPr>
        <w:tc>
          <w:tcPr>
            <w:tcW w:type="dxa" w:w="1008"/>
          </w:tcPr>
          <w:p>
            <w:pPr>
              <w:spacing w:after="40" w:before="40"/>
            </w:pPr>
            <w:r/>
            <w:r>
              <w:rPr>
                <w:rFonts w:ascii="Calibri" w:hAnsi="Calibri"/>
                <w:b/>
                <w:i w:val="0"/>
                <w:color w:val="22333B"/>
                <w:sz w:val="18"/>
              </w:rPr>
              <w:t>0:00</w:t>
            </w:r>
          </w:p>
        </w:tc>
        <w:tc>
          <w:tcPr>
            <w:tcW w:type="dxa" w:w="1152"/>
          </w:tcPr>
          <w:p>
            <w:pPr>
              <w:spacing w:after="40" w:before="40"/>
            </w:pPr>
            <w:r/>
            <w:r>
              <w:rPr>
                <w:rFonts w:ascii="Calibri" w:hAnsi="Calibri"/>
                <w:b w:val="0"/>
                <w:i w:val="0"/>
                <w:color w:val="22333B"/>
                <w:sz w:val="18"/>
              </w:rPr>
              <w:t>1–4</w:t>
            </w:r>
          </w:p>
        </w:tc>
        <w:tc>
          <w:tcPr>
            <w:tcW w:type="dxa" w:w="3744"/>
          </w:tcPr>
          <w:p>
            <w:pPr>
              <w:spacing w:after="40" w:before="40"/>
            </w:pPr>
            <w:r/>
            <w:r>
              <w:rPr>
                <w:rFonts w:ascii="Calibri" w:hAnsi="Calibri"/>
                <w:b w:val="0"/>
                <w:i w:val="0"/>
                <w:color w:val="22333B"/>
                <w:sz w:val="18"/>
              </w:rPr>
              <w:t>Open, objectives, room calibration</w:t>
            </w:r>
          </w:p>
        </w:tc>
        <w:tc>
          <w:tcPr>
            <w:tcW w:type="dxa" w:w="3888"/>
          </w:tcPr>
          <w:p>
            <w:pPr>
              <w:spacing w:after="40" w:before="40"/>
            </w:pPr>
            <w:r/>
            <w:r>
              <w:rPr>
                <w:rFonts w:ascii="Calibri" w:hAnsi="Calibri"/>
                <w:b w:val="0"/>
                <w:i/>
                <w:color w:val="22333B"/>
                <w:sz w:val="18"/>
              </w:rPr>
              <w:t>The calibration poll steers depth for the whole session.</w:t>
            </w:r>
          </w:p>
        </w:tc>
      </w:tr>
      <w:tr>
        <w:trPr>
          <w:cantSplit/>
        </w:trPr>
        <w:tc>
          <w:tcPr>
            <w:tcW w:type="dxa" w:w="1008"/>
          </w:tcPr>
          <w:p>
            <w:pPr>
              <w:spacing w:after="40" w:before="40"/>
            </w:pPr>
            <w:r/>
            <w:r>
              <w:rPr>
                <w:rFonts w:ascii="Calibri" w:hAnsi="Calibri"/>
                <w:b/>
                <w:i w:val="0"/>
                <w:color w:val="22333B"/>
                <w:sz w:val="18"/>
              </w:rPr>
              <w:t>0:04</w:t>
            </w:r>
          </w:p>
        </w:tc>
        <w:tc>
          <w:tcPr>
            <w:tcW w:type="dxa" w:w="1152"/>
          </w:tcPr>
          <w:p>
            <w:pPr>
              <w:spacing w:after="40" w:before="40"/>
            </w:pPr>
            <w:r/>
            <w:r>
              <w:rPr>
                <w:rFonts w:ascii="Calibri" w:hAnsi="Calibri"/>
                <w:b w:val="0"/>
                <w:i w:val="0"/>
                <w:color w:val="22333B"/>
                <w:sz w:val="18"/>
              </w:rPr>
              <w:t>5–11</w:t>
            </w:r>
          </w:p>
        </w:tc>
        <w:tc>
          <w:tcPr>
            <w:tcW w:type="dxa" w:w="3744"/>
          </w:tcPr>
          <w:p>
            <w:pPr>
              <w:spacing w:after="40" w:before="40"/>
            </w:pPr>
            <w:r/>
            <w:r>
              <w:rPr>
                <w:rFonts w:ascii="Calibri" w:hAnsi="Calibri"/>
                <w:b w:val="0"/>
                <w:i w:val="0"/>
                <w:color w:val="22333B"/>
                <w:sz w:val="18"/>
              </w:rPr>
              <w:t>Part 1 — Four markets, not four copies</w:t>
            </w:r>
          </w:p>
        </w:tc>
        <w:tc>
          <w:tcPr>
            <w:tcW w:type="dxa" w:w="3888"/>
          </w:tcPr>
          <w:p>
            <w:pPr>
              <w:spacing w:after="40" w:before="40"/>
            </w:pPr>
            <w:r/>
            <w:r>
              <w:rPr>
                <w:rFonts w:ascii="Calibri" w:hAnsi="Calibri"/>
                <w:b w:val="0"/>
                <w:i w:val="0"/>
                <w:color w:val="22333B"/>
                <w:sz w:val="18"/>
              </w:rPr>
              <w:t>Slide 6 is the spine. Slide 11 sets up everything after it.</w:t>
            </w:r>
          </w:p>
        </w:tc>
      </w:tr>
      <w:tr>
        <w:trPr>
          <w:cantSplit/>
        </w:trPr>
        <w:tc>
          <w:tcPr>
            <w:tcW w:type="dxa" w:w="1008"/>
          </w:tcPr>
          <w:p>
            <w:pPr>
              <w:spacing w:after="40" w:before="40"/>
            </w:pPr>
            <w:r/>
            <w:r>
              <w:rPr>
                <w:rFonts w:ascii="Calibri" w:hAnsi="Calibri"/>
                <w:b/>
                <w:i w:val="0"/>
                <w:color w:val="22333B"/>
                <w:sz w:val="18"/>
              </w:rPr>
              <w:t>0:15</w:t>
            </w:r>
          </w:p>
        </w:tc>
        <w:tc>
          <w:tcPr>
            <w:tcW w:type="dxa" w:w="1152"/>
          </w:tcPr>
          <w:p>
            <w:pPr>
              <w:spacing w:after="40" w:before="40"/>
            </w:pPr>
            <w:r/>
            <w:r>
              <w:rPr>
                <w:rFonts w:ascii="Calibri" w:hAnsi="Calibri"/>
                <w:b w:val="0"/>
                <w:i w:val="0"/>
                <w:color w:val="22333B"/>
                <w:sz w:val="18"/>
              </w:rPr>
              <w:t>12–27</w:t>
            </w:r>
          </w:p>
        </w:tc>
        <w:tc>
          <w:tcPr>
            <w:tcW w:type="dxa" w:w="3744"/>
          </w:tcPr>
          <w:p>
            <w:pPr>
              <w:spacing w:after="40" w:before="40"/>
            </w:pPr>
            <w:r/>
            <w:r>
              <w:rPr>
                <w:rFonts w:ascii="Calibri" w:hAnsi="Calibri"/>
                <w:b w:val="0"/>
                <w:i w:val="0"/>
                <w:color w:val="22333B"/>
                <w:sz w:val="18"/>
              </w:rPr>
              <w:t>Part 2 — EU MDR</w:t>
            </w:r>
          </w:p>
        </w:tc>
        <w:tc>
          <w:tcPr>
            <w:tcW w:type="dxa" w:w="3888"/>
          </w:tcPr>
          <w:p>
            <w:pPr>
              <w:spacing w:after="40" w:before="40"/>
            </w:pPr>
            <w:r/>
            <w:r>
              <w:rPr>
                <w:rFonts w:ascii="Calibri" w:hAnsi="Calibri"/>
                <w:b w:val="0"/>
                <w:i w:val="0"/>
                <w:color w:val="22333B"/>
                <w:sz w:val="18"/>
              </w:rPr>
              <w:t>The segment that overruns. Slides 15 and 21 carry the most value.</w:t>
            </w:r>
          </w:p>
        </w:tc>
      </w:tr>
      <w:tr>
        <w:trPr>
          <w:cantSplit/>
        </w:trPr>
        <w:tc>
          <w:tcPr>
            <w:tcW w:type="dxa" w:w="1008"/>
          </w:tcPr>
          <w:p>
            <w:pPr>
              <w:spacing w:after="40" w:before="40"/>
            </w:pPr>
            <w:r/>
            <w:r>
              <w:rPr>
                <w:rFonts w:ascii="Calibri" w:hAnsi="Calibri"/>
                <w:b/>
                <w:i w:val="0"/>
                <w:color w:val="22333B"/>
                <w:sz w:val="18"/>
              </w:rPr>
              <w:t>0:37</w:t>
            </w:r>
          </w:p>
        </w:tc>
        <w:tc>
          <w:tcPr>
            <w:tcW w:type="dxa" w:w="1152"/>
          </w:tcPr>
          <w:p>
            <w:pPr>
              <w:spacing w:after="40" w:before="40"/>
            </w:pPr>
            <w:r/>
            <w:r>
              <w:rPr>
                <w:rFonts w:ascii="Calibri" w:hAnsi="Calibri"/>
                <w:b w:val="0"/>
                <w:i w:val="0"/>
                <w:color w:val="22333B"/>
                <w:sz w:val="18"/>
              </w:rPr>
              <w:t>28</w:t>
            </w:r>
          </w:p>
        </w:tc>
        <w:tc>
          <w:tcPr>
            <w:tcW w:type="dxa" w:w="3744"/>
          </w:tcPr>
          <w:p>
            <w:pPr>
              <w:spacing w:after="40" w:before="40"/>
            </w:pPr>
            <w:r/>
            <w:r>
              <w:rPr>
                <w:rFonts w:ascii="Calibri" w:hAnsi="Calibri"/>
                <w:b/>
                <w:i w:val="0"/>
                <w:color w:val="0E7C7B"/>
                <w:sz w:val="18"/>
              </w:rPr>
              <w:t>Working session 1 — One device, four classifications</w:t>
            </w:r>
          </w:p>
        </w:tc>
        <w:tc>
          <w:tcPr>
            <w:tcW w:type="dxa" w:w="3888"/>
          </w:tcPr>
          <w:p>
            <w:pPr>
              <w:spacing w:after="40" w:before="40"/>
            </w:pPr>
            <w:r/>
            <w:r>
              <w:rPr>
                <w:rFonts w:ascii="Calibri" w:hAnsi="Calibri"/>
                <w:b w:val="0"/>
                <w:i w:val="0"/>
                <w:color w:val="22333B"/>
                <w:sz w:val="18"/>
              </w:rPr>
              <w:t>7 min table work, 3 min debrief.</w:t>
            </w:r>
          </w:p>
        </w:tc>
      </w:tr>
      <w:tr>
        <w:trPr>
          <w:cantSplit/>
        </w:trPr>
        <w:tc>
          <w:tcPr>
            <w:tcW w:type="dxa" w:w="1008"/>
          </w:tcPr>
          <w:p>
            <w:pPr>
              <w:spacing w:after="40" w:before="40"/>
            </w:pPr>
            <w:r/>
            <w:r>
              <w:rPr>
                <w:rFonts w:ascii="Calibri" w:hAnsi="Calibri"/>
                <w:b/>
                <w:i w:val="0"/>
                <w:color w:val="22333B"/>
                <w:sz w:val="18"/>
              </w:rPr>
              <w:t>0:47</w:t>
            </w:r>
          </w:p>
        </w:tc>
        <w:tc>
          <w:tcPr>
            <w:tcW w:type="dxa" w:w="1152"/>
          </w:tcPr>
          <w:p>
            <w:pPr>
              <w:spacing w:after="40" w:before="40"/>
            </w:pPr>
            <w:r/>
            <w:r>
              <w:rPr>
                <w:rFonts w:ascii="Calibri" w:hAnsi="Calibri"/>
                <w:b w:val="0"/>
                <w:i w:val="0"/>
                <w:color w:val="22333B"/>
                <w:sz w:val="18"/>
              </w:rPr>
              <w:t>29–37</w:t>
            </w:r>
          </w:p>
        </w:tc>
        <w:tc>
          <w:tcPr>
            <w:tcW w:type="dxa" w:w="3744"/>
          </w:tcPr>
          <w:p>
            <w:pPr>
              <w:spacing w:after="40" w:before="40"/>
            </w:pPr>
            <w:r/>
            <w:r>
              <w:rPr>
                <w:rFonts w:ascii="Calibri" w:hAnsi="Calibri"/>
                <w:b w:val="0"/>
                <w:i w:val="0"/>
                <w:color w:val="22333B"/>
                <w:sz w:val="18"/>
              </w:rPr>
              <w:t>Part 3 — UKCA and the UK framework</w:t>
            </w:r>
          </w:p>
        </w:tc>
        <w:tc>
          <w:tcPr>
            <w:tcW w:type="dxa" w:w="3888"/>
          </w:tcPr>
          <w:p>
            <w:pPr>
              <w:spacing w:after="40" w:before="40"/>
            </w:pPr>
            <w:r/>
            <w:r>
              <w:rPr>
                <w:rFonts w:ascii="Calibri" w:hAnsi="Calibri"/>
                <w:b w:val="0"/>
                <w:i w:val="0"/>
                <w:color w:val="22333B"/>
                <w:sz w:val="18"/>
              </w:rPr>
              <w:t>Slide 32 is the one they photograph.</w:t>
            </w:r>
          </w:p>
        </w:tc>
      </w:tr>
      <w:tr>
        <w:trPr>
          <w:cantSplit/>
        </w:trPr>
        <w:tc>
          <w:tcPr>
            <w:tcW w:type="dxa" w:w="1008"/>
          </w:tcPr>
          <w:p>
            <w:pPr>
              <w:spacing w:after="40" w:before="40"/>
            </w:pPr>
            <w:r/>
            <w:r>
              <w:rPr>
                <w:rFonts w:ascii="Calibri" w:hAnsi="Calibri"/>
                <w:b/>
                <w:i w:val="0"/>
                <w:color w:val="22333B"/>
                <w:sz w:val="18"/>
              </w:rPr>
              <w:t>1:01</w:t>
            </w:r>
          </w:p>
        </w:tc>
        <w:tc>
          <w:tcPr>
            <w:tcW w:type="dxa" w:w="1152"/>
          </w:tcPr>
          <w:p>
            <w:pPr>
              <w:spacing w:after="40" w:before="40"/>
            </w:pPr>
            <w:r/>
            <w:r>
              <w:rPr>
                <w:rFonts w:ascii="Calibri" w:hAnsi="Calibri"/>
                <w:b w:val="0"/>
                <w:i w:val="0"/>
                <w:color w:val="22333B"/>
                <w:sz w:val="18"/>
              </w:rPr>
              <w:t>38–45</w:t>
            </w:r>
          </w:p>
        </w:tc>
        <w:tc>
          <w:tcPr>
            <w:tcW w:type="dxa" w:w="3744"/>
          </w:tcPr>
          <w:p>
            <w:pPr>
              <w:spacing w:after="40" w:before="40"/>
            </w:pPr>
            <w:r/>
            <w:r>
              <w:rPr>
                <w:rFonts w:ascii="Calibri" w:hAnsi="Calibri"/>
                <w:b w:val="0"/>
                <w:i w:val="0"/>
                <w:color w:val="22333B"/>
                <w:sz w:val="18"/>
              </w:rPr>
              <w:t>Part 4 — United States and Japan</w:t>
            </w:r>
          </w:p>
        </w:tc>
        <w:tc>
          <w:tcPr>
            <w:tcW w:type="dxa" w:w="3888"/>
          </w:tcPr>
          <w:p>
            <w:pPr>
              <w:spacing w:after="40" w:before="40"/>
            </w:pPr>
            <w:r/>
            <w:r>
              <w:rPr>
                <w:rFonts w:ascii="Calibri" w:hAnsi="Calibri"/>
                <w:b w:val="0"/>
                <w:i w:val="0"/>
                <w:color w:val="22333B"/>
                <w:sz w:val="18"/>
              </w:rPr>
              <w:t>Orientation, not a submission course. Slide 41 is the one they do not know.</w:t>
            </w:r>
          </w:p>
        </w:tc>
      </w:tr>
      <w:tr>
        <w:trPr>
          <w:cantSplit/>
        </w:trPr>
        <w:tc>
          <w:tcPr>
            <w:tcW w:type="dxa" w:w="1008"/>
          </w:tcPr>
          <w:p>
            <w:pPr>
              <w:spacing w:after="40" w:before="40"/>
            </w:pPr>
            <w:r/>
            <w:r>
              <w:rPr>
                <w:rFonts w:ascii="Calibri" w:hAnsi="Calibri"/>
                <w:b/>
                <w:i w:val="0"/>
                <w:color w:val="22333B"/>
                <w:sz w:val="18"/>
              </w:rPr>
              <w:t>1:12</w:t>
            </w:r>
          </w:p>
        </w:tc>
        <w:tc>
          <w:tcPr>
            <w:tcW w:type="dxa" w:w="1152"/>
          </w:tcPr>
          <w:p>
            <w:pPr>
              <w:spacing w:after="40" w:before="40"/>
            </w:pPr>
            <w:r/>
            <w:r>
              <w:rPr>
                <w:rFonts w:ascii="Calibri" w:hAnsi="Calibri"/>
                <w:b w:val="0"/>
                <w:i w:val="0"/>
                <w:color w:val="22333B"/>
                <w:sz w:val="18"/>
              </w:rPr>
              <w:t>46</w:t>
            </w:r>
          </w:p>
        </w:tc>
        <w:tc>
          <w:tcPr>
            <w:tcW w:type="dxa" w:w="3744"/>
          </w:tcPr>
          <w:p>
            <w:pPr>
              <w:spacing w:after="40" w:before="40"/>
            </w:pPr>
            <w:r/>
            <w:r>
              <w:rPr>
                <w:rFonts w:ascii="Calibri" w:hAnsi="Calibri"/>
                <w:b/>
                <w:i w:val="0"/>
                <w:color w:val="0E7C7B"/>
                <w:sz w:val="18"/>
              </w:rPr>
              <w:t>Working session 2 — Tabletop</w:t>
            </w:r>
          </w:p>
        </w:tc>
        <w:tc>
          <w:tcPr>
            <w:tcW w:type="dxa" w:w="3888"/>
          </w:tcPr>
          <w:p>
            <w:pPr>
              <w:spacing w:after="40" w:before="40"/>
            </w:pPr>
            <w:r/>
            <w:r>
              <w:rPr>
                <w:rFonts w:ascii="Calibri" w:hAnsi="Calibri"/>
                <w:b w:val="0"/>
                <w:i w:val="0"/>
                <w:color w:val="22333B"/>
                <w:sz w:val="18"/>
              </w:rPr>
              <w:t>Facilitator-paced, three rounds of 3 min.</w:t>
            </w:r>
          </w:p>
        </w:tc>
      </w:tr>
      <w:tr>
        <w:trPr>
          <w:cantSplit/>
        </w:trPr>
        <w:tc>
          <w:tcPr>
            <w:tcW w:type="dxa" w:w="1008"/>
          </w:tcPr>
          <w:p>
            <w:pPr>
              <w:spacing w:after="40" w:before="40"/>
            </w:pPr>
            <w:r/>
            <w:r>
              <w:rPr>
                <w:rFonts w:ascii="Calibri" w:hAnsi="Calibri"/>
                <w:b/>
                <w:i w:val="0"/>
                <w:color w:val="22333B"/>
                <w:sz w:val="18"/>
              </w:rPr>
              <w:t>1:22</w:t>
            </w:r>
          </w:p>
        </w:tc>
        <w:tc>
          <w:tcPr>
            <w:tcW w:type="dxa" w:w="1152"/>
          </w:tcPr>
          <w:p>
            <w:pPr>
              <w:spacing w:after="40" w:before="40"/>
            </w:pPr>
            <w:r/>
            <w:r>
              <w:rPr>
                <w:rFonts w:ascii="Calibri" w:hAnsi="Calibri"/>
                <w:b w:val="0"/>
                <w:i w:val="0"/>
                <w:color w:val="22333B"/>
                <w:sz w:val="18"/>
              </w:rPr>
              <w:t>47–52</w:t>
            </w:r>
          </w:p>
        </w:tc>
        <w:tc>
          <w:tcPr>
            <w:tcW w:type="dxa" w:w="3744"/>
          </w:tcPr>
          <w:p>
            <w:pPr>
              <w:spacing w:after="40" w:before="40"/>
            </w:pPr>
            <w:r/>
            <w:r>
              <w:rPr>
                <w:rFonts w:ascii="Calibri" w:hAnsi="Calibri"/>
                <w:b w:val="0"/>
                <w:i w:val="0"/>
                <w:color w:val="22333B"/>
                <w:sz w:val="18"/>
              </w:rPr>
              <w:t>Part 5 — Making it work</w:t>
            </w:r>
          </w:p>
        </w:tc>
        <w:tc>
          <w:tcPr>
            <w:tcW w:type="dxa" w:w="3888"/>
          </w:tcPr>
          <w:p>
            <w:pPr>
              <w:spacing w:after="40" w:before="40"/>
            </w:pPr>
            <w:r/>
            <w:r>
              <w:rPr>
                <w:rFonts w:ascii="Calibri" w:hAnsi="Calibri"/>
                <w:b w:val="0"/>
                <w:i w:val="0"/>
                <w:color w:val="22333B"/>
                <w:sz w:val="18"/>
              </w:rPr>
              <w:t>Slide 50 is the payoff; slide 51 is what they repeat.</w:t>
            </w:r>
          </w:p>
        </w:tc>
      </w:tr>
      <w:tr>
        <w:trPr>
          <w:cantSplit/>
        </w:trPr>
        <w:tc>
          <w:tcPr>
            <w:tcW w:type="dxa" w:w="1008"/>
          </w:tcPr>
          <w:p>
            <w:pPr>
              <w:spacing w:after="40" w:before="40"/>
            </w:pPr>
            <w:r/>
            <w:r>
              <w:rPr>
                <w:rFonts w:ascii="Calibri" w:hAnsi="Calibri"/>
                <w:b/>
                <w:i w:val="0"/>
                <w:color w:val="22333B"/>
                <w:sz w:val="18"/>
              </w:rPr>
              <w:t>1:29</w:t>
            </w:r>
          </w:p>
        </w:tc>
        <w:tc>
          <w:tcPr>
            <w:tcW w:type="dxa" w:w="1152"/>
          </w:tcPr>
          <w:p>
            <w:pPr>
              <w:spacing w:after="40" w:before="40"/>
            </w:pPr>
            <w:r/>
            <w:r>
              <w:rPr>
                <w:rFonts w:ascii="Calibri" w:hAnsi="Calibri"/>
                <w:b w:val="0"/>
                <w:i w:val="0"/>
                <w:color w:val="22333B"/>
                <w:sz w:val="18"/>
              </w:rPr>
              <w:t>53</w:t>
            </w:r>
          </w:p>
        </w:tc>
        <w:tc>
          <w:tcPr>
            <w:tcW w:type="dxa" w:w="3744"/>
          </w:tcPr>
          <w:p>
            <w:pPr>
              <w:spacing w:after="40" w:before="40"/>
            </w:pPr>
            <w:r/>
            <w:r>
              <w:rPr>
                <w:rFonts w:ascii="Calibri" w:hAnsi="Calibri"/>
                <w:b w:val="0"/>
                <w:i w:val="0"/>
                <w:color w:val="22333B"/>
                <w:sz w:val="18"/>
              </w:rPr>
              <w:t>Discussion</w:t>
            </w:r>
          </w:p>
        </w:tc>
        <w:tc>
          <w:tcPr>
            <w:tcW w:type="dxa" w:w="3888"/>
          </w:tcPr>
          <w:p>
            <w:pPr>
              <w:spacing w:after="40" w:before="40"/>
            </w:pPr>
            <w:r/>
            <w:r>
              <w:rPr>
                <w:rFonts w:ascii="Calibri" w:hAnsi="Calibri"/>
                <w:b w:val="0"/>
                <w:i w:val="0"/>
                <w:color w:val="22333B"/>
                <w:sz w:val="18"/>
              </w:rPr>
              <w:t>Five prompts on the slide if the room is quiet.</w:t>
            </w:r>
          </w:p>
        </w:tc>
      </w:tr>
    </w:tbl>
    <w:p>
      <w:pPr>
        <w:spacing w:after="100"/>
      </w:pPr>
      <w:r>
        <w:rPr>
          <w:rFonts w:ascii="Calibri" w:hAnsi="Calibri"/>
          <w:b w:val="0"/>
          <w:i/>
          <w:color w:val="4E626D"/>
          <w:sz w:val="20"/>
        </w:rPr>
        <w:t>Content runs to 1:29, leaving the last minute of the ninety for the close. Discussion continues for as long as you have. This is a full 90 minutes — if the room is talkative, use the cut list overleaf early rather than compressing the working sessions at the end.</w:t>
      </w:r>
    </w:p>
    <w:p>
      <w:pPr>
        <w:pageBreakBefore/>
        <w:spacing w:after="40" w:before="0"/>
      </w:pPr>
      <w:r>
        <w:rPr>
          <w:rFonts w:ascii="Calibri" w:hAnsi="Calibri"/>
          <w:b/>
          <w:color w:val="0E7C7B"/>
          <w:sz w:val="17"/>
          <w:spacing w:val="30"/>
        </w:rPr>
        <w:t>RUNNING THE SESSION</w:t>
      </w:r>
    </w:p>
    <w:p>
      <w:pPr>
        <w:spacing w:after="80" w:before="0"/>
      </w:pPr>
      <w:r>
        <w:rPr>
          <w:rFonts w:ascii="Cambria" w:hAnsi="Cambria"/>
          <w:b/>
          <w:color w:val="1B3A4B"/>
          <w:sz w:val="36"/>
        </w:rPr>
        <w:t>Running the session</w:t>
      </w:r>
    </w:p>
    <w:p>
      <w:pPr>
        <w:spacing w:before="120" w:after="160"/>
        <w:pBdr>
          <w:bottom w:val="single" w:sz="6" w:space="1" w:color="D7E2E5"/>
        </w:pBdr>
      </w:pPr>
    </w:p>
    <w:p>
      <w:pPr>
        <w:keepNext/>
        <w:spacing w:after="80" w:before="0"/>
      </w:pPr>
      <w:r>
        <w:rPr>
          <w:rFonts w:ascii="Cambria" w:hAnsi="Cambria"/>
          <w:b/>
          <w:color w:val="1B3A4B"/>
          <w:sz w:val="26"/>
        </w:rPr>
        <w:t>If you are running behind</w:t>
      </w:r>
    </w:p>
    <w:p>
      <w:pPr>
        <w:spacing w:after="100"/>
      </w:pPr>
      <w:r>
        <w:rPr>
          <w:rFonts w:ascii="Calibri" w:hAnsi="Calibri"/>
          <w:b w:val="0"/>
          <w:i/>
          <w:color w:val="1B3A4B"/>
          <w:sz w:val="20"/>
        </w:rPr>
        <w:t>Cut in this order. Do not compress the exercises — they are where the learning happens, and both are already tight.</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864"/>
        <w:gridCol w:w="3168"/>
        <w:gridCol w:w="5760"/>
      </w:tblGrid>
      <w:tr>
        <w:trPr>
          <w:cantSplit/>
          <w:tblHeader/>
        </w:trPr>
        <w:tc>
          <w:tcPr>
            <w:tcW w:type="dxa" w:w="864"/>
            <w:shd w:val="clear" w:color="auto" w:fill="1B3A4B"/>
          </w:tcPr>
          <w:p>
            <w:pPr>
              <w:spacing w:after="40" w:before="40"/>
            </w:pPr>
            <w:r/>
            <w:r>
              <w:rPr>
                <w:rFonts w:ascii="Calibri" w:hAnsi="Calibri"/>
                <w:b/>
                <w:i w:val="0"/>
                <w:color w:val="FFFFFF"/>
                <w:sz w:val="18"/>
              </w:rPr>
              <w:t>Cut</w:t>
            </w:r>
          </w:p>
        </w:tc>
        <w:tc>
          <w:tcPr>
            <w:tcW w:type="dxa" w:w="3168"/>
            <w:shd w:val="clear" w:color="auto" w:fill="1B3A4B"/>
          </w:tcPr>
          <w:p>
            <w:pPr>
              <w:spacing w:after="40" w:before="40"/>
            </w:pPr>
            <w:r/>
            <w:r>
              <w:rPr>
                <w:rFonts w:ascii="Calibri" w:hAnsi="Calibri"/>
                <w:b/>
                <w:i w:val="0"/>
                <w:color w:val="FFFFFF"/>
                <w:sz w:val="18"/>
              </w:rPr>
              <w:t>Slide</w:t>
            </w:r>
          </w:p>
        </w:tc>
        <w:tc>
          <w:tcPr>
            <w:tcW w:type="dxa" w:w="5760"/>
            <w:shd w:val="clear" w:color="auto" w:fill="1B3A4B"/>
          </w:tcPr>
          <w:p>
            <w:pPr>
              <w:spacing w:after="40" w:before="40"/>
            </w:pPr>
            <w:r/>
            <w:r>
              <w:rPr>
                <w:rFonts w:ascii="Calibri" w:hAnsi="Calibri"/>
                <w:b/>
                <w:i w:val="0"/>
                <w:color w:val="FFFFFF"/>
                <w:sz w:val="18"/>
              </w:rPr>
              <w:t>Why it is safe to cut</w:t>
            </w:r>
          </w:p>
        </w:tc>
      </w:tr>
      <w:tr>
        <w:trPr>
          <w:cantSplit/>
        </w:trPr>
        <w:tc>
          <w:tcPr>
            <w:tcW w:type="dxa" w:w="864"/>
          </w:tcPr>
          <w:p>
            <w:pPr>
              <w:spacing w:after="40" w:before="40"/>
            </w:pPr>
            <w:r/>
            <w:r>
              <w:rPr>
                <w:rFonts w:ascii="Calibri" w:hAnsi="Calibri"/>
                <w:b/>
                <w:i w:val="0"/>
                <w:color w:val="0E7C7B"/>
                <w:sz w:val="18"/>
              </w:rPr>
              <w:t>1st</w:t>
            </w:r>
          </w:p>
        </w:tc>
        <w:tc>
          <w:tcPr>
            <w:tcW w:type="dxa" w:w="3168"/>
          </w:tcPr>
          <w:p>
            <w:pPr>
              <w:spacing w:after="40" w:before="40"/>
            </w:pPr>
            <w:r/>
            <w:r>
              <w:rPr>
                <w:rFonts w:ascii="Calibri" w:hAnsi="Calibri"/>
                <w:b w:val="0"/>
                <w:i w:val="0"/>
                <w:color w:val="22333B"/>
                <w:sz w:val="18"/>
              </w:rPr>
              <w:t>25 — Labelling and language</w:t>
            </w:r>
          </w:p>
        </w:tc>
        <w:tc>
          <w:tcPr>
            <w:tcW w:type="dxa" w:w="5760"/>
          </w:tcPr>
          <w:p>
            <w:pPr>
              <w:spacing w:after="40" w:before="40"/>
            </w:pPr>
            <w:r/>
            <w:r>
              <w:rPr>
                <w:rFonts w:ascii="Calibri" w:hAnsi="Calibri"/>
                <w:b w:val="0"/>
                <w:i w:val="0"/>
                <w:color w:val="22333B"/>
                <w:sz w:val="18"/>
              </w:rPr>
              <w:t>Keep one sentence: languages decide your launch sequence. The rest is in the workbook.</w:t>
            </w:r>
          </w:p>
        </w:tc>
      </w:tr>
      <w:tr>
        <w:trPr>
          <w:cantSplit/>
        </w:trPr>
        <w:tc>
          <w:tcPr>
            <w:tcW w:type="dxa" w:w="864"/>
          </w:tcPr>
          <w:p>
            <w:pPr>
              <w:spacing w:after="40" w:before="40"/>
            </w:pPr>
            <w:r/>
            <w:r>
              <w:rPr>
                <w:rFonts w:ascii="Calibri" w:hAnsi="Calibri"/>
                <w:b/>
                <w:i w:val="0"/>
                <w:color w:val="0E7C7B"/>
                <w:sz w:val="18"/>
              </w:rPr>
              <w:t>2nd</w:t>
            </w:r>
          </w:p>
        </w:tc>
        <w:tc>
          <w:tcPr>
            <w:tcW w:type="dxa" w:w="3168"/>
          </w:tcPr>
          <w:p>
            <w:pPr>
              <w:spacing w:after="40" w:before="40"/>
            </w:pPr>
            <w:r/>
            <w:r>
              <w:rPr>
                <w:rFonts w:ascii="Calibri" w:hAnsi="Calibri"/>
                <w:b w:val="0"/>
                <w:i w:val="0"/>
                <w:color w:val="22333B"/>
                <w:sz w:val="18"/>
              </w:rPr>
              <w:t>17 — Conformity routes</w:t>
            </w:r>
          </w:p>
        </w:tc>
        <w:tc>
          <w:tcPr>
            <w:tcW w:type="dxa" w:w="5760"/>
          </w:tcPr>
          <w:p>
            <w:pPr>
              <w:spacing w:after="40" w:before="40"/>
            </w:pPr>
            <w:r/>
            <w:r>
              <w:rPr>
                <w:rFonts w:ascii="Calibri" w:hAnsi="Calibri"/>
                <w:b w:val="0"/>
                <w:i w:val="0"/>
                <w:color w:val="22333B"/>
                <w:sz w:val="18"/>
              </w:rPr>
              <w:t>Most of the room is on Annex IX. Say so in one line and move on.</w:t>
            </w:r>
          </w:p>
        </w:tc>
      </w:tr>
      <w:tr>
        <w:trPr>
          <w:cantSplit/>
        </w:trPr>
        <w:tc>
          <w:tcPr>
            <w:tcW w:type="dxa" w:w="864"/>
          </w:tcPr>
          <w:p>
            <w:pPr>
              <w:spacing w:after="40" w:before="40"/>
            </w:pPr>
            <w:r/>
            <w:r>
              <w:rPr>
                <w:rFonts w:ascii="Calibri" w:hAnsi="Calibri"/>
                <w:b/>
                <w:i w:val="0"/>
                <w:color w:val="C77C1E"/>
                <w:sz w:val="18"/>
              </w:rPr>
              <w:t>3rd</w:t>
            </w:r>
          </w:p>
        </w:tc>
        <w:tc>
          <w:tcPr>
            <w:tcW w:type="dxa" w:w="3168"/>
          </w:tcPr>
          <w:p>
            <w:pPr>
              <w:spacing w:after="40" w:before="40"/>
            </w:pPr>
            <w:r/>
            <w:r>
              <w:rPr>
                <w:rFonts w:ascii="Calibri" w:hAnsi="Calibri"/>
                <w:b w:val="0"/>
                <w:i w:val="0"/>
                <w:color w:val="22333B"/>
                <w:sz w:val="18"/>
              </w:rPr>
              <w:t>34 — UK Approved Bodies</w:t>
            </w:r>
          </w:p>
        </w:tc>
        <w:tc>
          <w:tcPr>
            <w:tcW w:type="dxa" w:w="5760"/>
          </w:tcPr>
          <w:p>
            <w:pPr>
              <w:spacing w:after="40" w:before="40"/>
            </w:pPr>
            <w:r/>
            <w:r>
              <w:rPr>
                <w:rFonts w:ascii="Calibri" w:hAnsi="Calibri"/>
                <w:b w:val="0"/>
                <w:i w:val="0"/>
                <w:color w:val="22333B"/>
                <w:sz w:val="18"/>
              </w:rPr>
              <w:t>Compressible to the callout alone: confirm a body can take you before you commit.</w:t>
            </w:r>
          </w:p>
        </w:tc>
      </w:tr>
      <w:tr>
        <w:trPr>
          <w:cantSplit/>
        </w:trPr>
        <w:tc>
          <w:tcPr>
            <w:tcW w:type="dxa" w:w="864"/>
          </w:tcPr>
          <w:p>
            <w:pPr>
              <w:spacing w:after="40" w:before="40"/>
            </w:pPr>
            <w:r/>
            <w:r>
              <w:rPr>
                <w:rFonts w:ascii="Calibri" w:hAnsi="Calibri"/>
                <w:b/>
                <w:i w:val="0"/>
                <w:color w:val="C77C1E"/>
                <w:sz w:val="18"/>
              </w:rPr>
              <w:t>4th</w:t>
            </w:r>
          </w:p>
        </w:tc>
        <w:tc>
          <w:tcPr>
            <w:tcW w:type="dxa" w:w="3168"/>
          </w:tcPr>
          <w:p>
            <w:pPr>
              <w:spacing w:after="40" w:before="40"/>
            </w:pPr>
            <w:r/>
            <w:r>
              <w:rPr>
                <w:rFonts w:ascii="Calibri" w:hAnsi="Calibri"/>
                <w:b w:val="0"/>
                <w:i w:val="0"/>
                <w:color w:val="22333B"/>
                <w:sz w:val="18"/>
              </w:rPr>
              <w:t>40 — US obligations</w:t>
            </w:r>
          </w:p>
        </w:tc>
        <w:tc>
          <w:tcPr>
            <w:tcW w:type="dxa" w:w="5760"/>
          </w:tcPr>
          <w:p>
            <w:pPr>
              <w:spacing w:after="40" w:before="40"/>
            </w:pPr>
            <w:r/>
            <w:r>
              <w:rPr>
                <w:rFonts w:ascii="Calibri" w:hAnsi="Calibri"/>
                <w:b w:val="0"/>
                <w:i w:val="0"/>
                <w:color w:val="22333B"/>
                <w:sz w:val="18"/>
              </w:rPr>
              <w:t>A reference slide for a room that mostly knows it. Give the special-controls point only.</w:t>
            </w:r>
          </w:p>
        </w:tc>
      </w:tr>
      <w:tr>
        <w:trPr>
          <w:cantSplit/>
        </w:trPr>
        <w:tc>
          <w:tcPr>
            <w:tcW w:type="dxa" w:w="864"/>
          </w:tcPr>
          <w:p>
            <w:pPr>
              <w:spacing w:after="40" w:before="40"/>
            </w:pPr>
            <w:r/>
            <w:r>
              <w:rPr>
                <w:rFonts w:ascii="Calibri" w:hAnsi="Calibri"/>
                <w:b/>
                <w:i w:val="0"/>
                <w:color w:val="A83A3C"/>
                <w:sz w:val="18"/>
              </w:rPr>
              <w:t>5th</w:t>
            </w:r>
          </w:p>
        </w:tc>
        <w:tc>
          <w:tcPr>
            <w:tcW w:type="dxa" w:w="3168"/>
          </w:tcPr>
          <w:p>
            <w:pPr>
              <w:spacing w:after="40" w:before="40"/>
            </w:pPr>
            <w:r/>
            <w:r>
              <w:rPr>
                <w:rFonts w:ascii="Calibri" w:hAnsi="Calibri"/>
                <w:b w:val="0"/>
                <w:i w:val="0"/>
                <w:color w:val="22333B"/>
                <w:sz w:val="18"/>
              </w:rPr>
              <w:t>45 — Standards</w:t>
            </w:r>
          </w:p>
        </w:tc>
        <w:tc>
          <w:tcPr>
            <w:tcW w:type="dxa" w:w="5760"/>
          </w:tcPr>
          <w:p>
            <w:pPr>
              <w:spacing w:after="40" w:before="40"/>
            </w:pPr>
            <w:r/>
            <w:r>
              <w:rPr>
                <w:rFonts w:ascii="Calibri" w:hAnsi="Calibri"/>
                <w:b w:val="0"/>
                <w:i w:val="0"/>
                <w:color w:val="22333B"/>
                <w:sz w:val="18"/>
              </w:rPr>
              <w:t>Keep the right-hand panel: check the recognised-standard list before booking the test.</w:t>
            </w:r>
          </w:p>
        </w:tc>
      </w:tr>
      <w:tr>
        <w:trPr>
          <w:cantSplit/>
        </w:trPr>
        <w:tc>
          <w:tcPr>
            <w:tcW w:type="dxa" w:w="864"/>
          </w:tcPr>
          <w:p>
            <w:pPr>
              <w:spacing w:after="40" w:before="40"/>
            </w:pPr>
            <w:r/>
            <w:r>
              <w:rPr>
                <w:rFonts w:ascii="Calibri" w:hAnsi="Calibri"/>
                <w:b/>
                <w:i w:val="0"/>
                <w:color w:val="A83A3C"/>
                <w:sz w:val="18"/>
              </w:rPr>
              <w:t>Never</w:t>
            </w:r>
          </w:p>
        </w:tc>
        <w:tc>
          <w:tcPr>
            <w:tcW w:type="dxa" w:w="3168"/>
          </w:tcPr>
          <w:p>
            <w:pPr>
              <w:spacing w:after="40" w:before="40"/>
            </w:pPr>
            <w:r/>
            <w:r>
              <w:rPr>
                <w:rFonts w:ascii="Calibri" w:hAnsi="Calibri"/>
                <w:b w:val="0"/>
                <w:i w:val="0"/>
                <w:color w:val="22333B"/>
                <w:sz w:val="18"/>
              </w:rPr>
              <w:t>6, 15, 21, 28, 32, 41, 46, 50</w:t>
            </w:r>
          </w:p>
        </w:tc>
        <w:tc>
          <w:tcPr>
            <w:tcW w:type="dxa" w:w="5760"/>
          </w:tcPr>
          <w:p>
            <w:pPr>
              <w:spacing w:after="40" w:before="40"/>
            </w:pPr>
            <w:r/>
            <w:r>
              <w:rPr>
                <w:rFonts w:ascii="Calibri" w:hAnsi="Calibri"/>
                <w:b/>
                <w:i w:val="0"/>
                <w:color w:val="22333B"/>
                <w:sz w:val="18"/>
              </w:rPr>
              <w:t>The spine. Cutting any of these breaks the argument.</w:t>
            </w:r>
          </w:p>
        </w:tc>
      </w:tr>
    </w:tbl>
    <w:p>
      <w:pPr>
        <w:keepNext/>
        <w:spacing w:after="80" w:before="180"/>
      </w:pPr>
      <w:r>
        <w:rPr>
          <w:rFonts w:ascii="Cambria" w:hAnsi="Cambria"/>
          <w:b/>
          <w:color w:val="1B3A4B"/>
          <w:sz w:val="26"/>
        </w:rPr>
        <w:t>If you are running ahead</w:t>
      </w:r>
    </w:p>
    <w:p>
      <w:pPr>
        <w:pStyle w:val="ListBullet"/>
        <w:spacing w:after="50" w:line="254" w:lineRule="auto"/>
        <w:ind w:left="576"/>
      </w:pPr>
      <w:r>
        <w:rPr>
          <w:rFonts w:ascii="Calibri" w:hAnsi="Calibri"/>
          <w:b/>
          <w:color w:val="1B3A4B"/>
          <w:sz w:val="19"/>
        </w:rPr>
        <w:t xml:space="preserve">Slide 15: </w:t>
      </w:r>
      <w:r>
        <w:rPr>
          <w:rFonts w:ascii="Calibri" w:hAnsi="Calibri"/>
          <w:color w:val="22333B"/>
          <w:sz w:val="19"/>
        </w:rPr>
        <w:t>work the ladder interactively — ask the room what happens to the class if a false negative causes serious deterioration.</w:t>
      </w:r>
    </w:p>
    <w:p>
      <w:pPr>
        <w:pStyle w:val="ListBullet"/>
        <w:spacing w:after="50" w:line="254" w:lineRule="auto"/>
        <w:ind w:left="576"/>
      </w:pPr>
      <w:r>
        <w:rPr>
          <w:rFonts w:ascii="Calibri" w:hAnsi="Calibri"/>
          <w:b/>
          <w:color w:val="1B3A4B"/>
          <w:sz w:val="19"/>
        </w:rPr>
        <w:t xml:space="preserve">Slide 32: </w:t>
      </w:r>
      <w:r>
        <w:rPr>
          <w:rFonts w:ascii="Calibri" w:hAnsi="Calibri"/>
          <w:color w:val="22333B"/>
          <w:sz w:val="19"/>
        </w:rPr>
        <w:t>ask a table to name the two clocks on a legacy MDD certificate and which governs.</w:t>
      </w:r>
    </w:p>
    <w:p>
      <w:pPr>
        <w:pStyle w:val="ListBullet"/>
        <w:spacing w:after="50" w:line="254" w:lineRule="auto"/>
        <w:ind w:left="576"/>
      </w:pPr>
      <w:r>
        <w:rPr>
          <w:rFonts w:ascii="Calibri" w:hAnsi="Calibri"/>
          <w:b/>
          <w:color w:val="1B3A4B"/>
          <w:sz w:val="19"/>
        </w:rPr>
        <w:t xml:space="preserve">Slide 41: </w:t>
      </w:r>
      <w:r>
        <w:rPr>
          <w:rFonts w:ascii="Calibri" w:hAnsi="Calibri"/>
          <w:color w:val="22333B"/>
          <w:sz w:val="19"/>
        </w:rPr>
        <w:t>ask who in the room could name their JMDN code. The silence is instructive.</w:t>
      </w:r>
    </w:p>
    <w:p>
      <w:pPr>
        <w:keepNext/>
        <w:spacing w:after="80" w:before="180"/>
      </w:pPr>
      <w:r>
        <w:rPr>
          <w:rFonts w:ascii="Cambria" w:hAnsi="Cambria"/>
          <w:b/>
          <w:color w:val="1B3A4B"/>
          <w:sz w:val="26"/>
        </w:rPr>
        <w:t>Materials checklist</w:t>
      </w:r>
    </w:p>
    <w:p>
      <w:pPr>
        <w:pStyle w:val="ListBullet"/>
        <w:spacing w:after="50" w:line="254" w:lineRule="auto"/>
        <w:ind w:left="576"/>
      </w:pPr>
      <w:r>
        <w:rPr>
          <w:rFonts w:ascii="Calibri" w:hAnsi="Calibri"/>
          <w:color w:val="22333B"/>
          <w:sz w:val="19"/>
        </w:rPr>
        <w:t>Deck loaded, presenter view tested, speaker notes visible</w:t>
      </w:r>
    </w:p>
    <w:p>
      <w:pPr>
        <w:pStyle w:val="ListBullet"/>
        <w:spacing w:after="50" w:line="254" w:lineRule="auto"/>
        <w:ind w:left="576"/>
      </w:pPr>
      <w:r>
        <w:rPr>
          <w:rFonts w:ascii="Calibri" w:hAnsi="Calibri"/>
          <w:color w:val="22333B"/>
          <w:sz w:val="19"/>
        </w:rPr>
        <w:t>Participant workbooks printed — one per attendee, double-sided</w:t>
      </w:r>
    </w:p>
    <w:p>
      <w:pPr>
        <w:pStyle w:val="ListBullet"/>
        <w:spacing w:after="50" w:line="254" w:lineRule="auto"/>
        <w:ind w:left="576"/>
      </w:pPr>
      <w:r>
        <w:rPr>
          <w:rFonts w:ascii="Calibri" w:hAnsi="Calibri"/>
          <w:color w:val="22333B"/>
          <w:sz w:val="19"/>
        </w:rPr>
        <w:t>Quick-reference cards printed — double-sided, ideally on card</w:t>
      </w:r>
    </w:p>
    <w:p>
      <w:pPr>
        <w:pStyle w:val="ListBullet"/>
        <w:spacing w:after="50" w:line="254" w:lineRule="auto"/>
        <w:ind w:left="576"/>
      </w:pPr>
      <w:r>
        <w:rPr>
          <w:rFonts w:ascii="Calibri" w:hAnsi="Calibri"/>
          <w:color w:val="22333B"/>
          <w:sz w:val="19"/>
        </w:rPr>
        <w:t>Whiteboard or flip chart (slides 6, 46 and 50 benefit from writing things up)</w:t>
      </w:r>
    </w:p>
    <w:p>
      <w:pPr>
        <w:pStyle w:val="ListBullet"/>
        <w:spacing w:after="50" w:line="254" w:lineRule="auto"/>
        <w:ind w:left="576"/>
      </w:pPr>
      <w:r>
        <w:rPr>
          <w:rFonts w:ascii="Calibri" w:hAnsi="Calibri"/>
          <w:color w:val="22333B"/>
          <w:sz w:val="19"/>
        </w:rPr>
        <w:t>Tables arranged for groups of 4–6 before people arrive</w:t>
      </w:r>
    </w:p>
    <w:p>
      <w:pPr>
        <w:pStyle w:val="ListBullet"/>
        <w:spacing w:after="50" w:line="254" w:lineRule="auto"/>
        <w:ind w:left="576"/>
      </w:pPr>
      <w:r>
        <w:rPr>
          <w:rFonts w:ascii="Calibri" w:hAnsi="Calibri"/>
          <w:color w:val="22333B"/>
          <w:sz w:val="19"/>
        </w:rPr>
        <w:t>Timer visible to you for the tabletop rounds</w:t>
      </w:r>
    </w:p>
    <w:p>
      <w:pPr>
        <w:pStyle w:val="ListBullet"/>
        <w:spacing w:after="50" w:line="254" w:lineRule="auto"/>
        <w:ind w:left="576"/>
      </w:pPr>
      <w:r>
        <w:rPr>
          <w:rFonts w:ascii="Calibri" w:hAnsi="Calibri"/>
          <w:color w:val="22333B"/>
          <w:sz w:val="19"/>
        </w:rPr>
        <w:t>Your own contact details on the final slide or a card</w:t>
      </w:r>
    </w:p>
    <w:p>
      <w:pPr>
        <w:keepNext/>
        <w:spacing w:after="80" w:before="180"/>
      </w:pPr>
      <w:r>
        <w:rPr>
          <w:rFonts w:ascii="Cambria" w:hAnsi="Cambria"/>
          <w:b/>
          <w:color w:val="1B3A4B"/>
          <w:sz w:val="26"/>
        </w:rPr>
        <w:t>Facilitation notes</w:t>
      </w:r>
    </w:p>
    <w:p>
      <w:pPr>
        <w:pStyle w:val="ListBullet"/>
        <w:spacing w:after="50" w:line="254" w:lineRule="auto"/>
        <w:ind w:left="576"/>
      </w:pPr>
      <w:r>
        <w:rPr>
          <w:rFonts w:ascii="Calibri" w:hAnsi="Calibri"/>
          <w:b/>
          <w:color w:val="1B3A4B"/>
          <w:sz w:val="19"/>
        </w:rPr>
        <w:t xml:space="preserve">Calibrate early: </w:t>
      </w:r>
      <w:r>
        <w:rPr>
          <w:rFonts w:ascii="Calibri" w:hAnsi="Calibri"/>
          <w:color w:val="22333B"/>
          <w:sz w:val="19"/>
        </w:rPr>
        <w:t>the calibration poll on slide 4 tells you whether the room is on MDR certificates or legacy ones. A legacy-heavy room needs more time on slides 21, 23 and 26 — they have the hardest deadline.</w:t>
      </w:r>
    </w:p>
    <w:p>
      <w:pPr>
        <w:pStyle w:val="ListBullet"/>
        <w:spacing w:after="50" w:line="254" w:lineRule="auto"/>
        <w:ind w:left="576"/>
      </w:pPr>
      <w:r>
        <w:rPr>
          <w:rFonts w:ascii="Calibri" w:hAnsi="Calibri"/>
          <w:b/>
          <w:color w:val="1B3A4B"/>
          <w:sz w:val="19"/>
        </w:rPr>
        <w:t xml:space="preserve">Do not classify live: </w:t>
      </w:r>
      <w:r>
        <w:rPr>
          <w:rFonts w:ascii="Calibri" w:hAnsi="Calibri"/>
          <w:color w:val="22333B"/>
          <w:sz w:val="19"/>
        </w:rPr>
        <w:t>do not adjudicate an attendee's specific classification from the platform. Walk them through the rules and offer the break. Those conversations are where the real value lands.</w:t>
      </w:r>
    </w:p>
    <w:p>
      <w:pPr>
        <w:pStyle w:val="ListBullet"/>
        <w:spacing w:after="50" w:line="254" w:lineRule="auto"/>
        <w:ind w:left="576"/>
      </w:pPr>
      <w:r>
        <w:rPr>
          <w:rFonts w:ascii="Calibri" w:hAnsi="Calibri"/>
          <w:b/>
          <w:color w:val="1B3A4B"/>
          <w:sz w:val="19"/>
        </w:rPr>
        <w:t xml:space="preserve">The UK surprise: </w:t>
      </w:r>
      <w:r>
        <w:rPr>
          <w:rFonts w:ascii="Calibri" w:hAnsi="Calibri"/>
          <w:color w:val="22333B"/>
          <w:sz w:val="19"/>
        </w:rPr>
        <w:t>the message that most manufacturers should NOT pursue UKCA right now is counterintuitive and commercially useful. Give it properly on slide 32, and name the exceptions so it is not heard as absolute.</w:t>
      </w:r>
    </w:p>
    <w:p>
      <w:pPr>
        <w:pStyle w:val="ListBullet"/>
        <w:spacing w:after="50" w:line="254" w:lineRule="auto"/>
        <w:ind w:left="576"/>
      </w:pPr>
      <w:r>
        <w:rPr>
          <w:rFonts w:ascii="Calibri" w:hAnsi="Calibri"/>
          <w:b/>
          <w:color w:val="1B3A4B"/>
          <w:sz w:val="19"/>
        </w:rPr>
        <w:t xml:space="preserve">Be exact about legal status: </w:t>
      </w:r>
      <w:r>
        <w:rPr>
          <w:rFonts w:ascii="Calibri" w:hAnsi="Calibri"/>
          <w:color w:val="22333B"/>
          <w:sz w:val="19"/>
        </w:rPr>
        <w:t>the December 2025 MDR proposal is a proposal. Model the discipline of saying so precisely — it is the professional behaviour the session is trying to teach.</w:t>
      </w:r>
    </w:p>
    <w:p>
      <w:pPr>
        <w:pStyle w:val="ListBullet"/>
        <w:spacing w:after="50" w:line="254" w:lineRule="auto"/>
        <w:ind w:left="576"/>
      </w:pPr>
      <w:r>
        <w:rPr>
          <w:rFonts w:ascii="Calibri" w:hAnsi="Calibri"/>
          <w:b/>
          <w:color w:val="1B3A4B"/>
          <w:sz w:val="19"/>
        </w:rPr>
        <w:t xml:space="preserve">Say when you do not know: </w:t>
      </w:r>
      <w:r>
        <w:rPr>
          <w:rFonts w:ascii="Calibri" w:hAnsi="Calibri"/>
          <w:color w:val="22333B"/>
          <w:sz w:val="19"/>
        </w:rPr>
        <w:t>a confident wrong answer in this field causes real harm. “I would want to check that” earns more respect than a guess.</w:t>
      </w:r>
    </w:p>
    <w:p>
      <w:pPr>
        <w:pageBreakBefore/>
        <w:spacing w:after="40" w:before="0"/>
      </w:pPr>
      <w:r>
        <w:rPr>
          <w:rFonts w:ascii="Calibri" w:hAnsi="Calibri"/>
          <w:b/>
          <w:color w:val="A83A3C"/>
          <w:sz w:val="17"/>
          <w:spacing w:val="30"/>
        </w:rPr>
        <w:t>ANSWER KEY  ·  WORKING SESSION 1</w:t>
      </w:r>
    </w:p>
    <w:p>
      <w:pPr>
        <w:spacing w:after="80" w:before="0"/>
      </w:pPr>
      <w:r>
        <w:rPr>
          <w:rFonts w:ascii="Cambria" w:hAnsi="Cambria"/>
          <w:b/>
          <w:color w:val="1B3A4B"/>
          <w:sz w:val="36"/>
        </w:rPr>
        <w:t>One device, four classifications</w:t>
      </w:r>
    </w:p>
    <w:p>
      <w:pPr>
        <w:spacing w:before="120" w:after="120"/>
        <w:pBdr>
          <w:bottom w:val="single" w:sz="6" w:space="1" w:color="D7E2E5"/>
        </w:pBdr>
      </w:pPr>
    </w:p>
    <w:p>
      <w:pPr>
        <w:spacing w:after="100"/>
      </w:pPr>
      <w:r>
        <w:rPr>
          <w:rFonts w:ascii="Calibri" w:hAnsi="Calibri"/>
          <w:b w:val="0"/>
          <w:i/>
          <w:color w:val="4E626D"/>
          <w:sz w:val="20"/>
        </w:rPr>
        <w:t>10 minutes: 1 min setup, 7 min table work, 3 min debrief. Tell them up front that question 3 is the one you will push on — it focuses the table work.</w:t>
      </w:r>
    </w:p>
    <w:p>
      <w:pPr>
        <w:spacing w:after="100"/>
      </w:pPr>
      <w:r>
        <w:rPr>
          <w:rFonts w:ascii="Calibri" w:hAnsi="Calibri"/>
          <w:b w:val="0"/>
          <w:i w:val="0"/>
          <w:color w:val="22333B"/>
          <w:sz w:val="19"/>
        </w:rPr>
        <w:t>The slide's “what you are not told” panel is deliberate. The brief withholds the exact wording of the intended purpose, whether the algorithm is placed on the market separately, and whether the patch is supplied sterile — the three things a competent regulatory lead would establish before classifying anything. If a table asks, answer in character and stay consistent. If nobody asks, raise it in the debrief.</w:t>
      </w:r>
    </w:p>
    <w:p>
      <w:pPr>
        <w:keepNext/>
        <w:spacing w:after="80" w:before="180"/>
      </w:pPr>
      <w:r>
        <w:rPr>
          <w:rFonts w:ascii="Cambria" w:hAnsi="Cambria"/>
          <w:b/>
          <w:color w:val="1B3A4B"/>
          <w:sz w:val="26"/>
        </w:rPr>
        <w:t>Q1 — Split the product into its regulated parts</w:t>
      </w:r>
    </w:p>
    <w:p>
      <w:pPr>
        <w:spacing w:after="100"/>
      </w:pPr>
      <w:r>
        <w:rPr>
          <w:rFonts w:ascii="Calibri" w:hAnsi="Calibri"/>
          <w:b w:val="0"/>
          <w:i w:val="0"/>
          <w:color w:val="22333B"/>
          <w:sz w:val="19"/>
        </w:rPr>
        <w:t>There are at least two regulated things, and the most common error is treating the system as one device. Under MDR Annex VIII Chapter II, software is classified IN ITS OWN RIGHT.</w:t>
      </w: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1" w:type="dxa"/>
      </w:tblPr>
      <w:tblGrid>
        <w:gridCol w:w="2736"/>
        <w:gridCol w:w="3311"/>
        <w:gridCol w:w="3744"/>
      </w:tblGrid>
      <w:tr>
        <w:trPr>
          <w:cantSplit/>
        </w:trPr>
        <w:tc>
          <w:tcPr>
            <w:tcW w:type="dxa" w:w="2736"/>
            <w:shd w:val="clear" w:color="auto" w:fill="1B3A4B"/>
          </w:tcPr>
          <w:p>
            <w:pPr>
              <w:spacing w:after="40" w:before="40"/>
            </w:pPr>
            <w:r/>
            <w:r>
              <w:rPr>
                <w:rFonts w:ascii="Calibri" w:hAnsi="Calibri"/>
                <w:b/>
                <w:i w:val="0"/>
                <w:color w:val="FFFFFF"/>
                <w:sz w:val="18"/>
              </w:rPr>
              <w:t>Part</w:t>
            </w:r>
          </w:p>
        </w:tc>
        <w:tc>
          <w:tcPr>
            <w:tcW w:type="dxa" w:w="3312"/>
            <w:shd w:val="clear" w:color="auto" w:fill="1B3A4B"/>
          </w:tcPr>
          <w:p>
            <w:pPr>
              <w:spacing w:after="40" w:before="40"/>
            </w:pPr>
            <w:r/>
            <w:r>
              <w:rPr>
                <w:rFonts w:ascii="Calibri" w:hAnsi="Calibri"/>
                <w:b/>
                <w:i w:val="0"/>
                <w:color w:val="FFFFFF"/>
                <w:sz w:val="18"/>
              </w:rPr>
              <w:t>Position</w:t>
            </w:r>
          </w:p>
        </w:tc>
        <w:tc>
          <w:tcPr>
            <w:tcW w:type="dxa" w:w="3744"/>
            <w:shd w:val="clear" w:color="auto" w:fill="1B3A4B"/>
          </w:tcPr>
          <w:p>
            <w:pPr>
              <w:spacing w:after="40" w:before="40"/>
            </w:pPr>
            <w:r/>
            <w:r>
              <w:rPr>
                <w:rFonts w:ascii="Calibri" w:hAnsi="Calibri"/>
                <w:b/>
                <w:i w:val="0"/>
                <w:color w:val="FFFFFF"/>
                <w:sz w:val="18"/>
              </w:rPr>
              <w:t>The discussion</w:t>
            </w:r>
          </w:p>
        </w:tc>
      </w:tr>
      <w:tr>
        <w:trPr>
          <w:cantSplit/>
        </w:trPr>
        <w:tc>
          <w:tcPr>
            <w:tcW w:type="dxa" w:w="2736"/>
          </w:tcPr>
          <w:p>
            <w:pPr>
              <w:spacing w:after="40" w:before="40"/>
            </w:pPr>
            <w:r/>
            <w:r>
              <w:rPr>
                <w:rFonts w:ascii="Calibri" w:hAnsi="Calibri"/>
                <w:b/>
                <w:i w:val="0"/>
                <w:color w:val="22333B"/>
                <w:sz w:val="18"/>
              </w:rPr>
              <w:t>The adhesive patch</w:t>
            </w:r>
          </w:p>
        </w:tc>
        <w:tc>
          <w:tcPr>
            <w:tcW w:type="dxa" w:w="3312"/>
          </w:tcPr>
          <w:p>
            <w:pPr>
              <w:spacing w:after="40" w:before="40"/>
            </w:pPr>
            <w:r/>
            <w:r>
              <w:rPr>
                <w:rFonts w:ascii="Calibri" w:hAnsi="Calibri"/>
                <w:b w:val="0"/>
                <w:i w:val="0"/>
                <w:color w:val="22333B"/>
                <w:sz w:val="18"/>
              </w:rPr>
              <w:t>An active device that measures physiological parameters</w:t>
            </w:r>
          </w:p>
        </w:tc>
        <w:tc>
          <w:tcPr>
            <w:tcW w:type="dxa" w:w="3744"/>
          </w:tcPr>
          <w:p>
            <w:pPr>
              <w:spacing w:after="40" w:before="40"/>
            </w:pPr>
            <w:r/>
            <w:r>
              <w:rPr>
                <w:rFonts w:ascii="Calibri" w:hAnsi="Calibri"/>
                <w:b w:val="0"/>
                <w:i w:val="0"/>
                <w:color w:val="22333B"/>
                <w:sz w:val="18"/>
              </w:rPr>
              <w:t>Uncontroversial. Work the active-device rules.</w:t>
            </w:r>
          </w:p>
        </w:tc>
      </w:tr>
      <w:tr>
        <w:trPr>
          <w:cantSplit/>
        </w:trPr>
        <w:tc>
          <w:tcPr>
            <w:tcW w:type="dxa" w:w="2736"/>
          </w:tcPr>
          <w:p>
            <w:pPr>
              <w:spacing w:after="40" w:before="40"/>
            </w:pPr>
            <w:r/>
            <w:r>
              <w:rPr>
                <w:rFonts w:ascii="Calibri" w:hAnsi="Calibri"/>
                <w:b/>
                <w:i w:val="0"/>
                <w:color w:val="22333B"/>
                <w:sz w:val="18"/>
              </w:rPr>
              <w:t>The bedside gateway</w:t>
            </w:r>
          </w:p>
        </w:tc>
        <w:tc>
          <w:tcPr>
            <w:tcW w:type="dxa" w:w="3312"/>
          </w:tcPr>
          <w:p>
            <w:pPr>
              <w:spacing w:after="40" w:before="40"/>
            </w:pPr>
            <w:r/>
            <w:r>
              <w:rPr>
                <w:rFonts w:ascii="Calibri" w:hAnsi="Calibri"/>
                <w:b w:val="0"/>
                <w:i w:val="0"/>
                <w:color w:val="22333B"/>
                <w:sz w:val="18"/>
              </w:rPr>
              <w:t>Likely an accessory</w:t>
            </w:r>
          </w:p>
        </w:tc>
        <w:tc>
          <w:tcPr>
            <w:tcW w:type="dxa" w:w="3744"/>
          </w:tcPr>
          <w:p>
            <w:pPr>
              <w:spacing w:after="40" w:before="40"/>
            </w:pPr>
            <w:r/>
            <w:r>
              <w:rPr>
                <w:rFonts w:ascii="Calibri" w:hAnsi="Calibri"/>
                <w:b w:val="0"/>
                <w:i w:val="0"/>
                <w:color w:val="22333B"/>
                <w:sz w:val="18"/>
              </w:rPr>
              <w:t>Accessories classify in their own right, not with the parent. Make them say so.</w:t>
            </w:r>
          </w:p>
        </w:tc>
      </w:tr>
      <w:tr>
        <w:trPr>
          <w:cantSplit/>
        </w:trPr>
        <w:tc>
          <w:tcPr>
            <w:tcW w:type="dxa" w:w="2736"/>
          </w:tcPr>
          <w:p>
            <w:pPr>
              <w:spacing w:after="40" w:before="40"/>
            </w:pPr>
            <w:r/>
            <w:r>
              <w:rPr>
                <w:rFonts w:ascii="Calibri" w:hAnsi="Calibri"/>
                <w:b/>
                <w:i w:val="0"/>
                <w:color w:val="22333B"/>
                <w:sz w:val="18"/>
              </w:rPr>
              <w:t>The early-warning software</w:t>
            </w:r>
          </w:p>
        </w:tc>
        <w:tc>
          <w:tcPr>
            <w:tcW w:type="dxa" w:w="3312"/>
          </w:tcPr>
          <w:p>
            <w:pPr>
              <w:spacing w:after="40" w:before="40"/>
            </w:pPr>
            <w:r/>
            <w:r>
              <w:rPr>
                <w:rFonts w:ascii="Calibri" w:hAnsi="Calibri"/>
                <w:b/>
                <w:i w:val="0"/>
                <w:color w:val="A83A3C"/>
                <w:sz w:val="18"/>
              </w:rPr>
              <w:t>A device in its own right</w:t>
            </w:r>
          </w:p>
        </w:tc>
        <w:tc>
          <w:tcPr>
            <w:tcW w:type="dxa" w:w="3744"/>
          </w:tcPr>
          <w:p>
            <w:pPr>
              <w:spacing w:after="40" w:before="40"/>
            </w:pPr>
            <w:r/>
            <w:r>
              <w:rPr>
                <w:rFonts w:ascii="Calibri" w:hAnsi="Calibri"/>
                <w:b w:val="0"/>
                <w:i w:val="0"/>
                <w:color w:val="22333B"/>
                <w:sz w:val="18"/>
              </w:rPr>
              <w:t>This is where the exercise lives. Tables that give one class for “the system” have missed the mechanic.</w:t>
            </w:r>
          </w:p>
        </w:tc>
      </w:tr>
    </w:tbl>
    <w:p>
      <w:pPr>
        <w:keepNext/>
        <w:spacing w:after="80" w:before="180"/>
      </w:pPr>
      <w:r>
        <w:rPr>
          <w:rFonts w:ascii="Cambria" w:hAnsi="Cambria"/>
          <w:b/>
          <w:color w:val="1B3A4B"/>
          <w:sz w:val="26"/>
        </w:rPr>
        <w:t>Q2 — Classify under MDR Annex VIII</w:t>
      </w:r>
    </w:p>
    <w:p>
      <w:pPr>
        <w:spacing w:after="100"/>
      </w:pPr>
      <w:r>
        <w:rPr>
          <w:rFonts w:ascii="Calibri" w:hAnsi="Calibri"/>
          <w:b w:val="0"/>
          <w:i w:val="0"/>
          <w:color w:val="22333B"/>
          <w:sz w:val="19"/>
        </w:rPr>
        <w:t>The patch: an active device intended for monitoring physiological parameters. The software: Rule 11. It provides information used to take decisions for diagnostic or therapeutic purposes, so IIa at minimum. Then ask the question that decides it: what happens if it fails to raise an alert on a deteriorating patient? If the consequence is serious deterioration of health, that reads to IIb.</w:t>
      </w:r>
    </w:p>
    <w:p>
      <w:pPr>
        <w:spacing w:after="100"/>
      </w:pPr>
      <w:r>
        <w:rPr>
          <w:rFonts w:ascii="Calibri" w:hAnsi="Calibri"/>
          <w:b/>
          <w:i w:val="0"/>
          <w:color w:val="1B3A4B"/>
          <w:sz w:val="19"/>
        </w:rPr>
        <w:t>There is a genuine judgement here and no single right answer. What you are rewarding is a defensible chain of reasoning, written down. Push any table that asserts a class without one.</w:t>
      </w:r>
    </w:p>
    <w:p>
      <w:pPr>
        <w:keepNext/>
        <w:spacing w:after="80" w:before="180"/>
      </w:pPr>
      <w:r>
        <w:rPr>
          <w:rFonts w:ascii="Cambria" w:hAnsi="Cambria"/>
          <w:b/>
          <w:color w:val="1B3A4B"/>
          <w:sz w:val="26"/>
        </w:rPr>
        <w:t>Q3 — Now classify for Great Britain</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This is the point of the exercise</w:t>
            </w:r>
          </w:p>
          <w:p>
            <w:pPr>
              <w:spacing w:after="80"/>
            </w:pPr>
            <w:r>
              <w:rPr>
                <w:rFonts w:ascii="Calibri" w:hAnsi="Calibri"/>
                <w:color w:val="22333B"/>
                <w:sz w:val="19"/>
              </w:rPr>
              <w:t>Great Britain classifies under MDD Annex IX, as modified by Schedule 2A of the UK MDR 2002. The MDD has no Rule 11 — there is no dedicated software classification rule at all.</w:t>
            </w:r>
          </w:p>
          <w:p>
            <w:pPr>
              <w:spacing w:after="80"/>
            </w:pPr>
            <w:r>
              <w:rPr>
                <w:rFonts w:ascii="Calibri" w:hAnsi="Calibri"/>
                <w:color w:val="22333B"/>
                <w:sz w:val="19"/>
              </w:rPr>
              <w:t>So the early-warning software is not classified by a software rule in GB. It falls to be classified under the older active-device provisions, and it can land LOWER than it does under MDR.</w:t>
            </w:r>
          </w:p>
          <w:p>
            <w:pPr>
              <w:spacing w:after="80"/>
            </w:pPr>
            <w:r>
              <w:rPr>
                <w:rFonts w:ascii="Calibri" w:hAnsi="Calibri"/>
                <w:color w:val="22333B"/>
                <w:sz w:val="19"/>
              </w:rPr>
              <w:t>Same product, same intended purpose, different class either side of the Channel. Let that land — it is the bridge into Part 3, and slide 33 pays it off explicitly.</w:t>
            </w:r>
          </w:p>
        </w:tc>
      </w:tr>
    </w:tbl>
    <w:p>
      <w:pPr>
        <w:spacing w:after="100" w:before="0" w:line="240" w:lineRule="auto"/>
      </w:pPr>
      <w:r>
        <w:rPr>
          <w:sz w:val="2"/>
        </w:rPr>
      </w:r>
    </w:p>
    <w:p>
      <w:pPr>
        <w:keepNext/>
        <w:spacing w:after="80" w:before="180"/>
      </w:pPr>
      <w:r>
        <w:rPr>
          <w:rFonts w:ascii="Cambria" w:hAnsi="Cambria"/>
          <w:b/>
          <w:color w:val="1B3A4B"/>
          <w:sz w:val="26"/>
        </w:rPr>
        <w:t>Q4 — The EU conformity assessment route</w:t>
      </w:r>
    </w:p>
    <w:p>
      <w:pPr>
        <w:spacing w:after="100"/>
      </w:pPr>
      <w:r>
        <w:rPr>
          <w:rFonts w:ascii="Calibri" w:hAnsi="Calibri"/>
          <w:b w:val="0"/>
          <w:i w:val="0"/>
          <w:color w:val="22333B"/>
          <w:sz w:val="19"/>
        </w:rPr>
        <w:t>Annex IX is the expected answer: the notified body audits the quality system and assesses technical documentation on a representative basis. Accept Annex X plus XI if a table argues it coherently for a single-product company.</w:t>
      </w:r>
    </w:p>
    <w:p>
      <w:pPr>
        <w:keepNext/>
        <w:spacing w:after="80" w:before="180"/>
      </w:pPr>
      <w:r>
        <w:rPr>
          <w:rFonts w:ascii="Cambria" w:hAnsi="Cambria"/>
          <w:b/>
          <w:color w:val="1B3A4B"/>
          <w:sz w:val="26"/>
        </w:rPr>
        <w:t>Q5 — Japan</w:t>
      </w:r>
    </w:p>
    <w:p>
      <w:pPr>
        <w:spacing w:after="100"/>
      </w:pPr>
      <w:r>
        <w:rPr>
          <w:rFonts w:ascii="Calibri" w:hAnsi="Calibri"/>
          <w:b w:val="0"/>
          <w:i w:val="0"/>
          <w:color w:val="22333B"/>
          <w:sz w:val="19"/>
        </w:rPr>
        <w:t>The correct answer is “I cannot answer yet.” Japan's class follows the JMDN code, so the first step is identifying the code; only then does the Ninsho versus Shonin question resolve. Reward the table that says it needs more information rather than guessing — that is the right professional instinct, and it sets up slide 41.</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FBEDED"/>
          </w:tcPr>
          <w:p>
            <w:pPr>
              <w:spacing w:after="60" w:before="80"/>
            </w:pPr>
            <w:r/>
            <w:r>
              <w:rPr>
                <w:rFonts w:ascii="Calibri" w:hAnsi="Calibri"/>
                <w:b/>
                <w:color w:val="A83A3C"/>
                <w:sz w:val="20"/>
              </w:rPr>
              <w:t>If you are short on time</w:t>
            </w:r>
          </w:p>
          <w:p>
            <w:pPr>
              <w:spacing w:after="80"/>
            </w:pPr>
            <w:r>
              <w:rPr>
                <w:rFonts w:ascii="Calibri" w:hAnsi="Calibri"/>
                <w:color w:val="22333B"/>
                <w:sz w:val="19"/>
              </w:rPr>
              <w:t>Drop Q4 and Q5 and set them as reading. Do NOT drop Q3 — the EU/UK divergence is the value of this exercise.</w:t>
            </w:r>
          </w:p>
        </w:tc>
      </w:tr>
    </w:tbl>
    <w:p>
      <w:pPr>
        <w:spacing w:after="100" w:before="0" w:line="240" w:lineRule="auto"/>
      </w:pPr>
      <w:r>
        <w:rPr>
          <w:sz w:val="2"/>
        </w:rPr>
      </w:r>
    </w:p>
    <w:p>
      <w:pPr>
        <w:keepNext/>
        <w:spacing w:after="80" w:before="180"/>
      </w:pPr>
      <w:r>
        <w:rPr>
          <w:rFonts w:ascii="Cambria" w:hAnsi="Cambria"/>
          <w:b/>
          <w:color w:val="1B3A4B"/>
          <w:sz w:val="26"/>
        </w:rPr>
        <w:t>Capture the room's answers</w:t>
      </w:r>
    </w:p>
    <w:p>
      <w:pPr>
        <w:spacing w:after="100"/>
      </w:pPr>
      <w:r>
        <w:rPr>
          <w:rFonts w:ascii="Calibri" w:hAnsi="Calibri"/>
          <w:b w:val="0"/>
          <w:i w:val="0"/>
          <w:color w:val="22333B"/>
          <w:sz w:val="19"/>
        </w:rPr>
        <w:t>Question 3 is the one that transfers. Write up what the tables concluded about the EU/UK divergence and carry it into Part 3 — slide 33 pays it off explicitly, and referring back to what this room said lands far better than referring to the slide.</w:t>
      </w:r>
    </w:p>
    <w:p>
      <w:pPr>
        <w:keepNext/>
        <w:spacing w:after="60"/>
      </w:pPr>
      <w:r>
        <w:rPr>
          <w:rFonts w:ascii="Calibri" w:hAnsi="Calibri"/>
          <w:b w:val="0"/>
          <w:i/>
          <w:color w:val="4E626D"/>
          <w:sz w:val="18"/>
        </w:rPr>
        <w:t>What this room actually said:</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A83A3C"/>
          <w:sz w:val="17"/>
          <w:spacing w:val="30"/>
        </w:rPr>
        <w:t>ANSWER KEY  ·  WORKING SESSION 2</w:t>
      </w:r>
    </w:p>
    <w:p>
      <w:pPr>
        <w:spacing w:after="80" w:before="0"/>
      </w:pPr>
      <w:r>
        <w:rPr>
          <w:rFonts w:ascii="Cambria" w:hAnsi="Cambria"/>
          <w:b/>
          <w:color w:val="1B3A4B"/>
          <w:sz w:val="36"/>
        </w:rPr>
        <w:t>Eighteen months of runway</w:t>
      </w:r>
    </w:p>
    <w:p>
      <w:pPr>
        <w:spacing w:before="120" w:after="120"/>
        <w:pBdr>
          <w:bottom w:val="single" w:sz="6" w:space="1" w:color="D7E2E5"/>
        </w:pBdr>
      </w:pPr>
    </w:p>
    <w:p>
      <w:pPr>
        <w:spacing w:after="100"/>
      </w:pPr>
      <w:r>
        <w:rPr>
          <w:rFonts w:ascii="Calibri" w:hAnsi="Calibri"/>
          <w:b w:val="0"/>
          <w:i/>
          <w:color w:val="4E626D"/>
          <w:sz w:val="20"/>
        </w:rPr>
        <w:t>10 minutes, facilitator-paced: 1 min setup, three rounds of 3 minutes, and the debrief folds into the opening of Part 5. Read the scenario aloud yourself. Keep the rounds tight.</w:t>
      </w:r>
    </w:p>
    <w:p>
      <w:pPr>
        <w:keepNext/>
        <w:spacing w:after="80" w:before="180"/>
      </w:pPr>
      <w:r>
        <w:rPr>
          <w:rFonts w:ascii="Cambria" w:hAnsi="Cambria"/>
          <w:b/>
          <w:color w:val="1B3A4B"/>
          <w:sz w:val="26"/>
        </w:rPr>
        <w:t>Round 1 — sequence it</w:t>
      </w:r>
    </w:p>
    <w:p>
      <w:pPr>
        <w:pStyle w:val="ListBullet"/>
        <w:spacing w:after="50" w:line="254" w:lineRule="auto"/>
        <w:ind w:left="576"/>
      </w:pPr>
      <w:r>
        <w:rPr>
          <w:rFonts w:ascii="Calibri" w:hAnsi="Calibri"/>
          <w:b/>
          <w:color w:val="1B3A4B"/>
          <w:sz w:val="19"/>
        </w:rPr>
        <w:t xml:space="preserve">The conventional answer: </w:t>
      </w:r>
      <w:r>
        <w:rPr>
          <w:rFonts w:ascii="Calibri" w:hAnsi="Calibri"/>
          <w:color w:val="22333B"/>
          <w:sz w:val="19"/>
        </w:rPr>
        <w:t>Europe first, because it is the largest and hardest market so everything else follows. It is a legitimate answer and for a well-funded company it is the right one.</w:t>
      </w:r>
    </w:p>
    <w:p>
      <w:pPr>
        <w:pStyle w:val="ListBullet"/>
        <w:spacing w:after="50" w:line="254" w:lineRule="auto"/>
        <w:ind w:left="576"/>
      </w:pPr>
      <w:r>
        <w:rPr>
          <w:rFonts w:ascii="Calibri" w:hAnsi="Calibri"/>
          <w:b/>
          <w:color w:val="1B3A4B"/>
          <w:sz w:val="19"/>
        </w:rPr>
        <w:t xml:space="preserve">The interesting answer: </w:t>
      </w:r>
      <w:r>
        <w:rPr>
          <w:rFonts w:ascii="Calibri" w:hAnsi="Calibri"/>
          <w:color w:val="22333B"/>
          <w:sz w:val="19"/>
        </w:rPr>
        <w:t>Great Britain first. A CE certificate is not required there yet, so the incremental work is MHRA registration and a UK Responsible Person — weeks, not quarters. That produces international revenue in this financial year, which is what the board actually asked for. Reward the table that spots it.</w:t>
      </w:r>
    </w:p>
    <w:p>
      <w:pPr>
        <w:pStyle w:val="ListBullet"/>
        <w:spacing w:after="50" w:line="254" w:lineRule="auto"/>
        <w:ind w:left="576"/>
      </w:pPr>
      <w:r>
        <w:rPr>
          <w:rFonts w:ascii="Calibri" w:hAnsi="Calibri"/>
          <w:b/>
          <w:color w:val="1B3A4B"/>
          <w:sz w:val="19"/>
        </w:rPr>
        <w:t xml:space="preserve">But press on it: </w:t>
      </w:r>
      <w:r>
        <w:rPr>
          <w:rFonts w:ascii="Calibri" w:hAnsi="Calibri"/>
          <w:color w:val="22333B"/>
          <w:sz w:val="19"/>
        </w:rPr>
        <w:t>note they cannot sell in GB on a CE mark they do not yet hold. So GB-first means either UKCA, or waiting. That is the genuinely interesting decision.</w:t>
      </w:r>
    </w:p>
    <w:p>
      <w:pPr>
        <w:pStyle w:val="ListBullet"/>
        <w:spacing w:after="50" w:line="254" w:lineRule="auto"/>
        <w:ind w:left="576"/>
      </w:pPr>
      <w:r>
        <w:rPr>
          <w:rFonts w:ascii="Calibri" w:hAnsi="Calibri"/>
          <w:b/>
          <w:color w:val="1B3A4B"/>
          <w:sz w:val="19"/>
        </w:rPr>
        <w:t xml:space="preserve">What to tell the board: </w:t>
      </w:r>
      <w:r>
        <w:rPr>
          <w:rFonts w:ascii="Calibri" w:hAnsi="Calibri"/>
          <w:color w:val="22333B"/>
          <w:sz w:val="19"/>
        </w:rPr>
        <w:t>the honest answer is that EU revenue this financial year is not achievable, and saying so now is far better than saying it in nine months.</w:t>
      </w:r>
    </w:p>
    <w:p>
      <w:pPr>
        <w:pStyle w:val="ListBullet"/>
        <w:spacing w:after="50" w:line="254" w:lineRule="auto"/>
        <w:ind w:left="576"/>
      </w:pPr>
      <w:r>
        <w:rPr>
          <w:rFonts w:ascii="Calibri" w:hAnsi="Calibri"/>
          <w:b/>
          <w:color w:val="1B3A4B"/>
          <w:sz w:val="19"/>
        </w:rPr>
        <w:t xml:space="preserve">The hire: </w:t>
      </w:r>
      <w:r>
        <w:rPr>
          <w:rFonts w:ascii="Calibri" w:hAnsi="Calibri"/>
          <w:color w:val="22333B"/>
          <w:sz w:val="19"/>
        </w:rPr>
        <w:t>“someone who has taken a device through an MDR clinical evaluation” shows they have understood where the risk is. “A generalist” has not.</w:t>
      </w:r>
    </w:p>
    <w:p>
      <w:pPr>
        <w:keepNext/>
        <w:spacing w:after="80" w:before="180"/>
      </w:pPr>
      <w:r>
        <w:rPr>
          <w:rFonts w:ascii="Cambria" w:hAnsi="Cambria"/>
          <w:b/>
          <w:color w:val="1B3A4B"/>
          <w:sz w:val="26"/>
        </w:rPr>
        <w:t>Round 2 — find what breaks</w:t>
      </w:r>
    </w:p>
    <w:p>
      <w:pPr>
        <w:spacing w:after="100"/>
      </w:pPr>
      <w:r>
        <w:rPr>
          <w:rFonts w:ascii="Calibri" w:hAnsi="Calibri"/>
          <w:b w:val="0"/>
          <w:i w:val="0"/>
          <w:color w:val="22333B"/>
          <w:sz w:val="19"/>
        </w:rPr>
        <w:t>The clinical evidence is the crux. Bench testing and a 60-patient usability study will not carry an MDR clinical evaluation for a device making a deterioration-detection claim. They need a clinical strategy, and that is measured in quarters.</w:t>
      </w:r>
    </w:p>
    <w:p>
      <w:pPr>
        <w:spacing w:after="100"/>
      </w:pPr>
      <w:r>
        <w:rPr>
          <w:rFonts w:ascii="Calibri" w:hAnsi="Calibri"/>
          <w:b w:val="0"/>
          <w:i w:val="0"/>
          <w:color w:val="22333B"/>
          <w:sz w:val="19"/>
        </w:rPr>
        <w:t>On the earliest realistic EU date: make them add it up — clinical strategy, notified body contracting, queue, assessment, findings. Any table answering under a year has not been listening.</w:t>
      </w:r>
    </w:p>
    <w:p>
      <w:pPr>
        <w:keepNext/>
        <w:spacing w:after="80" w:before="180"/>
      </w:pPr>
      <w:r>
        <w:rPr>
          <w:rFonts w:ascii="Cambria" w:hAnsi="Cambria"/>
          <w:b/>
          <w:color w:val="1B3A4B"/>
          <w:sz w:val="26"/>
        </w:rPr>
        <w:t>Round 3 — the decisions you cannot reverse</w:t>
      </w:r>
    </w:p>
    <w:p>
      <w:pPr>
        <w:pStyle w:val="ListBullet"/>
        <w:spacing w:after="50" w:line="254" w:lineRule="auto"/>
        <w:ind w:left="576"/>
      </w:pPr>
      <w:r>
        <w:rPr>
          <w:rFonts w:ascii="Calibri" w:hAnsi="Calibri"/>
          <w:b/>
          <w:color w:val="1B3A4B"/>
          <w:sz w:val="19"/>
        </w:rPr>
        <w:t xml:space="preserve">The DMAH offer: </w:t>
      </w:r>
      <w:r>
        <w:rPr>
          <w:rFonts w:ascii="Calibri" w:hAnsi="Calibri"/>
          <w:color w:val="22333B"/>
          <w:sz w:val="19"/>
        </w:rPr>
        <w:t>“at no cost” means the distributor holds the marketing authorisation. Do not refuse it — negotiate transfer terms into the agreement now, while everyone is friendly.</w:t>
      </w:r>
    </w:p>
    <w:p>
      <w:pPr>
        <w:pStyle w:val="ListBullet"/>
        <w:spacing w:after="50" w:line="254" w:lineRule="auto"/>
        <w:ind w:left="576"/>
      </w:pPr>
      <w:r>
        <w:rPr>
          <w:rFonts w:ascii="Calibri" w:hAnsi="Calibri"/>
          <w:b/>
          <w:color w:val="1B3A4B"/>
          <w:sz w:val="19"/>
        </w:rPr>
        <w:t xml:space="preserve">Next 30 days: </w:t>
      </w:r>
      <w:r>
        <w:rPr>
          <w:rFonts w:ascii="Calibri" w:hAnsi="Calibri"/>
          <w:color w:val="22333B"/>
          <w:sz w:val="19"/>
        </w:rPr>
        <w:t>classification determinations in writing for each market, a decision on the clinical strategy, and opening a notified body conversation. Everything else can wait.</w:t>
      </w:r>
    </w:p>
    <w:p>
      <w:pPr>
        <w:pStyle w:val="ListBullet"/>
        <w:spacing w:after="50" w:line="254" w:lineRule="auto"/>
        <w:ind w:left="576"/>
      </w:pPr>
      <w:r>
        <w:rPr>
          <w:rFonts w:ascii="Calibri" w:hAnsi="Calibri"/>
          <w:b/>
          <w:color w:val="1B3A4B"/>
          <w:sz w:val="19"/>
        </w:rPr>
        <w:t xml:space="preserve">What would you refuse: </w:t>
      </w:r>
      <w:r>
        <w:rPr>
          <w:rFonts w:ascii="Calibri" w:hAnsi="Calibri"/>
          <w:color w:val="22333B"/>
          <w:sz w:val="19"/>
        </w:rPr>
        <w:t>the professional-judgement question. Good answers: refusing to promise EU revenue this year; refusing to sign a DMAH agreement with no transfer clause; refusing to make a claim the evidence will not support.</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The transition into Part 5</w:t>
            </w:r>
          </w:p>
          <w:p>
            <w:pPr>
              <w:spacing w:after="80"/>
            </w:pPr>
            <w:r>
              <w:rPr>
                <w:rFonts w:ascii="Calibri" w:hAnsi="Calibri"/>
                <w:color w:val="22333B"/>
                <w:sz w:val="19"/>
              </w:rPr>
              <w:t>Take round 3's last question from two or three tables and write the answers up. Then: “Everything you just decided is what Part 5 is about — and the ones you flagged as irreversible are the ones worth the most attention.”</w:t>
            </w:r>
          </w:p>
        </w:tc>
      </w:tr>
    </w:tbl>
    <w:p>
      <w:pPr>
        <w:spacing w:after="100" w:before="0" w:line="240" w:lineRule="auto"/>
      </w:pPr>
      <w:r>
        <w:rPr>
          <w:sz w:val="2"/>
        </w:rPr>
      </w:r>
    </w:p>
    <w:p>
      <w:pPr>
        <w:keepNext/>
        <w:spacing w:after="60"/>
      </w:pPr>
      <w:r>
        <w:rPr>
          <w:rFonts w:ascii="Calibri" w:hAnsi="Calibri"/>
          <w:b w:val="0"/>
          <w:i/>
          <w:color w:val="4E626D"/>
          <w:sz w:val="18"/>
        </w:rPr>
        <w:t>What the room added — carry it straight into slide 50:</w:t>
      </w:r>
    </w:p>
    <w:tbl>
      <w:tblPr>
        <w:tblW w:type="auto" w:w="0"/>
        <w:tblLayout w:type="fixed"/>
        <w:tblLook w:firstColumn="1" w:firstRow="1" w:lastColumn="0" w:lastRow="0" w:noHBand="0" w:noVBand="1" w:val="04A0"/>
        <w:tblBorders>
          <w:top w:val="none"/>
          <w:left w:val="none"/>
          <w:right w:val="none"/>
          <w:insideV w:val="none"/>
          <w:bottom w:val="single" w:sz="4" w:space="0" w:color="C8D6DA"/>
          <w:insideH w:val="single" w:sz="4" w:space="0" w:color="C8D6DA"/>
        </w:tblBorders>
      </w:tblPr>
      <w:tblGrid>
        <w:gridCol w:w="9792"/>
      </w:tblGrid>
      <w:tr>
        <w:trPr>
          <w:cantSplit/>
        </w:trPr>
        <w:tc>
          <w:tcPr>
            <w:tcW w:type="dxa" w:w="9792"/>
          </w:tcPr>
          <w:p>
            <w:pPr>
              <w:spacing w:after="180" w:before="180"/>
            </w:pPr>
            <w:r/>
          </w:p>
        </w:tc>
      </w:tr>
      <w:tr>
        <w:trPr>
          <w:cantSplit/>
        </w:trPr>
        <w:tc>
          <w:tcPr>
            <w:tcW w:type="dxa" w:w="9792"/>
          </w:tcPr>
          <w:p>
            <w:pPr>
              <w:spacing w:after="180" w:before="180"/>
            </w:pPr>
            <w:r/>
          </w:p>
        </w:tc>
      </w:tr>
      <w:tr>
        <w:trPr>
          <w:cantSplit/>
        </w:trPr>
        <w:tc>
          <w:tcPr>
            <w:tcW w:type="dxa" w:w="9792"/>
          </w:tcPr>
          <w:p>
            <w:pPr>
              <w:spacing w:after="180" w:before="180"/>
            </w:pPr>
            <w:r/>
          </w:p>
        </w:tc>
      </w:tr>
    </w:tbl>
    <w:p>
      <w:pPr>
        <w:spacing w:after="80" w:before="0" w:line="240" w:lineRule="auto"/>
      </w:pPr>
      <w:r>
        <w:rPr>
          <w:sz w:val="2"/>
        </w:rPr>
      </w:r>
    </w:p>
    <w:p>
      <w:pPr>
        <w:pageBreakBefore/>
        <w:spacing w:after="40" w:before="0"/>
      </w:pPr>
      <w:r>
        <w:rPr>
          <w:rFonts w:ascii="Calibri" w:hAnsi="Calibri"/>
          <w:b/>
          <w:color w:val="0E7C7B"/>
          <w:sz w:val="17"/>
          <w:spacing w:val="30"/>
        </w:rPr>
        <w:t>QUESTIONS AND CLOSING</w:t>
      </w:r>
    </w:p>
    <w:p>
      <w:pPr>
        <w:spacing w:after="80" w:before="0"/>
      </w:pPr>
      <w:r>
        <w:rPr>
          <w:rFonts w:ascii="Cambria" w:hAnsi="Cambria"/>
          <w:b/>
          <w:color w:val="1B3A4B"/>
          <w:sz w:val="36"/>
        </w:rPr>
        <w:t>Questions you should expect</w:t>
      </w:r>
    </w:p>
    <w:p>
      <w:pPr>
        <w:spacing w:before="120" w:after="160"/>
        <w:pBdr>
          <w:bottom w:val="single" w:sz="6" w:space="1" w:color="D7E2E5"/>
        </w:pBdr>
      </w:pPr>
    </w:p>
    <w:tbl>
      <w:tblPr>
        <w:tblW w:type="auto" w:w="0"/>
        <w:jc w:val="left"/>
        <w:tblLayout w:type="fixed"/>
        <w:tblLook w:firstColumn="1" w:firstRow="1" w:lastColumn="0" w:lastRow="0" w:noHBand="0" w:noVBand="1" w:val="04A0"/>
        <w:tblBorders>
          <w:top w:val="single" w:sz="6" w:space="0" w:color="D7E2E5"/>
          <w:left w:val="single" w:sz="6" w:space="0" w:color="D7E2E5"/>
          <w:bottom w:val="single" w:sz="6" w:space="0" w:color="D7E2E5"/>
          <w:right w:val="single" w:sz="6" w:space="0" w:color="D7E2E5"/>
          <w:insideH w:val="single" w:sz="6" w:space="0" w:color="D7E2E5"/>
          <w:insideV w:val="single" w:sz="6" w:space="0" w:color="D7E2E5"/>
        </w:tblBorders>
        <w:tblLayout w:type="fixed"/>
        <w:tblW w:w="9792" w:type="dxa"/>
      </w:tblPr>
      <w:tblGrid>
        <w:gridCol w:w="3168"/>
        <w:gridCol w:w="6623"/>
      </w:tblGrid>
      <w:tr>
        <w:trPr>
          <w:cantSplit/>
          <w:tblHeader/>
        </w:trPr>
        <w:tc>
          <w:tcPr>
            <w:tcW w:type="dxa" w:w="3168"/>
            <w:shd w:val="clear" w:color="auto" w:fill="1B3A4B"/>
          </w:tcPr>
          <w:p>
            <w:pPr>
              <w:spacing w:after="40" w:before="40"/>
            </w:pPr>
            <w:r/>
            <w:r>
              <w:rPr>
                <w:rFonts w:ascii="Calibri" w:hAnsi="Calibri"/>
                <w:b/>
                <w:i w:val="0"/>
                <w:color w:val="FFFFFF"/>
                <w:sz w:val="18"/>
              </w:rPr>
              <w:t>Question</w:t>
            </w:r>
          </w:p>
        </w:tc>
        <w:tc>
          <w:tcPr>
            <w:tcW w:type="dxa" w:w="6624"/>
            <w:shd w:val="clear" w:color="auto" w:fill="1B3A4B"/>
          </w:tcPr>
          <w:p>
            <w:pPr>
              <w:spacing w:after="40" w:before="40"/>
            </w:pPr>
            <w:r/>
            <w:r>
              <w:rPr>
                <w:rFonts w:ascii="Calibri" w:hAnsi="Calibri"/>
                <w:b/>
                <w:i w:val="0"/>
                <w:color w:val="FFFFFF"/>
                <w:sz w:val="18"/>
              </w:rPr>
              <w:t>How to handle it</w:t>
            </w:r>
          </w:p>
        </w:tc>
      </w:tr>
      <w:tr>
        <w:trPr>
          <w:cantSplit/>
        </w:trPr>
        <w:tc>
          <w:tcPr>
            <w:tcW w:type="dxa" w:w="3168"/>
          </w:tcPr>
          <w:p>
            <w:pPr>
              <w:spacing w:after="40" w:before="40"/>
            </w:pPr>
            <w:r/>
            <w:r>
              <w:rPr>
                <w:rFonts w:ascii="Calibri" w:hAnsi="Calibri"/>
                <w:b/>
                <w:i w:val="0"/>
                <w:color w:val="22333B"/>
                <w:sz w:val="18"/>
              </w:rPr>
              <w:t>“Should we do UKCA?”</w:t>
            </w:r>
          </w:p>
        </w:tc>
        <w:tc>
          <w:tcPr>
            <w:tcW w:type="dxa" w:w="6624"/>
          </w:tcPr>
          <w:p>
            <w:pPr>
              <w:spacing w:after="40" w:before="40"/>
            </w:pPr>
            <w:r/>
            <w:r>
              <w:rPr>
                <w:rFonts w:ascii="Calibri" w:hAnsi="Calibri"/>
                <w:b w:val="0"/>
                <w:i w:val="0"/>
                <w:color w:val="22333B"/>
                <w:sz w:val="18"/>
              </w:rPr>
              <w:t>Walk the logic rather than answering. Do you hold or expect a CE certificate? Do you sell in Northern Ireland? When does your current marking stop being accepted in GB? For most manufacturers with an EU route the answer today is no — but give the reasoning, and name the exceptions (UK-only businesses, and anyone who cannot get a notified body slot).</w:t>
            </w:r>
          </w:p>
        </w:tc>
      </w:tr>
      <w:tr>
        <w:trPr>
          <w:cantSplit/>
        </w:trPr>
        <w:tc>
          <w:tcPr>
            <w:tcW w:type="dxa" w:w="3168"/>
          </w:tcPr>
          <w:p>
            <w:pPr>
              <w:spacing w:after="40" w:before="40"/>
            </w:pPr>
            <w:r/>
            <w:r>
              <w:rPr>
                <w:rFonts w:ascii="Calibri" w:hAnsi="Calibri"/>
                <w:b/>
                <w:i w:val="0"/>
                <w:color w:val="22333B"/>
                <w:sz w:val="18"/>
              </w:rPr>
              <w:t>“Does our FDA clearance help in Europe?”</w:t>
            </w:r>
          </w:p>
        </w:tc>
        <w:tc>
          <w:tcPr>
            <w:tcW w:type="dxa" w:w="6624"/>
          </w:tcPr>
          <w:p>
            <w:pPr>
              <w:spacing w:after="40" w:before="40"/>
            </w:pPr>
            <w:r/>
            <w:r>
              <w:rPr>
                <w:rFonts w:ascii="Calibri" w:hAnsi="Calibri"/>
                <w:b w:val="0"/>
                <w:i w:val="0"/>
                <w:color w:val="22333B"/>
                <w:sz w:val="18"/>
              </w:rPr>
              <w:t>It helps with the engineering evidence and not at all with the regulatory question. A 510(k) answers a comparative question; MDR asks an absolute one. Be clear and kind — it is often unwelcome news.</w:t>
            </w:r>
          </w:p>
        </w:tc>
      </w:tr>
      <w:tr>
        <w:trPr>
          <w:cantSplit/>
        </w:trPr>
        <w:tc>
          <w:tcPr>
            <w:tcW w:type="dxa" w:w="3168"/>
          </w:tcPr>
          <w:p>
            <w:pPr>
              <w:spacing w:after="40" w:before="40"/>
            </w:pPr>
            <w:r/>
            <w:r>
              <w:rPr>
                <w:rFonts w:ascii="Calibri" w:hAnsi="Calibri"/>
                <w:b/>
                <w:i w:val="0"/>
                <w:color w:val="22333B"/>
                <w:sz w:val="18"/>
              </w:rPr>
              <w:t>“Should we wait for the MDR simplification?”</w:t>
            </w:r>
          </w:p>
        </w:tc>
        <w:tc>
          <w:tcPr>
            <w:tcW w:type="dxa" w:w="6624"/>
          </w:tcPr>
          <w:p>
            <w:pPr>
              <w:spacing w:after="40" w:before="40"/>
            </w:pPr>
            <w:r/>
            <w:r>
              <w:rPr>
                <w:rFonts w:ascii="Calibri" w:hAnsi="Calibri"/>
                <w:b w:val="0"/>
                <w:i w:val="0"/>
                <w:color w:val="22333B"/>
                <w:sz w:val="18"/>
              </w:rPr>
              <w:t>No, and explain the asymmetry: if it passes it will pass amended and with its own transition; if it does not, you have lost two years. Track it, plan on current law.</w:t>
            </w:r>
          </w:p>
        </w:tc>
      </w:tr>
      <w:tr>
        <w:trPr>
          <w:cantSplit/>
        </w:trPr>
        <w:tc>
          <w:tcPr>
            <w:tcW w:type="dxa" w:w="3168"/>
          </w:tcPr>
          <w:p>
            <w:pPr>
              <w:spacing w:after="40" w:before="40"/>
            </w:pPr>
            <w:r/>
            <w:r>
              <w:rPr>
                <w:rFonts w:ascii="Calibri" w:hAnsi="Calibri"/>
                <w:b/>
                <w:i w:val="0"/>
                <w:color w:val="22333B"/>
                <w:sz w:val="18"/>
              </w:rPr>
              <w:t>“How much does it cost?”</w:t>
            </w:r>
          </w:p>
        </w:tc>
        <w:tc>
          <w:tcPr>
            <w:tcW w:type="dxa" w:w="6624"/>
          </w:tcPr>
          <w:p>
            <w:pPr>
              <w:spacing w:after="40" w:before="40"/>
            </w:pPr>
            <w:r/>
            <w:r>
              <w:rPr>
                <w:rFonts w:ascii="Calibri" w:hAnsi="Calibri"/>
                <w:b w:val="0"/>
                <w:i w:val="0"/>
                <w:color w:val="22333B"/>
                <w:sz w:val="18"/>
              </w:rPr>
              <w:t>Give ranges with heavy caveats or decline politely. Costs vary by class, notified body, file quality and portfolio. A confident number from the platform will be quoted back at you.</w:t>
            </w:r>
          </w:p>
        </w:tc>
      </w:tr>
      <w:tr>
        <w:trPr>
          <w:cantSplit/>
        </w:trPr>
        <w:tc>
          <w:tcPr>
            <w:tcW w:type="dxa" w:w="3168"/>
          </w:tcPr>
          <w:p>
            <w:pPr>
              <w:spacing w:after="40" w:before="40"/>
            </w:pPr>
            <w:r/>
            <w:r>
              <w:rPr>
                <w:rFonts w:ascii="Calibri" w:hAnsi="Calibri"/>
                <w:b/>
                <w:i w:val="0"/>
                <w:color w:val="22333B"/>
                <w:sz w:val="18"/>
              </w:rPr>
              <w:t>“Can our EU Authorised Representative be our UK Responsible Person?”</w:t>
            </w:r>
          </w:p>
        </w:tc>
        <w:tc>
          <w:tcPr>
            <w:tcW w:type="dxa" w:w="6624"/>
          </w:tcPr>
          <w:p>
            <w:pPr>
              <w:spacing w:after="40" w:before="40"/>
            </w:pPr>
            <w:r/>
            <w:r>
              <w:rPr>
                <w:rFonts w:ascii="Calibri" w:hAnsi="Calibri"/>
                <w:b w:val="0"/>
                <w:i w:val="0"/>
                <w:color w:val="22333B"/>
                <w:sz w:val="18"/>
              </w:rPr>
              <w:t>They are separate legal roles under different laws; many providers offer both, but check the contract covers both and that the UK one has a UK address.</w:t>
            </w:r>
          </w:p>
        </w:tc>
      </w:tr>
      <w:tr>
        <w:trPr>
          <w:cantSplit/>
        </w:trPr>
        <w:tc>
          <w:tcPr>
            <w:tcW w:type="dxa" w:w="3168"/>
          </w:tcPr>
          <w:p>
            <w:pPr>
              <w:spacing w:after="40" w:before="40"/>
            </w:pPr>
            <w:r/>
            <w:r>
              <w:rPr>
                <w:rFonts w:ascii="Calibri" w:hAnsi="Calibri"/>
                <w:b/>
                <w:i w:val="0"/>
                <w:color w:val="22333B"/>
                <w:sz w:val="18"/>
              </w:rPr>
              <w:t>“We are Class II in the US — are we Class IIa in Europe?”</w:t>
            </w:r>
          </w:p>
        </w:tc>
        <w:tc>
          <w:tcPr>
            <w:tcW w:type="dxa" w:w="6624"/>
          </w:tcPr>
          <w:p>
            <w:pPr>
              <w:spacing w:after="40" w:before="40"/>
            </w:pPr>
            <w:r/>
            <w:r>
              <w:rPr>
                <w:rFonts w:ascii="Calibri" w:hAnsi="Calibri"/>
                <w:b w:val="0"/>
                <w:i w:val="0"/>
                <w:color w:val="22333B"/>
                <w:sz w:val="18"/>
              </w:rPr>
              <w:t>Only by coincidence. Walk them back to slide 6 and the Annex VIII rules. This question is the whole reason the session opens the way it does.</w:t>
            </w:r>
          </w:p>
        </w:tc>
      </w:tr>
      <w:tr>
        <w:trPr>
          <w:cantSplit/>
        </w:trPr>
        <w:tc>
          <w:tcPr>
            <w:tcW w:type="dxa" w:w="3168"/>
          </w:tcPr>
          <w:p>
            <w:pPr>
              <w:spacing w:after="40" w:before="40"/>
            </w:pPr>
            <w:r/>
            <w:r>
              <w:rPr>
                <w:rFonts w:ascii="Calibri" w:hAnsi="Calibri"/>
                <w:b/>
                <w:i w:val="0"/>
                <w:color w:val="22333B"/>
                <w:sz w:val="18"/>
              </w:rPr>
              <w:t>“What about Northern Ireland?”</w:t>
            </w:r>
          </w:p>
        </w:tc>
        <w:tc>
          <w:tcPr>
            <w:tcW w:type="dxa" w:w="6624"/>
          </w:tcPr>
          <w:p>
            <w:pPr>
              <w:spacing w:after="40" w:before="40"/>
            </w:pPr>
            <w:r/>
            <w:r>
              <w:rPr>
                <w:rFonts w:ascii="Calibri" w:hAnsi="Calibri"/>
                <w:b w:val="0"/>
                <w:i w:val="0"/>
                <w:color w:val="22333B"/>
                <w:sz w:val="18"/>
              </w:rPr>
              <w:t>EU rules apply there under the Windsor Framework, so a device needs CE marking. UKCA alone does not satisfy it — which is why a CE marked device reaches more of the UK than a UKCA marked one.</w:t>
            </w:r>
          </w:p>
        </w:tc>
      </w:tr>
    </w:tbl>
    <w:p>
      <w:pPr>
        <w:keepNext/>
        <w:spacing w:after="80" w:before="180"/>
      </w:pPr>
      <w:r>
        <w:rPr>
          <w:rFonts w:ascii="Cambria" w:hAnsi="Cambria"/>
          <w:b/>
          <w:color w:val="1B3A4B"/>
          <w:sz w:val="26"/>
        </w:rPr>
        <w:t>Closing the session</w:t>
      </w:r>
    </w:p>
    <w:p>
      <w:pPr>
        <w:spacing w:after="100"/>
      </w:pPr>
      <w:r>
        <w:rPr>
          <w:rFonts w:ascii="Calibri" w:hAnsi="Calibri"/>
          <w:b w:val="0"/>
          <w:i w:val="0"/>
          <w:color w:val="22333B"/>
          <w:sz w:val="20"/>
        </w:rPr>
        <w:t>Thank them, point at the workbook action page, and ask everyone to write down one thing they will do this week before they leave the room. Commitment made in the room is the only part of a seminar that reliably survives the journey back to the office.</w:t>
      </w:r>
    </w:p>
    <w:tbl>
      <w:tblPr>
        <w:tblW w:type="auto" w:w="0"/>
        <w:jc w:val="left"/>
        <w:tblLayout w:type="fixed"/>
        <w:tblLook w:firstColumn="1" w:firstRow="1" w:lastColumn="0" w:lastRow="0" w:noHBand="0" w:noVBand="1" w:val="04A0"/>
        <w:tblBorders>
          <w:top w:val="single" w:sz="6" w:space="0" w:color="CFDFDE"/>
          <w:left w:val="single" w:sz="6" w:space="0" w:color="CFDFDE"/>
          <w:bottom w:val="single" w:sz="6" w:space="0" w:color="CFDFDE"/>
          <w:right w:val="single" w:sz="6" w:space="0" w:color="CFDFDE"/>
          <w:insideH w:val="single" w:sz="6" w:space="0" w:color="CFDFDE"/>
          <w:insideV w:val="single" w:sz="6" w:space="0" w:color="CFDFDE"/>
        </w:tblBorders>
        <w:tblLayout w:type="fixed"/>
        <w:tblW w:w="9792" w:type="dxa"/>
      </w:tblPr>
      <w:tblGrid>
        <w:gridCol w:w="9792"/>
      </w:tblGrid>
      <w:tr>
        <w:trPr>
          <w:cantSplit/>
        </w:trPr>
        <w:tc>
          <w:tcPr>
            <w:tcW w:type="dxa" w:w="9792"/>
            <w:shd w:val="clear" w:color="auto" w:fill="EAF3F2"/>
          </w:tcPr>
          <w:p>
            <w:pPr>
              <w:spacing w:after="60" w:before="80"/>
            </w:pPr>
            <w:r/>
            <w:r>
              <w:rPr>
                <w:rFonts w:ascii="Calibri" w:hAnsi="Calibri"/>
                <w:b/>
                <w:color w:val="0E7C7B"/>
                <w:sz w:val="20"/>
              </w:rPr>
              <w:t>One-line summary, if you need to land the session in a sentence</w:t>
            </w:r>
          </w:p>
          <w:p>
            <w:pPr>
              <w:spacing w:after="80"/>
            </w:pPr>
            <w:r>
              <w:rPr>
                <w:rFonts w:ascii="Calibri" w:hAnsi="Calibri"/>
                <w:color w:val="22333B"/>
                <w:sz w:val="19"/>
              </w:rPr>
              <w:t>“The same device is a different regulatory object in each of these four markets — so classify four times, build the evidence once, and start the clinical work on day one.”</w:t>
            </w:r>
          </w:p>
        </w:tc>
      </w:tr>
    </w:tbl>
    <w:p>
      <w:pPr>
        <w:spacing w:after="100" w:before="0" w:line="240" w:lineRule="auto"/>
      </w:pPr>
      <w:r>
        <w:rPr>
          <w:sz w:val="2"/>
        </w:rPr>
      </w:r>
    </w:p>
    <w:p>
      <w:pPr>
        <w:keepNext/>
        <w:spacing w:after="80" w:before="180"/>
      </w:pPr>
      <w:r>
        <w:rPr>
          <w:rFonts w:ascii="Cambria" w:hAnsi="Cambria"/>
          <w:b/>
          <w:color w:val="1B3A4B"/>
          <w:sz w:val="26"/>
        </w:rPr>
        <w:t>Post-session follow-up worth offering</w:t>
      </w:r>
    </w:p>
    <w:p>
      <w:pPr>
        <w:pStyle w:val="ListBullet"/>
        <w:spacing w:after="50" w:line="254" w:lineRule="auto"/>
        <w:ind w:left="576"/>
      </w:pPr>
      <w:r>
        <w:rPr>
          <w:rFonts w:ascii="Calibri" w:hAnsi="Calibri"/>
          <w:color w:val="22333B"/>
          <w:sz w:val="19"/>
        </w:rPr>
        <w:t>the deck as a PDF and the workbook, by email.</w:t>
      </w:r>
    </w:p>
    <w:p>
      <w:pPr>
        <w:pStyle w:val="ListBullet"/>
        <w:spacing w:after="50" w:line="254" w:lineRule="auto"/>
        <w:ind w:left="576"/>
      </w:pPr>
      <w:r>
        <w:rPr>
          <w:rFonts w:ascii="Calibri" w:hAnsi="Calibri"/>
          <w:color w:val="22333B"/>
          <w:sz w:val="19"/>
        </w:rPr>
        <w:t>a short list of the sources mentioned, with links verified on the day.</w:t>
      </w:r>
    </w:p>
    <w:p>
      <w:pPr>
        <w:pStyle w:val="ListBullet"/>
        <w:spacing w:after="50" w:line="254" w:lineRule="auto"/>
        <w:ind w:left="576"/>
      </w:pPr>
      <w:r>
        <w:rPr>
          <w:rFonts w:ascii="Calibri" w:hAnsi="Calibri"/>
          <w:color w:val="22333B"/>
          <w:sz w:val="19"/>
        </w:rPr>
        <w:t>an offer to look at one classification question per attendee organisation. This is where the genuine value lands, and it is usually what people remember.</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color w:val="4E626D"/>
        <w:sz w:val="16"/>
      </w:rPr>
      <w:t xml:space="preserve">Global Market Entry  ·  Facilitator Guide  ·  Page </w:t>
    </w:r>
    <w:r>
      <w:rPr>
        <w:rFonts w:ascii="Calibri" w:hAnsi="Calibri"/>
        <w:color w:val="4E626D"/>
        <w:sz w:val="16"/>
      </w:rPr>
      <w:fldChar w:fldCharType="begin"/>
    </w:r>
    <w:r>
      <w:rPr>
        <w:rFonts w:ascii="Calibri" w:hAnsi="Calibri"/>
        <w:color w:val="4E626D"/>
        <w:sz w:val="16"/>
      </w:rPr>
      <w:instrText xml:space="preserve"> PAGE </w:instrText>
    </w:r>
    <w:r>
      <w:rPr>
        <w:rFonts w:ascii="Calibri" w:hAnsi="Calibri"/>
        <w:color w:val="4E626D"/>
        <w:sz w:val="16"/>
      </w:rPr>
      <w:fldChar w:fldCharType="separate"/>
    </w:r>
    <w:r>
      <w:rPr>
        <w:rFonts w:ascii="Calibri" w:hAnsi="Calibri"/>
        <w:color w:val="4E626D"/>
        <w:sz w:val="16"/>
      </w:rPr>
      <w:t>1</w:t>
    </w:r>
    <w:r>
      <w:rPr>
        <w:rFonts w:ascii="Calibri" w:hAnsi="Calibri"/>
        <w:color w:val="4E626D"/>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s="Calibri"/>
      <w:color w:val="2233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