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color w:val="0E7C7B"/>
          <w:sz w:val="17"/>
          <w:spacing w:val="30"/>
        </w:rPr>
        <w:t>MEDICAL DEVICE SEMINAR  ·  FACILITATOR GUIDE</w:t>
      </w:r>
    </w:p>
    <w:p>
      <w:pPr>
        <w:spacing w:after="40" w:before="0"/>
      </w:pPr>
      <w:r>
        <w:rPr>
          <w:rFonts w:ascii="Cambria" w:hAnsi="Cambria"/>
          <w:b/>
          <w:color w:val="1B3A4B"/>
          <w:sz w:val="48"/>
        </w:rPr>
        <w:t>Software Validation &amp; Cybersecurity</w:t>
      </w:r>
    </w:p>
    <w:p>
      <w:pPr>
        <w:spacing w:after="200"/>
      </w:pPr>
      <w:r>
        <w:rPr>
          <w:rFonts w:ascii="Calibri" w:hAnsi="Calibri"/>
          <w:b w:val="0"/>
          <w:i/>
          <w:color w:val="4E626D"/>
          <w:sz w:val="24"/>
        </w:rPr>
        <w:t>Run of show, cut lines, exercise answer keys and preparation checklist</w:t>
      </w:r>
    </w:p>
    <w:p>
      <w:pPr>
        <w:spacing w:before="120" w:after="120"/>
        <w:pBdr>
          <w:bottom w:val="single" w:sz="6" w:space="1" w:color="D7E2E5"/>
        </w:pBdr>
      </w:pPr>
    </w:p>
    <w:tbl>
      <w:tblPr>
        <w:tblW w:type="auto" w:w="0"/>
        <w:jc w:val="left"/>
        <w:tblLayout w:type="fixed"/>
        <w:tblLook w:firstColumn="1" w:firstRow="1" w:lastColumn="0" w:lastRow="0" w:noHBand="0" w:noVBand="1" w:val="04A0"/>
        <w:tblBorders>
          <w:top w:val="single" w:sz="6" w:space="0" w:color="CFDFDE"/>
          <w:left w:val="single" w:sz="6" w:space="0" w:color="CFDFDE"/>
          <w:bottom w:val="single" w:sz="6" w:space="0" w:color="CFDFDE"/>
          <w:right w:val="single" w:sz="6" w:space="0" w:color="CFDFDE"/>
          <w:insideH w:val="single" w:sz="6" w:space="0" w:color="CFDFDE"/>
          <w:insideV w:val="single" w:sz="6" w:space="0" w:color="CFDFDE"/>
        </w:tblBorders>
        <w:tblLayout w:type="fixed"/>
        <w:tblW w:w="9792" w:type="dxa"/>
      </w:tblPr>
      <w:tblGrid>
        <w:gridCol w:w="9792"/>
      </w:tblGrid>
      <w:tr>
        <w:trPr>
          <w:cantSplit/>
        </w:trPr>
        <w:tc>
          <w:tcPr>
            <w:tcW w:type="dxa" w:w="9792"/>
            <w:shd w:val="clear" w:color="auto" w:fill="FBF0E2"/>
          </w:tcPr>
          <w:p>
            <w:pPr>
              <w:spacing w:after="60" w:before="80"/>
            </w:pPr>
            <w:r/>
            <w:r>
              <w:rPr>
                <w:rFonts w:ascii="Calibri" w:hAnsi="Calibri"/>
                <w:b/>
                <w:color w:val="C77C1E"/>
                <w:sz w:val="21"/>
              </w:rPr>
              <w:t>Before you present — three things to do</w:t>
            </w:r>
          </w:p>
          <w:p>
            <w:pPr>
              <w:spacing w:after="80"/>
            </w:pPr>
            <w:r>
              <w:rPr>
                <w:rFonts w:ascii="Calibri" w:hAnsi="Calibri"/>
                <w:color w:val="22333B"/>
                <w:sz w:val="20"/>
              </w:rPr>
              <w:t>1.  Verify guidance currency. Every FDA guidance cited in the deck is dated as at preparation. FDA reissues these documents. Check the current version of each before you stand up, and correct the deck where needed. Guidance dates in the deck were verified against fda.gov when it was prepared. The two that moved most recently are the premarket cybersecurity guidance (current edition June 2025, superseding the September 2023 one) and Computer Software Assurance (finalised September 2025).</w:t>
            </w:r>
          </w:p>
          <w:p>
            <w:pPr>
              <w:spacing w:after="80"/>
            </w:pPr>
            <w:r>
              <w:rPr>
                <w:rFonts w:ascii="Calibri" w:hAnsi="Calibri"/>
                <w:color w:val="22333B"/>
                <w:sz w:val="20"/>
              </w:rPr>
              <w:t>2.  Read the deck's speaker notes. Every content slide carries notes with the argument, the emphasis, and what to cut. This guide covers structure and the exercises; the notes cover delivery.</w:t>
            </w:r>
          </w:p>
          <w:p>
            <w:pPr>
              <w:spacing w:after="80"/>
            </w:pPr>
            <w:r>
              <w:rPr>
                <w:rFonts w:ascii="Calibri" w:hAnsi="Calibri"/>
                <w:color w:val="22333B"/>
                <w:sz w:val="20"/>
              </w:rPr>
              <w:t>3.  Decide your cut line now. The session is built for 90 minutes and will run long if the room is engaged. See “If you are running behind” overleaf and commit to the cuts in advance.</w:t>
            </w:r>
          </w:p>
        </w:tc>
      </w:tr>
    </w:tbl>
    <w:p>
      <w:pPr>
        <w:spacing w:after="80"/>
      </w:pPr>
    </w:p>
    <w:p>
      <w:pPr>
        <w:keepNext/>
        <w:spacing w:after="80" w:before="240"/>
      </w:pPr>
      <w:r>
        <w:rPr>
          <w:rFonts w:ascii="Cambria" w:hAnsi="Cambria"/>
          <w:b/>
          <w:color w:val="1B3A4B"/>
          <w:sz w:val="27"/>
        </w:rPr>
        <w:t>Session at a glance</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1007"/>
        <w:gridCol w:w="1152"/>
        <w:gridCol w:w="3744"/>
        <w:gridCol w:w="3888"/>
      </w:tblGrid>
      <w:tr>
        <w:trPr>
          <w:cantSplit/>
          <w:tblHeader/>
        </w:trPr>
        <w:tc>
          <w:tcPr>
            <w:tcW w:type="dxa" w:w="1008"/>
            <w:shd w:val="clear" w:color="auto" w:fill="1B3A4B"/>
          </w:tcPr>
          <w:p>
            <w:pPr>
              <w:spacing w:after="40" w:before="40"/>
            </w:pPr>
            <w:r/>
            <w:r>
              <w:rPr>
                <w:rFonts w:ascii="Calibri" w:hAnsi="Calibri"/>
                <w:b/>
                <w:i w:val="0"/>
                <w:color w:val="FFFFFF"/>
                <w:sz w:val="18"/>
              </w:rPr>
              <w:t>Clock</w:t>
            </w:r>
          </w:p>
        </w:tc>
        <w:tc>
          <w:tcPr>
            <w:tcW w:type="dxa" w:w="1152"/>
            <w:shd w:val="clear" w:color="auto" w:fill="1B3A4B"/>
          </w:tcPr>
          <w:p>
            <w:pPr>
              <w:spacing w:after="40" w:before="40"/>
            </w:pPr>
            <w:r/>
            <w:r>
              <w:rPr>
                <w:rFonts w:ascii="Calibri" w:hAnsi="Calibri"/>
                <w:b/>
                <w:i w:val="0"/>
                <w:color w:val="FFFFFF"/>
                <w:sz w:val="18"/>
              </w:rPr>
              <w:t>Slides</w:t>
            </w:r>
          </w:p>
        </w:tc>
        <w:tc>
          <w:tcPr>
            <w:tcW w:type="dxa" w:w="3744"/>
            <w:shd w:val="clear" w:color="auto" w:fill="1B3A4B"/>
          </w:tcPr>
          <w:p>
            <w:pPr>
              <w:spacing w:after="40" w:before="40"/>
            </w:pPr>
            <w:r/>
            <w:r>
              <w:rPr>
                <w:rFonts w:ascii="Calibri" w:hAnsi="Calibri"/>
                <w:b/>
                <w:i w:val="0"/>
                <w:color w:val="FFFFFF"/>
                <w:sz w:val="18"/>
              </w:rPr>
              <w:t>Segment</w:t>
            </w:r>
          </w:p>
        </w:tc>
        <w:tc>
          <w:tcPr>
            <w:tcW w:type="dxa" w:w="3888"/>
            <w:shd w:val="clear" w:color="auto" w:fill="1B3A4B"/>
          </w:tcPr>
          <w:p>
            <w:pPr>
              <w:spacing w:after="40" w:before="40"/>
            </w:pPr>
            <w:r/>
            <w:r>
              <w:rPr>
                <w:rFonts w:ascii="Calibri" w:hAnsi="Calibri"/>
                <w:b/>
                <w:i w:val="0"/>
                <w:color w:val="FFFFFF"/>
                <w:sz w:val="18"/>
              </w:rPr>
              <w:t>Notes</w:t>
            </w:r>
          </w:p>
        </w:tc>
      </w:tr>
      <w:tr>
        <w:trPr>
          <w:cantSplit/>
        </w:trPr>
        <w:tc>
          <w:tcPr>
            <w:tcW w:type="dxa" w:w="1008"/>
          </w:tcPr>
          <w:p>
            <w:pPr>
              <w:spacing w:after="40" w:before="40"/>
            </w:pPr>
            <w:r/>
            <w:r>
              <w:rPr>
                <w:rFonts w:ascii="Calibri" w:hAnsi="Calibri"/>
                <w:b/>
                <w:i w:val="0"/>
                <w:color w:val="22333B"/>
                <w:sz w:val="18"/>
              </w:rPr>
              <w:t>0:00</w:t>
            </w:r>
          </w:p>
        </w:tc>
        <w:tc>
          <w:tcPr>
            <w:tcW w:type="dxa" w:w="1152"/>
          </w:tcPr>
          <w:p>
            <w:pPr>
              <w:spacing w:after="40" w:before="40"/>
            </w:pPr>
            <w:r/>
            <w:r>
              <w:rPr>
                <w:rFonts w:ascii="Calibri" w:hAnsi="Calibri"/>
                <w:b w:val="0"/>
                <w:i w:val="0"/>
                <w:color w:val="22333B"/>
                <w:sz w:val="18"/>
              </w:rPr>
              <w:t>1–4</w:t>
            </w:r>
          </w:p>
        </w:tc>
        <w:tc>
          <w:tcPr>
            <w:tcW w:type="dxa" w:w="3744"/>
          </w:tcPr>
          <w:p>
            <w:pPr>
              <w:spacing w:after="40" w:before="40"/>
            </w:pPr>
            <w:r/>
            <w:r>
              <w:rPr>
                <w:rFonts w:ascii="Calibri" w:hAnsi="Calibri"/>
                <w:b w:val="0"/>
                <w:i w:val="0"/>
                <w:color w:val="22333B"/>
                <w:sz w:val="18"/>
              </w:rPr>
              <w:t>Open, objectives, room calibration</w:t>
            </w:r>
          </w:p>
        </w:tc>
        <w:tc>
          <w:tcPr>
            <w:tcW w:type="dxa" w:w="3888"/>
          </w:tcPr>
          <w:p>
            <w:pPr>
              <w:spacing w:after="40" w:before="40"/>
            </w:pPr>
            <w:r/>
            <w:r>
              <w:rPr>
                <w:rFonts w:ascii="Calibri" w:hAnsi="Calibri"/>
                <w:b w:val="0"/>
                <w:i/>
                <w:color w:val="22333B"/>
                <w:sz w:val="18"/>
              </w:rPr>
              <w:t>Calibration poll steers depth for the whole session. Do not skip it.</w:t>
            </w:r>
          </w:p>
        </w:tc>
      </w:tr>
      <w:tr>
        <w:trPr>
          <w:cantSplit/>
        </w:trPr>
        <w:tc>
          <w:tcPr>
            <w:tcW w:type="dxa" w:w="1008"/>
          </w:tcPr>
          <w:p>
            <w:pPr>
              <w:spacing w:after="40" w:before="40"/>
            </w:pPr>
            <w:r/>
            <w:r>
              <w:rPr>
                <w:rFonts w:ascii="Calibri" w:hAnsi="Calibri"/>
                <w:b/>
                <w:i w:val="0"/>
                <w:color w:val="22333B"/>
                <w:sz w:val="18"/>
              </w:rPr>
              <w:t>0:09</w:t>
            </w:r>
          </w:p>
        </w:tc>
        <w:tc>
          <w:tcPr>
            <w:tcW w:type="dxa" w:w="1152"/>
          </w:tcPr>
          <w:p>
            <w:pPr>
              <w:spacing w:after="40" w:before="40"/>
            </w:pPr>
            <w:r/>
            <w:r>
              <w:rPr>
                <w:rFonts w:ascii="Calibri" w:hAnsi="Calibri"/>
                <w:b w:val="0"/>
                <w:i w:val="0"/>
                <w:color w:val="22333B"/>
                <w:sz w:val="18"/>
              </w:rPr>
              <w:t>5–11</w:t>
            </w:r>
          </w:p>
        </w:tc>
        <w:tc>
          <w:tcPr>
            <w:tcW w:type="dxa" w:w="3744"/>
          </w:tcPr>
          <w:p>
            <w:pPr>
              <w:spacing w:after="40" w:before="40"/>
            </w:pPr>
            <w:r/>
            <w:r>
              <w:rPr>
                <w:rFonts w:ascii="Calibri" w:hAnsi="Calibri"/>
                <w:b w:val="0"/>
                <w:i w:val="0"/>
                <w:color w:val="22333B"/>
                <w:sz w:val="18"/>
              </w:rPr>
              <w:t>Part 1 — The new operating environment</w:t>
            </w:r>
          </w:p>
        </w:tc>
        <w:tc>
          <w:tcPr>
            <w:tcW w:type="dxa" w:w="3888"/>
          </w:tcPr>
          <w:p>
            <w:pPr>
              <w:spacing w:after="40" w:before="40"/>
            </w:pPr>
            <w:r/>
            <w:r>
              <w:rPr>
                <w:rFonts w:ascii="Calibri" w:hAnsi="Calibri"/>
                <w:b w:val="0"/>
                <w:i w:val="0"/>
                <w:color w:val="22333B"/>
                <w:sz w:val="18"/>
              </w:rPr>
              <w:t>Slide 11 (three risk languages) is the conceptual spine.</w:t>
            </w:r>
          </w:p>
        </w:tc>
      </w:tr>
      <w:tr>
        <w:trPr>
          <w:cantSplit/>
        </w:trPr>
        <w:tc>
          <w:tcPr>
            <w:tcW w:type="dxa" w:w="1008"/>
          </w:tcPr>
          <w:p>
            <w:pPr>
              <w:spacing w:after="40" w:before="40"/>
            </w:pPr>
            <w:r/>
            <w:r>
              <w:rPr>
                <w:rFonts w:ascii="Calibri" w:hAnsi="Calibri"/>
                <w:b/>
                <w:i w:val="0"/>
                <w:color w:val="22333B"/>
                <w:sz w:val="18"/>
              </w:rPr>
              <w:t>0:31</w:t>
            </w:r>
          </w:p>
        </w:tc>
        <w:tc>
          <w:tcPr>
            <w:tcW w:type="dxa" w:w="1152"/>
          </w:tcPr>
          <w:p>
            <w:pPr>
              <w:spacing w:after="40" w:before="40"/>
            </w:pPr>
            <w:r/>
            <w:r>
              <w:rPr>
                <w:rFonts w:ascii="Calibri" w:hAnsi="Calibri"/>
                <w:b w:val="0"/>
                <w:i w:val="0"/>
                <w:color w:val="22333B"/>
                <w:sz w:val="18"/>
              </w:rPr>
              <w:t>12–28</w:t>
            </w:r>
          </w:p>
        </w:tc>
        <w:tc>
          <w:tcPr>
            <w:tcW w:type="dxa" w:w="3744"/>
          </w:tcPr>
          <w:p>
            <w:pPr>
              <w:spacing w:after="40" w:before="40"/>
            </w:pPr>
            <w:r/>
            <w:r>
              <w:rPr>
                <w:rFonts w:ascii="Calibri" w:hAnsi="Calibri"/>
                <w:b w:val="0"/>
                <w:i w:val="0"/>
                <w:color w:val="22333B"/>
                <w:sz w:val="18"/>
              </w:rPr>
              <w:t>Part 2 — Software validation</w:t>
            </w:r>
          </w:p>
        </w:tc>
        <w:tc>
          <w:tcPr>
            <w:tcW w:type="dxa" w:w="3888"/>
          </w:tcPr>
          <w:p>
            <w:pPr>
              <w:spacing w:after="40" w:before="40"/>
            </w:pPr>
            <w:r/>
            <w:r>
              <w:rPr>
                <w:rFonts w:ascii="Calibri" w:hAnsi="Calibri"/>
                <w:b w:val="0"/>
                <w:i w:val="0"/>
                <w:color w:val="22333B"/>
                <w:sz w:val="18"/>
              </w:rPr>
              <w:t>Slide 19 (requirements) has the highest practical value.</w:t>
            </w:r>
          </w:p>
        </w:tc>
      </w:tr>
      <w:tr>
        <w:trPr>
          <w:cantSplit/>
        </w:trPr>
        <w:tc>
          <w:tcPr>
            <w:tcW w:type="dxa" w:w="1008"/>
          </w:tcPr>
          <w:p>
            <w:pPr>
              <w:spacing w:after="40" w:before="40"/>
            </w:pPr>
            <w:r/>
            <w:r>
              <w:rPr>
                <w:rFonts w:ascii="Calibri" w:hAnsi="Calibri"/>
                <w:b/>
                <w:i w:val="0"/>
                <w:color w:val="22333B"/>
                <w:sz w:val="18"/>
              </w:rPr>
              <w:t>1:21</w:t>
            </w:r>
          </w:p>
        </w:tc>
        <w:tc>
          <w:tcPr>
            <w:tcW w:type="dxa" w:w="1152"/>
          </w:tcPr>
          <w:p>
            <w:pPr>
              <w:spacing w:after="40" w:before="40"/>
            </w:pPr>
            <w:r/>
            <w:r>
              <w:rPr>
                <w:rFonts w:ascii="Calibri" w:hAnsi="Calibri"/>
                <w:b w:val="0"/>
                <w:i w:val="0"/>
                <w:color w:val="22333B"/>
                <w:sz w:val="18"/>
              </w:rPr>
              <w:t>29</w:t>
            </w:r>
          </w:p>
        </w:tc>
        <w:tc>
          <w:tcPr>
            <w:tcW w:type="dxa" w:w="3744"/>
          </w:tcPr>
          <w:p>
            <w:pPr>
              <w:spacing w:after="40" w:before="40"/>
            </w:pPr>
            <w:r/>
            <w:r>
              <w:rPr>
                <w:rFonts w:ascii="Calibri" w:hAnsi="Calibri"/>
                <w:b/>
                <w:i w:val="0"/>
                <w:color w:val="0E7C7B"/>
                <w:sz w:val="18"/>
              </w:rPr>
              <w:t>Working session 1 — Classify and scope</w:t>
            </w:r>
          </w:p>
        </w:tc>
        <w:tc>
          <w:tcPr>
            <w:tcW w:type="dxa" w:w="3888"/>
          </w:tcPr>
          <w:p>
            <w:pPr>
              <w:spacing w:after="40" w:before="40"/>
            </w:pPr>
            <w:r/>
            <w:r>
              <w:rPr>
                <w:rFonts w:ascii="Calibri" w:hAnsi="Calibri"/>
                <w:b w:val="0"/>
                <w:i w:val="0"/>
                <w:color w:val="22333B"/>
                <w:sz w:val="18"/>
              </w:rPr>
              <w:t>8 min table work, 4 min debrief.</w:t>
            </w:r>
          </w:p>
        </w:tc>
      </w:tr>
      <w:tr>
        <w:trPr>
          <w:cantSplit/>
        </w:trPr>
        <w:tc>
          <w:tcPr>
            <w:tcW w:type="dxa" w:w="1008"/>
          </w:tcPr>
          <w:p>
            <w:pPr>
              <w:spacing w:after="40" w:before="40"/>
            </w:pPr>
            <w:r/>
            <w:r>
              <w:rPr>
                <w:rFonts w:ascii="Calibri" w:hAnsi="Calibri"/>
                <w:b/>
                <w:i w:val="0"/>
                <w:color w:val="22333B"/>
                <w:sz w:val="18"/>
              </w:rPr>
              <w:t>1:33</w:t>
            </w:r>
          </w:p>
        </w:tc>
        <w:tc>
          <w:tcPr>
            <w:tcW w:type="dxa" w:w="1152"/>
          </w:tcPr>
          <w:p>
            <w:pPr>
              <w:spacing w:after="40" w:before="40"/>
            </w:pPr>
            <w:r/>
            <w:r>
              <w:rPr>
                <w:rFonts w:ascii="Calibri" w:hAnsi="Calibri"/>
                <w:b w:val="0"/>
                <w:i w:val="0"/>
                <w:color w:val="22333B"/>
                <w:sz w:val="18"/>
              </w:rPr>
              <w:t>30–44</w:t>
            </w:r>
          </w:p>
        </w:tc>
        <w:tc>
          <w:tcPr>
            <w:tcW w:type="dxa" w:w="3744"/>
          </w:tcPr>
          <w:p>
            <w:pPr>
              <w:spacing w:after="40" w:before="40"/>
            </w:pPr>
            <w:r/>
            <w:r>
              <w:rPr>
                <w:rFonts w:ascii="Calibri" w:hAnsi="Calibri"/>
                <w:b w:val="0"/>
                <w:i w:val="0"/>
                <w:color w:val="22333B"/>
                <w:sz w:val="18"/>
              </w:rPr>
              <w:t>Part 3 — Cybersecurity</w:t>
            </w:r>
          </w:p>
        </w:tc>
        <w:tc>
          <w:tcPr>
            <w:tcW w:type="dxa" w:w="3888"/>
          </w:tcPr>
          <w:p>
            <w:pPr>
              <w:spacing w:after="40" w:before="40"/>
            </w:pPr>
            <w:r/>
            <w:r>
              <w:rPr>
                <w:rFonts w:ascii="Calibri" w:hAnsi="Calibri"/>
                <w:b w:val="0"/>
                <w:i w:val="0"/>
                <w:color w:val="22333B"/>
                <w:sz w:val="18"/>
              </w:rPr>
              <w:t>The segment that overruns. Watch the clock from slide 39.</w:t>
            </w:r>
          </w:p>
        </w:tc>
      </w:tr>
      <w:tr>
        <w:trPr>
          <w:cantSplit/>
        </w:trPr>
        <w:tc>
          <w:tcPr>
            <w:tcW w:type="dxa" w:w="1008"/>
          </w:tcPr>
          <w:p>
            <w:pPr>
              <w:spacing w:after="40" w:before="40"/>
            </w:pPr>
            <w:r/>
            <w:r>
              <w:rPr>
                <w:rFonts w:ascii="Calibri" w:hAnsi="Calibri"/>
                <w:b/>
                <w:i w:val="0"/>
                <w:color w:val="22333B"/>
                <w:sz w:val="18"/>
              </w:rPr>
              <w:t>2:17</w:t>
            </w:r>
          </w:p>
        </w:tc>
        <w:tc>
          <w:tcPr>
            <w:tcW w:type="dxa" w:w="1152"/>
          </w:tcPr>
          <w:p>
            <w:pPr>
              <w:spacing w:after="40" w:before="40"/>
            </w:pPr>
            <w:r/>
            <w:r>
              <w:rPr>
                <w:rFonts w:ascii="Calibri" w:hAnsi="Calibri"/>
                <w:b w:val="0"/>
                <w:i w:val="0"/>
                <w:color w:val="22333B"/>
                <w:sz w:val="18"/>
              </w:rPr>
              <w:t>45</w:t>
            </w:r>
          </w:p>
        </w:tc>
        <w:tc>
          <w:tcPr>
            <w:tcW w:type="dxa" w:w="3744"/>
          </w:tcPr>
          <w:p>
            <w:pPr>
              <w:spacing w:after="40" w:before="40"/>
            </w:pPr>
            <w:r/>
            <w:r>
              <w:rPr>
                <w:rFonts w:ascii="Calibri" w:hAnsi="Calibri"/>
                <w:b/>
                <w:i w:val="0"/>
                <w:color w:val="0E7C7B"/>
                <w:sz w:val="18"/>
              </w:rPr>
              <w:t>Working session 2 — Tabletop</w:t>
            </w:r>
          </w:p>
        </w:tc>
        <w:tc>
          <w:tcPr>
            <w:tcW w:type="dxa" w:w="3888"/>
          </w:tcPr>
          <w:p>
            <w:pPr>
              <w:spacing w:after="40" w:before="40"/>
            </w:pPr>
            <w:r/>
            <w:r>
              <w:rPr>
                <w:rFonts w:ascii="Calibri" w:hAnsi="Calibri"/>
                <w:b w:val="0"/>
                <w:i w:val="0"/>
                <w:color w:val="22333B"/>
                <w:sz w:val="18"/>
              </w:rPr>
              <w:t>Facilitator-paced, three rounds of 4 min.</w:t>
            </w:r>
          </w:p>
        </w:tc>
      </w:tr>
      <w:tr>
        <w:trPr>
          <w:cantSplit/>
        </w:trPr>
        <w:tc>
          <w:tcPr>
            <w:tcW w:type="dxa" w:w="1008"/>
          </w:tcPr>
          <w:p>
            <w:pPr>
              <w:spacing w:after="40" w:before="40"/>
            </w:pPr>
            <w:r/>
            <w:r>
              <w:rPr>
                <w:rFonts w:ascii="Calibri" w:hAnsi="Calibri"/>
                <w:b/>
                <w:i w:val="0"/>
                <w:color w:val="22333B"/>
                <w:sz w:val="18"/>
              </w:rPr>
              <w:t>2:32</w:t>
            </w:r>
          </w:p>
        </w:tc>
        <w:tc>
          <w:tcPr>
            <w:tcW w:type="dxa" w:w="1152"/>
          </w:tcPr>
          <w:p>
            <w:pPr>
              <w:spacing w:after="40" w:before="40"/>
            </w:pPr>
            <w:r/>
            <w:r>
              <w:rPr>
                <w:rFonts w:ascii="Calibri" w:hAnsi="Calibri"/>
                <w:b w:val="0"/>
                <w:i w:val="0"/>
                <w:color w:val="22333B"/>
                <w:sz w:val="18"/>
              </w:rPr>
              <w:t>46–51</w:t>
            </w:r>
          </w:p>
        </w:tc>
        <w:tc>
          <w:tcPr>
            <w:tcW w:type="dxa" w:w="3744"/>
          </w:tcPr>
          <w:p>
            <w:pPr>
              <w:spacing w:after="40" w:before="40"/>
            </w:pPr>
            <w:r/>
            <w:r>
              <w:rPr>
                <w:rFonts w:ascii="Calibri" w:hAnsi="Calibri"/>
                <w:b w:val="0"/>
                <w:i w:val="0"/>
                <w:color w:val="22333B"/>
                <w:sz w:val="18"/>
              </w:rPr>
              <w:t>Part 4 — Making it work</w:t>
            </w:r>
          </w:p>
        </w:tc>
        <w:tc>
          <w:tcPr>
            <w:tcW w:type="dxa" w:w="3888"/>
          </w:tcPr>
          <w:p>
            <w:pPr>
              <w:spacing w:after="40" w:before="40"/>
            </w:pPr>
            <w:r/>
            <w:r>
              <w:rPr>
                <w:rFonts w:ascii="Calibri" w:hAnsi="Calibri"/>
                <w:b w:val="0"/>
                <w:i w:val="0"/>
                <w:color w:val="22333B"/>
                <w:sz w:val="18"/>
              </w:rPr>
              <w:t>Slide 47 is the payoff. Slide 50 is what they repeat.</w:t>
            </w:r>
          </w:p>
        </w:tc>
      </w:tr>
      <w:tr>
        <w:trPr>
          <w:cantSplit/>
        </w:trPr>
        <w:tc>
          <w:tcPr>
            <w:tcW w:type="dxa" w:w="1008"/>
          </w:tcPr>
          <w:p>
            <w:pPr>
              <w:spacing w:after="40" w:before="40"/>
            </w:pPr>
            <w:r/>
            <w:r>
              <w:rPr>
                <w:rFonts w:ascii="Calibri" w:hAnsi="Calibri"/>
                <w:b/>
                <w:i w:val="0"/>
                <w:color w:val="22333B"/>
                <w:sz w:val="18"/>
              </w:rPr>
              <w:t>2:45</w:t>
            </w:r>
          </w:p>
        </w:tc>
        <w:tc>
          <w:tcPr>
            <w:tcW w:type="dxa" w:w="1152"/>
          </w:tcPr>
          <w:p>
            <w:pPr>
              <w:spacing w:after="40" w:before="40"/>
            </w:pPr>
            <w:r/>
            <w:r>
              <w:rPr>
                <w:rFonts w:ascii="Calibri" w:hAnsi="Calibri"/>
                <w:b w:val="0"/>
                <w:i w:val="0"/>
                <w:color w:val="22333B"/>
                <w:sz w:val="18"/>
              </w:rPr>
              <w:t>52</w:t>
            </w:r>
          </w:p>
        </w:tc>
        <w:tc>
          <w:tcPr>
            <w:tcW w:type="dxa" w:w="3744"/>
          </w:tcPr>
          <w:p>
            <w:pPr>
              <w:spacing w:after="40" w:before="40"/>
            </w:pPr>
            <w:r/>
            <w:r>
              <w:rPr>
                <w:rFonts w:ascii="Calibri" w:hAnsi="Calibri"/>
                <w:b w:val="0"/>
                <w:i w:val="0"/>
                <w:color w:val="22333B"/>
                <w:sz w:val="18"/>
              </w:rPr>
              <w:t>Discussion</w:t>
            </w:r>
          </w:p>
        </w:tc>
        <w:tc>
          <w:tcPr>
            <w:tcW w:type="dxa" w:w="3888"/>
          </w:tcPr>
          <w:p>
            <w:pPr>
              <w:spacing w:after="40" w:before="40"/>
            </w:pPr>
            <w:r/>
            <w:r>
              <w:rPr>
                <w:rFonts w:ascii="Calibri" w:hAnsi="Calibri"/>
                <w:b w:val="0"/>
                <w:i w:val="0"/>
                <w:color w:val="22333B"/>
                <w:sz w:val="18"/>
              </w:rPr>
              <w:t>Five prompts on the slide if the room is quiet.</w:t>
            </w:r>
          </w:p>
        </w:tc>
      </w:tr>
    </w:tbl>
    <w:p>
      <w:pPr>
        <w:spacing w:after="120"/>
      </w:pPr>
      <w:r>
        <w:rPr>
          <w:rFonts w:ascii="Calibri" w:hAnsi="Calibri"/>
          <w:b w:val="0"/>
          <w:i/>
          <w:color w:val="4E626D"/>
          <w:sz w:val="21"/>
        </w:rPr>
        <w:t>Total to end of Part 4: 90 minutes. Discussion runs beyond that to whatever time you have. If you have a hard 90-minute stop, start Part 4 at 2:28 and take questions inside it.</w:t>
      </w:r>
    </w:p>
    <w:p>
      <w:r>
        <w:br w:type="page"/>
      </w:r>
    </w:p>
    <w:p>
      <w:pPr>
        <w:spacing w:after="40" w:before="0"/>
      </w:pPr>
      <w:r>
        <w:rPr>
          <w:rFonts w:ascii="Calibri" w:hAnsi="Calibri"/>
          <w:b/>
          <w:color w:val="0E7C7B"/>
          <w:sz w:val="17"/>
          <w:spacing w:val="30"/>
        </w:rPr>
        <w:t>RUNNING THE SESSION</w:t>
      </w:r>
    </w:p>
    <w:p>
      <w:pPr>
        <w:spacing w:after="80" w:before="0"/>
      </w:pPr>
      <w:r>
        <w:rPr>
          <w:rFonts w:ascii="Cambria" w:hAnsi="Cambria"/>
          <w:b/>
          <w:color w:val="1B3A4B"/>
          <w:sz w:val="36"/>
        </w:rPr>
        <w:t>Running the session</w:t>
      </w:r>
    </w:p>
    <w:p>
      <w:pPr>
        <w:spacing w:before="120" w:after="160"/>
        <w:pBdr>
          <w:bottom w:val="single" w:sz="6" w:space="1" w:color="D7E2E5"/>
        </w:pBdr>
      </w:pPr>
    </w:p>
    <w:p>
      <w:pPr>
        <w:keepNext/>
        <w:spacing w:after="80" w:before="0"/>
      </w:pPr>
      <w:r>
        <w:rPr>
          <w:rFonts w:ascii="Cambria" w:hAnsi="Cambria"/>
          <w:b/>
          <w:color w:val="1B3A4B"/>
          <w:sz w:val="27"/>
        </w:rPr>
        <w:t>If you are running behind</w:t>
      </w:r>
    </w:p>
    <w:p>
      <w:pPr>
        <w:spacing w:after="120"/>
      </w:pPr>
      <w:r>
        <w:rPr>
          <w:rFonts w:ascii="Calibri" w:hAnsi="Calibri"/>
          <w:b w:val="0"/>
          <w:i/>
          <w:color w:val="1B3A4B"/>
          <w:sz w:val="21"/>
        </w:rPr>
        <w:t>Cut in this order. Do not compress the exercises — they are where the learning happens, and a rushed tabletop is worse than no tabletop.</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864"/>
        <w:gridCol w:w="2736"/>
        <w:gridCol w:w="6192"/>
      </w:tblGrid>
      <w:tr>
        <w:trPr>
          <w:cantSplit/>
          <w:tblHeader/>
        </w:trPr>
        <w:tc>
          <w:tcPr>
            <w:tcW w:type="dxa" w:w="864"/>
            <w:shd w:val="clear" w:color="auto" w:fill="1B3A4B"/>
          </w:tcPr>
          <w:p>
            <w:pPr>
              <w:spacing w:after="40" w:before="40"/>
            </w:pPr>
            <w:r/>
            <w:r>
              <w:rPr>
                <w:rFonts w:ascii="Calibri" w:hAnsi="Calibri"/>
                <w:b/>
                <w:i w:val="0"/>
                <w:color w:val="FFFFFF"/>
                <w:sz w:val="18"/>
              </w:rPr>
              <w:t>Cut</w:t>
            </w:r>
          </w:p>
        </w:tc>
        <w:tc>
          <w:tcPr>
            <w:tcW w:type="dxa" w:w="2736"/>
            <w:shd w:val="clear" w:color="auto" w:fill="1B3A4B"/>
          </w:tcPr>
          <w:p>
            <w:pPr>
              <w:spacing w:after="40" w:before="40"/>
            </w:pPr>
            <w:r/>
            <w:r>
              <w:rPr>
                <w:rFonts w:ascii="Calibri" w:hAnsi="Calibri"/>
                <w:b/>
                <w:i w:val="0"/>
                <w:color w:val="FFFFFF"/>
                <w:sz w:val="18"/>
              </w:rPr>
              <w:t>Slide</w:t>
            </w:r>
          </w:p>
        </w:tc>
        <w:tc>
          <w:tcPr>
            <w:tcW w:type="dxa" w:w="6192"/>
            <w:shd w:val="clear" w:color="auto" w:fill="1B3A4B"/>
          </w:tcPr>
          <w:p>
            <w:pPr>
              <w:spacing w:after="40" w:before="40"/>
            </w:pPr>
            <w:r/>
            <w:r>
              <w:rPr>
                <w:rFonts w:ascii="Calibri" w:hAnsi="Calibri"/>
                <w:b/>
                <w:i w:val="0"/>
                <w:color w:val="FFFFFF"/>
                <w:sz w:val="18"/>
              </w:rPr>
              <w:t>Why it is safe to cut</w:t>
            </w:r>
          </w:p>
        </w:tc>
      </w:tr>
      <w:tr>
        <w:trPr>
          <w:cantSplit/>
        </w:trPr>
        <w:tc>
          <w:tcPr>
            <w:tcW w:type="dxa" w:w="864"/>
          </w:tcPr>
          <w:p>
            <w:pPr>
              <w:spacing w:after="40" w:before="40"/>
            </w:pPr>
            <w:r/>
            <w:r>
              <w:rPr>
                <w:rFonts w:ascii="Calibri" w:hAnsi="Calibri"/>
                <w:b/>
                <w:i w:val="0"/>
                <w:color w:val="0E7C7B"/>
                <w:sz w:val="18"/>
              </w:rPr>
              <w:t>1st</w:t>
            </w:r>
          </w:p>
        </w:tc>
        <w:tc>
          <w:tcPr>
            <w:tcW w:type="dxa" w:w="2736"/>
          </w:tcPr>
          <w:p>
            <w:pPr>
              <w:spacing w:after="40" w:before="40"/>
            </w:pPr>
            <w:r/>
            <w:r>
              <w:rPr>
                <w:rFonts w:ascii="Calibri" w:hAnsi="Calibri"/>
                <w:b w:val="0"/>
                <w:i w:val="0"/>
                <w:color w:val="22333B"/>
                <w:sz w:val="18"/>
              </w:rPr>
              <w:t>24 — PCCP</w:t>
            </w:r>
          </w:p>
        </w:tc>
        <w:tc>
          <w:tcPr>
            <w:tcW w:type="dxa" w:w="6192"/>
          </w:tcPr>
          <w:p>
            <w:pPr>
              <w:spacing w:after="40" w:before="40"/>
            </w:pPr>
            <w:r/>
            <w:r>
              <w:rPr>
                <w:rFonts w:ascii="Calibri" w:hAnsi="Calibri"/>
                <w:b w:val="0"/>
                <w:i w:val="0"/>
                <w:color w:val="22333B"/>
                <w:sz w:val="18"/>
              </w:rPr>
              <w:t>Only matters to teams shipping frequently-changing software. Mention in one line and move on.</w:t>
            </w:r>
          </w:p>
        </w:tc>
      </w:tr>
      <w:tr>
        <w:trPr>
          <w:cantSplit/>
        </w:trPr>
        <w:tc>
          <w:tcPr>
            <w:tcW w:type="dxa" w:w="864"/>
          </w:tcPr>
          <w:p>
            <w:pPr>
              <w:spacing w:after="40" w:before="40"/>
            </w:pPr>
            <w:r/>
            <w:r>
              <w:rPr>
                <w:rFonts w:ascii="Calibri" w:hAnsi="Calibri"/>
                <w:b/>
                <w:i w:val="0"/>
                <w:color w:val="0E7C7B"/>
                <w:sz w:val="18"/>
              </w:rPr>
              <w:t>2nd</w:t>
            </w:r>
          </w:p>
        </w:tc>
        <w:tc>
          <w:tcPr>
            <w:tcW w:type="dxa" w:w="2736"/>
          </w:tcPr>
          <w:p>
            <w:pPr>
              <w:spacing w:after="40" w:before="40"/>
            </w:pPr>
            <w:r/>
            <w:r>
              <w:rPr>
                <w:rFonts w:ascii="Calibri" w:hAnsi="Calibri"/>
                <w:b w:val="0"/>
                <w:i w:val="0"/>
                <w:color w:val="22333B"/>
                <w:sz w:val="18"/>
              </w:rPr>
              <w:t>26 — Agile / cloud</w:t>
            </w:r>
          </w:p>
        </w:tc>
        <w:tc>
          <w:tcPr>
            <w:tcW w:type="dxa" w:w="6192"/>
          </w:tcPr>
          <w:p>
            <w:pPr>
              <w:spacing w:after="40" w:before="40"/>
            </w:pPr>
            <w:r/>
            <w:r>
              <w:rPr>
                <w:rFonts w:ascii="Calibri" w:hAnsi="Calibri"/>
                <w:b w:val="0"/>
                <w:i w:val="0"/>
                <w:color w:val="22333B"/>
                <w:sz w:val="18"/>
              </w:rPr>
              <w:t>High engagement but not load-bearing. Keep if the room is SaMD-heavy.</w:t>
            </w:r>
          </w:p>
        </w:tc>
      </w:tr>
      <w:tr>
        <w:trPr>
          <w:cantSplit/>
        </w:trPr>
        <w:tc>
          <w:tcPr>
            <w:tcW w:type="dxa" w:w="864"/>
          </w:tcPr>
          <w:p>
            <w:pPr>
              <w:spacing w:after="40" w:before="40"/>
            </w:pPr>
            <w:r/>
            <w:r>
              <w:rPr>
                <w:rFonts w:ascii="Calibri" w:hAnsi="Calibri"/>
                <w:b/>
                <w:i w:val="0"/>
                <w:color w:val="C77C1E"/>
                <w:sz w:val="18"/>
              </w:rPr>
              <w:t>3rd</w:t>
            </w:r>
          </w:p>
        </w:tc>
        <w:tc>
          <w:tcPr>
            <w:tcW w:type="dxa" w:w="2736"/>
          </w:tcPr>
          <w:p>
            <w:pPr>
              <w:spacing w:after="40" w:before="40"/>
            </w:pPr>
            <w:r/>
            <w:r>
              <w:rPr>
                <w:rFonts w:ascii="Calibri" w:hAnsi="Calibri"/>
                <w:b w:val="0"/>
                <w:i w:val="0"/>
                <w:color w:val="22333B"/>
                <w:sz w:val="18"/>
              </w:rPr>
              <w:t>18 — Deliverables table</w:t>
            </w:r>
          </w:p>
        </w:tc>
        <w:tc>
          <w:tcPr>
            <w:tcW w:type="dxa" w:w="6192"/>
          </w:tcPr>
          <w:p>
            <w:pPr>
              <w:spacing w:after="40" w:before="40"/>
            </w:pPr>
            <w:r/>
            <w:r>
              <w:rPr>
                <w:rFonts w:ascii="Calibri" w:hAnsi="Calibri"/>
                <w:b w:val="0"/>
                <w:i w:val="0"/>
                <w:color w:val="22333B"/>
                <w:sz w:val="18"/>
              </w:rPr>
              <w:t>Reference material, reproduced in the workbook. Give the unresolved-anomalies point only.</w:t>
            </w:r>
          </w:p>
        </w:tc>
      </w:tr>
      <w:tr>
        <w:trPr>
          <w:cantSplit/>
        </w:trPr>
        <w:tc>
          <w:tcPr>
            <w:tcW w:type="dxa" w:w="864"/>
          </w:tcPr>
          <w:p>
            <w:pPr>
              <w:spacing w:after="40" w:before="40"/>
            </w:pPr>
            <w:r/>
            <w:r>
              <w:rPr>
                <w:rFonts w:ascii="Calibri" w:hAnsi="Calibri"/>
                <w:b/>
                <w:i w:val="0"/>
                <w:color w:val="C77C1E"/>
                <w:sz w:val="18"/>
              </w:rPr>
              <w:t>4th</w:t>
            </w:r>
          </w:p>
        </w:tc>
        <w:tc>
          <w:tcPr>
            <w:tcW w:type="dxa" w:w="2736"/>
          </w:tcPr>
          <w:p>
            <w:pPr>
              <w:spacing w:after="40" w:before="40"/>
            </w:pPr>
            <w:r/>
            <w:r>
              <w:rPr>
                <w:rFonts w:ascii="Calibri" w:hAnsi="Calibri"/>
                <w:b w:val="0"/>
                <w:i w:val="0"/>
                <w:color w:val="22333B"/>
                <w:sz w:val="18"/>
              </w:rPr>
              <w:t>25 — AI/ML</w:t>
            </w:r>
          </w:p>
        </w:tc>
        <w:tc>
          <w:tcPr>
            <w:tcW w:type="dxa" w:w="6192"/>
          </w:tcPr>
          <w:p>
            <w:pPr>
              <w:spacing w:after="40" w:before="40"/>
            </w:pPr>
            <w:r/>
            <w:r>
              <w:rPr>
                <w:rFonts w:ascii="Calibri" w:hAnsi="Calibri"/>
                <w:b w:val="0"/>
                <w:i w:val="0"/>
                <w:color w:val="22333B"/>
                <w:sz w:val="18"/>
              </w:rPr>
              <w:t>Cut to rows 1 and 4 if few hands went up on SaMD in the calibration poll.</w:t>
            </w:r>
          </w:p>
        </w:tc>
      </w:tr>
      <w:tr>
        <w:trPr>
          <w:cantSplit/>
        </w:trPr>
        <w:tc>
          <w:tcPr>
            <w:tcW w:type="dxa" w:w="864"/>
          </w:tcPr>
          <w:p>
            <w:pPr>
              <w:spacing w:after="40" w:before="40"/>
            </w:pPr>
            <w:r/>
            <w:r>
              <w:rPr>
                <w:rFonts w:ascii="Calibri" w:hAnsi="Calibri"/>
                <w:b/>
                <w:i w:val="0"/>
                <w:color w:val="A83A3C"/>
                <w:sz w:val="18"/>
              </w:rPr>
              <w:t>5th</w:t>
            </w:r>
          </w:p>
        </w:tc>
        <w:tc>
          <w:tcPr>
            <w:tcW w:type="dxa" w:w="2736"/>
          </w:tcPr>
          <w:p>
            <w:pPr>
              <w:spacing w:after="40" w:before="40"/>
            </w:pPr>
            <w:r/>
            <w:r>
              <w:rPr>
                <w:rFonts w:ascii="Calibri" w:hAnsi="Calibri"/>
                <w:b w:val="0"/>
                <w:i w:val="0"/>
                <w:color w:val="22333B"/>
                <w:sz w:val="18"/>
              </w:rPr>
              <w:t>42 — Labelling</w:t>
            </w:r>
          </w:p>
        </w:tc>
        <w:tc>
          <w:tcPr>
            <w:tcW w:type="dxa" w:w="6192"/>
          </w:tcPr>
          <w:p>
            <w:pPr>
              <w:spacing w:after="40" w:before="40"/>
            </w:pPr>
            <w:r/>
            <w:r>
              <w:rPr>
                <w:rFonts w:ascii="Calibri" w:hAnsi="Calibri"/>
                <w:b w:val="0"/>
                <w:i w:val="0"/>
                <w:color w:val="22333B"/>
                <w:sz w:val="18"/>
              </w:rPr>
              <w:t>Important but compressible to 60 seconds: end-of-support honesty is the point.</w:t>
            </w:r>
          </w:p>
        </w:tc>
      </w:tr>
      <w:tr>
        <w:trPr>
          <w:cantSplit/>
        </w:trPr>
        <w:tc>
          <w:tcPr>
            <w:tcW w:type="dxa" w:w="864"/>
          </w:tcPr>
          <w:p>
            <w:pPr>
              <w:spacing w:after="40" w:before="40"/>
            </w:pPr>
            <w:r/>
            <w:r>
              <w:rPr>
                <w:rFonts w:ascii="Calibri" w:hAnsi="Calibri"/>
                <w:b/>
                <w:i w:val="0"/>
                <w:color w:val="A83A3C"/>
                <w:sz w:val="18"/>
              </w:rPr>
              <w:t>Never</w:t>
            </w:r>
          </w:p>
        </w:tc>
        <w:tc>
          <w:tcPr>
            <w:tcW w:type="dxa" w:w="2736"/>
          </w:tcPr>
          <w:p>
            <w:pPr>
              <w:spacing w:after="40" w:before="40"/>
            </w:pPr>
            <w:r/>
            <w:r>
              <w:rPr>
                <w:rFonts w:ascii="Calibri" w:hAnsi="Calibri"/>
                <w:b w:val="0"/>
                <w:i w:val="0"/>
                <w:color w:val="22333B"/>
                <w:sz w:val="18"/>
              </w:rPr>
              <w:t>11, 19, 29, 33, 35, 45, 47</w:t>
            </w:r>
          </w:p>
        </w:tc>
        <w:tc>
          <w:tcPr>
            <w:tcW w:type="dxa" w:w="6192"/>
          </w:tcPr>
          <w:p>
            <w:pPr>
              <w:spacing w:after="40" w:before="40"/>
            </w:pPr>
            <w:r/>
            <w:r>
              <w:rPr>
                <w:rFonts w:ascii="Calibri" w:hAnsi="Calibri"/>
                <w:b/>
                <w:i w:val="0"/>
                <w:color w:val="22333B"/>
                <w:sz w:val="18"/>
              </w:rPr>
              <w:t>The spine. Cutting any of these breaks the argument.</w:t>
            </w:r>
          </w:p>
        </w:tc>
      </w:tr>
    </w:tbl>
    <w:p>
      <w:pPr>
        <w:keepNext/>
        <w:spacing w:after="80" w:before="240"/>
      </w:pPr>
      <w:r>
        <w:rPr>
          <w:rFonts w:ascii="Cambria" w:hAnsi="Cambria"/>
          <w:b/>
          <w:color w:val="1B3A4B"/>
          <w:sz w:val="27"/>
        </w:rPr>
        <w:t>If you are running ahead</w:t>
      </w:r>
    </w:p>
    <w:p>
      <w:pPr>
        <w:pStyle w:val="ListBullet"/>
        <w:spacing w:after="60" w:line="254" w:lineRule="auto"/>
        <w:ind w:left="576"/>
      </w:pPr>
      <w:r>
        <w:rPr>
          <w:rFonts w:ascii="Calibri" w:hAnsi="Calibri"/>
          <w:b/>
          <w:color w:val="1B3A4B"/>
          <w:sz w:val="21"/>
        </w:rPr>
        <w:t xml:space="preserve">Slide 19: </w:t>
      </w:r>
      <w:r>
        <w:rPr>
          <w:rFonts w:ascii="Calibri" w:hAnsi="Calibri"/>
          <w:color w:val="22333B"/>
          <w:sz w:val="21"/>
        </w:rPr>
        <w:t>work row 1 interactively — ask the room what is wrong with the weak requirement and let them find the gaps. Easily absorbs three extra minutes and is the best-value slide in Part 2.</w:t>
      </w:r>
    </w:p>
    <w:p>
      <w:pPr>
        <w:pStyle w:val="ListBullet"/>
        <w:spacing w:after="60" w:line="254" w:lineRule="auto"/>
        <w:ind w:left="576"/>
      </w:pPr>
      <w:r>
        <w:rPr>
          <w:rFonts w:ascii="Calibri" w:hAnsi="Calibri"/>
          <w:b/>
          <w:color w:val="1B3A4B"/>
          <w:sz w:val="21"/>
        </w:rPr>
        <w:t xml:space="preserve">Slide 36: </w:t>
      </w:r>
      <w:r>
        <w:rPr>
          <w:rFonts w:ascii="Calibri" w:hAnsi="Calibri"/>
          <w:color w:val="22333B"/>
          <w:sz w:val="21"/>
        </w:rPr>
        <w:t>ask a table to walk one STRIDE category against their own product out loud.</w:t>
      </w:r>
    </w:p>
    <w:p>
      <w:pPr>
        <w:pStyle w:val="ListBullet"/>
        <w:spacing w:after="60" w:line="254" w:lineRule="auto"/>
        <w:ind w:left="576"/>
      </w:pPr>
      <w:r>
        <w:rPr>
          <w:rFonts w:ascii="Calibri" w:hAnsi="Calibri"/>
          <w:b/>
          <w:color w:val="1B3A4B"/>
          <w:sz w:val="21"/>
        </w:rPr>
        <w:t xml:space="preserve">Slide 49: </w:t>
      </w:r>
      <w:r>
        <w:rPr>
          <w:rFonts w:ascii="Calibri" w:hAnsi="Calibri"/>
          <w:color w:val="22333B"/>
          <w:sz w:val="21"/>
        </w:rPr>
        <w:t>have people place themselves twice — validation and security — and ask two volunteers to explain the gap.</w:t>
      </w:r>
    </w:p>
    <w:p>
      <w:pPr>
        <w:keepNext/>
        <w:spacing w:after="80" w:before="240"/>
      </w:pPr>
      <w:r>
        <w:rPr>
          <w:rFonts w:ascii="Cambria" w:hAnsi="Cambria"/>
          <w:b/>
          <w:color w:val="1B3A4B"/>
          <w:sz w:val="27"/>
        </w:rPr>
        <w:t>Materials checklist</w:t>
      </w:r>
    </w:p>
    <w:p>
      <w:pPr>
        <w:pStyle w:val="ListBullet"/>
        <w:spacing w:after="60" w:line="254" w:lineRule="auto"/>
        <w:ind w:left="576"/>
      </w:pPr>
      <w:r>
        <w:rPr>
          <w:rFonts w:ascii="Calibri" w:hAnsi="Calibri"/>
          <w:color w:val="22333B"/>
          <w:sz w:val="21"/>
        </w:rPr>
        <w:t>Deck loaded, presenter view tested, speaker notes visible</w:t>
      </w:r>
    </w:p>
    <w:p>
      <w:pPr>
        <w:pStyle w:val="ListBullet"/>
        <w:spacing w:after="60" w:line="254" w:lineRule="auto"/>
        <w:ind w:left="576"/>
      </w:pPr>
      <w:r>
        <w:rPr>
          <w:rFonts w:ascii="Calibri" w:hAnsi="Calibri"/>
          <w:color w:val="22333B"/>
          <w:sz w:val="21"/>
        </w:rPr>
        <w:t>Participant workbooks printed — one per attendee, double-sided</w:t>
      </w:r>
    </w:p>
    <w:p>
      <w:pPr>
        <w:pStyle w:val="ListBullet"/>
        <w:spacing w:after="60" w:line="254" w:lineRule="auto"/>
        <w:ind w:left="576"/>
      </w:pPr>
      <w:r>
        <w:rPr>
          <w:rFonts w:ascii="Calibri" w:hAnsi="Calibri"/>
          <w:color w:val="22333B"/>
          <w:sz w:val="21"/>
        </w:rPr>
        <w:t>Quick-reference cards printed — double-sided, ideally on card</w:t>
      </w:r>
    </w:p>
    <w:p>
      <w:pPr>
        <w:pStyle w:val="ListBullet"/>
        <w:spacing w:after="60" w:line="254" w:lineRule="auto"/>
        <w:ind w:left="576"/>
      </w:pPr>
      <w:r>
        <w:rPr>
          <w:rFonts w:ascii="Calibri" w:hAnsi="Calibri"/>
          <w:color w:val="22333B"/>
          <w:sz w:val="21"/>
        </w:rPr>
        <w:t>Whiteboard or flip chart, working markers (slides 19, 45 and 47 benefit from writing things up)</w:t>
      </w:r>
    </w:p>
    <w:p>
      <w:pPr>
        <w:pStyle w:val="ListBullet"/>
        <w:spacing w:after="60" w:line="254" w:lineRule="auto"/>
        <w:ind w:left="576"/>
      </w:pPr>
      <w:r>
        <w:rPr>
          <w:rFonts w:ascii="Calibri" w:hAnsi="Calibri"/>
          <w:color w:val="22333B"/>
          <w:sz w:val="21"/>
        </w:rPr>
        <w:t>Tables arranged for groups of 4–6 before people arrive, not after</w:t>
      </w:r>
    </w:p>
    <w:p>
      <w:pPr>
        <w:pStyle w:val="ListBullet"/>
        <w:spacing w:after="60" w:line="254" w:lineRule="auto"/>
        <w:ind w:left="576"/>
      </w:pPr>
      <w:r>
        <w:rPr>
          <w:rFonts w:ascii="Calibri" w:hAnsi="Calibri"/>
          <w:color w:val="22333B"/>
          <w:sz w:val="21"/>
        </w:rPr>
        <w:t>Timer visible to you for the tabletop rounds</w:t>
      </w:r>
    </w:p>
    <w:p>
      <w:pPr>
        <w:pStyle w:val="ListBullet"/>
        <w:spacing w:after="60" w:line="254" w:lineRule="auto"/>
        <w:ind w:left="576"/>
      </w:pPr>
      <w:r>
        <w:rPr>
          <w:rFonts w:ascii="Calibri" w:hAnsi="Calibri"/>
          <w:color w:val="22333B"/>
          <w:sz w:val="21"/>
        </w:rPr>
        <w:t>Your own contact details on the final slide or a card</w:t>
      </w:r>
    </w:p>
    <w:p>
      <w:pPr>
        <w:keepNext/>
        <w:spacing w:after="80" w:before="240"/>
      </w:pPr>
      <w:r>
        <w:rPr>
          <w:rFonts w:ascii="Cambria" w:hAnsi="Cambria"/>
          <w:b/>
          <w:color w:val="1B3A4B"/>
          <w:sz w:val="27"/>
        </w:rPr>
        <w:t>Facilitation notes</w:t>
      </w:r>
    </w:p>
    <w:p>
      <w:pPr>
        <w:pStyle w:val="ListBullet"/>
        <w:spacing w:after="60" w:line="254" w:lineRule="auto"/>
        <w:ind w:left="576"/>
      </w:pPr>
      <w:r>
        <w:rPr>
          <w:rFonts w:ascii="Calibri" w:hAnsi="Calibri"/>
          <w:b/>
          <w:color w:val="1B3A4B"/>
          <w:sz w:val="21"/>
        </w:rPr>
        <w:t xml:space="preserve">Calibrate early: </w:t>
      </w:r>
      <w:r>
        <w:rPr>
          <w:rFonts w:ascii="Calibri" w:hAnsi="Calibri"/>
          <w:color w:val="22333B"/>
          <w:sz w:val="21"/>
        </w:rPr>
        <w:t>the poll on slide 4 sets your depth for 80 minutes. A hardware-led room needs more SOUP, legacy and patch distribution; a SaMD room needs more cloud validation, agile and AI. Adjust openly — it builds credibility.</w:t>
      </w:r>
    </w:p>
    <w:p>
      <w:pPr>
        <w:pStyle w:val="ListBullet"/>
        <w:spacing w:after="60" w:line="254" w:lineRule="auto"/>
        <w:ind w:left="576"/>
      </w:pPr>
      <w:r>
        <w:rPr>
          <w:rFonts w:ascii="Calibri" w:hAnsi="Calibri"/>
          <w:b/>
          <w:color w:val="1B3A4B"/>
          <w:sz w:val="21"/>
        </w:rPr>
        <w:t xml:space="preserve">Be honest about the threat picture: </w:t>
      </w:r>
      <w:r>
        <w:rPr>
          <w:rFonts w:ascii="Calibri" w:hAnsi="Calibri"/>
          <w:color w:val="22333B"/>
          <w:sz w:val="21"/>
        </w:rPr>
        <w:t>this audience has learned to discount security theatre. Say plainly that most device impact is collateral rather than targeted (slide 31). Credibility there buys attention for the rest of Part 3.</w:t>
      </w:r>
    </w:p>
    <w:p>
      <w:pPr>
        <w:pStyle w:val="ListBullet"/>
        <w:spacing w:after="60" w:line="254" w:lineRule="auto"/>
        <w:ind w:left="576"/>
      </w:pPr>
      <w:r>
        <w:rPr>
          <w:rFonts w:ascii="Calibri" w:hAnsi="Calibri"/>
          <w:b/>
          <w:color w:val="1B3A4B"/>
          <w:sz w:val="21"/>
        </w:rPr>
        <w:t xml:space="preserve">Do not adjudicate individual products: </w:t>
      </w:r>
      <w:r>
        <w:rPr>
          <w:rFonts w:ascii="Calibri" w:hAnsi="Calibri"/>
          <w:color w:val="22333B"/>
          <w:sz w:val="21"/>
        </w:rPr>
        <w:t>when asked whether a specific attendee product is a cyber device, or what class it is, walk them through the test rather than answering. Offer to talk at the break, and mean it — those conversations are where the real value lands.</w:t>
      </w:r>
    </w:p>
    <w:p>
      <w:pPr>
        <w:pStyle w:val="ListBullet"/>
        <w:spacing w:after="60" w:line="254" w:lineRule="auto"/>
        <w:ind w:left="576"/>
      </w:pPr>
      <w:r>
        <w:rPr>
          <w:rFonts w:ascii="Calibri" w:hAnsi="Calibri"/>
          <w:b/>
          <w:color w:val="1B3A4B"/>
          <w:sz w:val="21"/>
        </w:rPr>
        <w:t xml:space="preserve">Say when you do not know: </w:t>
      </w:r>
      <w:r>
        <w:rPr>
          <w:rFonts w:ascii="Calibri" w:hAnsi="Calibri"/>
          <w:color w:val="22333B"/>
          <w:sz w:val="21"/>
        </w:rPr>
        <w:t>this is a field where a confident wrong answer causes real harm. “I would want to check that before answering” earns more respect than a guess, and it models the behaviour you are teaching.</w:t>
      </w:r>
    </w:p>
    <w:p>
      <w:pPr>
        <w:pStyle w:val="ListBullet"/>
        <w:spacing w:after="60" w:line="254" w:lineRule="auto"/>
        <w:ind w:left="576"/>
      </w:pPr>
      <w:r>
        <w:rPr>
          <w:rFonts w:ascii="Calibri" w:hAnsi="Calibri"/>
          <w:b/>
          <w:color w:val="1B3A4B"/>
          <w:sz w:val="21"/>
        </w:rPr>
        <w:t xml:space="preserve">Handle the case studies with care: </w:t>
      </w:r>
      <w:r>
        <w:rPr>
          <w:rFonts w:ascii="Calibri" w:hAnsi="Calibri"/>
          <w:color w:val="22333B"/>
          <w:sz w:val="21"/>
        </w:rPr>
        <w:t>if attendees worked on the products in slide 32, be gracious. The industry learned from those companies and the lessons were paid for.</w:t>
      </w:r>
    </w:p>
    <w:p>
      <w:r>
        <w:br w:type="page"/>
      </w:r>
    </w:p>
    <w:p>
      <w:pPr>
        <w:spacing w:after="40" w:before="0"/>
      </w:pPr>
      <w:r>
        <w:rPr>
          <w:rFonts w:ascii="Calibri" w:hAnsi="Calibri"/>
          <w:b/>
          <w:color w:val="A83A3C"/>
          <w:sz w:val="17"/>
          <w:spacing w:val="30"/>
        </w:rPr>
        <w:t>ANSWER KEY  ·  WORKING SESSION 1</w:t>
      </w:r>
    </w:p>
    <w:p>
      <w:pPr>
        <w:spacing w:after="80" w:before="0"/>
      </w:pPr>
      <w:r>
        <w:rPr>
          <w:rFonts w:ascii="Cambria" w:hAnsi="Cambria"/>
          <w:b/>
          <w:color w:val="1B3A4B"/>
          <w:sz w:val="36"/>
        </w:rPr>
        <w:t>Working session 1 — Classify and scope</w:t>
      </w:r>
    </w:p>
    <w:p>
      <w:pPr>
        <w:spacing w:before="120" w:after="120"/>
        <w:pBdr>
          <w:bottom w:val="single" w:sz="6" w:space="1" w:color="D7E2E5"/>
        </w:pBdr>
      </w:pPr>
    </w:p>
    <w:p>
      <w:pPr>
        <w:spacing w:after="120"/>
      </w:pPr>
      <w:r>
        <w:rPr>
          <w:rFonts w:ascii="Calibri" w:hAnsi="Calibri"/>
          <w:b w:val="0"/>
          <w:i/>
          <w:color w:val="4E626D"/>
          <w:sz w:val="21"/>
        </w:rPr>
        <w:t>12 minutes: 1 min setup, 8 min table work, 4 min debrief (allow it to run to 5 if the safety-class argument is live — that is the whole point of the exercise).</w:t>
      </w:r>
    </w:p>
    <w:tbl>
      <w:tblPr>
        <w:tblW w:type="auto" w:w="0"/>
        <w:jc w:val="left"/>
        <w:tblLayout w:type="fixed"/>
        <w:tblLook w:firstColumn="1" w:firstRow="1" w:lastColumn="0" w:lastRow="0" w:noHBand="0" w:noVBand="1" w:val="04A0"/>
        <w:tblBorders>
          <w:top w:val="single" w:sz="6" w:space="0" w:color="CFDFDE"/>
          <w:left w:val="single" w:sz="6" w:space="0" w:color="CFDFDE"/>
          <w:bottom w:val="single" w:sz="6" w:space="0" w:color="CFDFDE"/>
          <w:right w:val="single" w:sz="6" w:space="0" w:color="CFDFDE"/>
          <w:insideH w:val="single" w:sz="6" w:space="0" w:color="CFDFDE"/>
          <w:insideV w:val="single" w:sz="6" w:space="0" w:color="CFDFDE"/>
        </w:tblBorders>
        <w:tblLayout w:type="fixed"/>
        <w:tblW w:w="9792" w:type="dxa"/>
      </w:tblPr>
      <w:tblGrid>
        <w:gridCol w:w="9792"/>
      </w:tblGrid>
      <w:tr>
        <w:trPr>
          <w:cantSplit/>
        </w:trPr>
        <w:tc>
          <w:tcPr>
            <w:tcW w:type="dxa" w:w="9792"/>
            <w:shd w:val="clear" w:color="auto" w:fill="EAF3F2"/>
          </w:tcPr>
          <w:p>
            <w:pPr>
              <w:spacing w:after="60" w:before="80"/>
            </w:pPr>
            <w:r/>
            <w:r>
              <w:rPr>
                <w:rFonts w:ascii="Calibri" w:hAnsi="Calibri"/>
                <w:b/>
                <w:color w:val="0E7C7B"/>
                <w:sz w:val="21"/>
              </w:rPr>
              <w:t>How to debrief</w:t>
            </w:r>
          </w:p>
          <w:p>
            <w:pPr>
              <w:spacing w:after="80"/>
            </w:pPr>
            <w:r>
              <w:rPr>
                <w:rFonts w:ascii="Calibri" w:hAnsi="Calibri"/>
                <w:color w:val="22333B"/>
                <w:sz w:val="20"/>
              </w:rPr>
              <w:t>Do not take all five questions from every table. Take Q1 from one table, Q2 from another, and so on. Reward reasoning over answers throughout — there is no single correct classification here, and saying so keeps the discussion honest.</w:t>
            </w:r>
          </w:p>
        </w:tc>
      </w:tr>
    </w:tbl>
    <w:p>
      <w:pPr>
        <w:spacing w:after="80"/>
      </w:pPr>
    </w:p>
    <w:p>
      <w:pPr>
        <w:keepNext/>
        <w:spacing w:after="80" w:before="240"/>
      </w:pPr>
      <w:r>
        <w:rPr>
          <w:rFonts w:ascii="Cambria" w:hAnsi="Cambria"/>
          <w:b/>
          <w:color w:val="1B3A4B"/>
          <w:sz w:val="27"/>
        </w:rPr>
        <w:t>Q1 — Software functions and classification</w:t>
      </w:r>
    </w:p>
    <w:p>
      <w:pPr>
        <w:spacing w:after="120"/>
      </w:pPr>
      <w:r>
        <w:rPr>
          <w:rFonts w:ascii="Calibri" w:hAnsi="Calibri"/>
          <w:b w:val="0"/>
          <w:i/>
          <w:color w:val="1B3A4B"/>
          <w:sz w:val="21"/>
        </w:rPr>
        <w:t>The point is that one product contains all three categories. Watch for tables that give the product a single classification.</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2160"/>
        <w:gridCol w:w="2448"/>
        <w:gridCol w:w="5184"/>
      </w:tblGrid>
      <w:tr>
        <w:trPr>
          <w:cantSplit/>
          <w:tblHeader/>
        </w:trPr>
        <w:tc>
          <w:tcPr>
            <w:tcW w:type="dxa" w:w="2160"/>
            <w:shd w:val="clear" w:color="auto" w:fill="1B3A4B"/>
          </w:tcPr>
          <w:p>
            <w:pPr>
              <w:spacing w:after="40" w:before="40"/>
            </w:pPr>
            <w:r/>
            <w:r>
              <w:rPr>
                <w:rFonts w:ascii="Calibri" w:hAnsi="Calibri"/>
                <w:b/>
                <w:i w:val="0"/>
                <w:color w:val="FFFFFF"/>
                <w:sz w:val="18"/>
              </w:rPr>
              <w:t>Function</w:t>
            </w:r>
          </w:p>
        </w:tc>
        <w:tc>
          <w:tcPr>
            <w:tcW w:type="dxa" w:w="2448"/>
            <w:shd w:val="clear" w:color="auto" w:fill="1B3A4B"/>
          </w:tcPr>
          <w:p>
            <w:pPr>
              <w:spacing w:after="40" w:before="40"/>
            </w:pPr>
            <w:r/>
            <w:r>
              <w:rPr>
                <w:rFonts w:ascii="Calibri" w:hAnsi="Calibri"/>
                <w:b/>
                <w:i w:val="0"/>
                <w:color w:val="FFFFFF"/>
                <w:sz w:val="18"/>
              </w:rPr>
              <w:t>Likely classification</w:t>
            </w:r>
          </w:p>
        </w:tc>
        <w:tc>
          <w:tcPr>
            <w:tcW w:type="dxa" w:w="5184"/>
            <w:shd w:val="clear" w:color="auto" w:fill="1B3A4B"/>
          </w:tcPr>
          <w:p>
            <w:pPr>
              <w:spacing w:after="40" w:before="40"/>
            </w:pPr>
            <w:r/>
            <w:r>
              <w:rPr>
                <w:rFonts w:ascii="Calibri" w:hAnsi="Calibri"/>
                <w:b/>
                <w:i w:val="0"/>
                <w:color w:val="FFFFFF"/>
                <w:sz w:val="18"/>
              </w:rPr>
              <w:t>The discussion</w:t>
            </w:r>
          </w:p>
        </w:tc>
      </w:tr>
      <w:tr>
        <w:trPr>
          <w:cantSplit/>
        </w:trPr>
        <w:tc>
          <w:tcPr>
            <w:tcW w:type="dxa" w:w="2160"/>
          </w:tcPr>
          <w:p>
            <w:pPr>
              <w:spacing w:after="40" w:before="40"/>
            </w:pPr>
            <w:r/>
            <w:r>
              <w:rPr>
                <w:rFonts w:ascii="Calibri" w:hAnsi="Calibri"/>
                <w:b/>
                <w:i w:val="0"/>
                <w:color w:val="22333B"/>
                <w:sz w:val="18"/>
              </w:rPr>
              <w:t>Patch firmware</w:t>
            </w:r>
          </w:p>
        </w:tc>
        <w:tc>
          <w:tcPr>
            <w:tcW w:type="dxa" w:w="2448"/>
          </w:tcPr>
          <w:p>
            <w:pPr>
              <w:spacing w:after="40" w:before="40"/>
            </w:pPr>
            <w:r/>
            <w:r>
              <w:rPr>
                <w:rFonts w:ascii="Calibri" w:hAnsi="Calibri"/>
                <w:b w:val="0"/>
                <w:i w:val="0"/>
                <w:color w:val="22333B"/>
                <w:sz w:val="18"/>
              </w:rPr>
              <w:t>Software in a medical device</w:t>
            </w:r>
          </w:p>
        </w:tc>
        <w:tc>
          <w:tcPr>
            <w:tcW w:type="dxa" w:w="5184"/>
          </w:tcPr>
          <w:p>
            <w:pPr>
              <w:spacing w:after="40" w:before="40"/>
            </w:pPr>
            <w:r/>
            <w:r>
              <w:rPr>
                <w:rFonts w:ascii="Calibri" w:hAnsi="Calibri"/>
                <w:b w:val="0"/>
                <w:i w:val="0"/>
                <w:color w:val="22333B"/>
                <w:sz w:val="18"/>
              </w:rPr>
              <w:t>Drives the hardware that acquires the ECG. Uncontroversial.</w:t>
            </w:r>
          </w:p>
        </w:tc>
      </w:tr>
      <w:tr>
        <w:trPr>
          <w:cantSplit/>
        </w:trPr>
        <w:tc>
          <w:tcPr>
            <w:tcW w:type="dxa" w:w="2160"/>
          </w:tcPr>
          <w:p>
            <w:pPr>
              <w:spacing w:after="40" w:before="40"/>
            </w:pPr>
            <w:r/>
            <w:r>
              <w:rPr>
                <w:rFonts w:ascii="Calibri" w:hAnsi="Calibri"/>
                <w:b/>
                <w:i w:val="0"/>
                <w:color w:val="22333B"/>
                <w:sz w:val="18"/>
              </w:rPr>
              <w:t>Smartphone app</w:t>
            </w:r>
          </w:p>
        </w:tc>
        <w:tc>
          <w:tcPr>
            <w:tcW w:type="dxa" w:w="2448"/>
          </w:tcPr>
          <w:p>
            <w:pPr>
              <w:spacing w:after="40" w:before="40"/>
            </w:pPr>
            <w:r/>
            <w:r>
              <w:rPr>
                <w:rFonts w:ascii="Calibri" w:hAnsi="Calibri"/>
                <w:b/>
                <w:i w:val="0"/>
                <w:color w:val="A83A3C"/>
                <w:sz w:val="18"/>
              </w:rPr>
              <w:t>Depends — press here</w:t>
            </w:r>
          </w:p>
        </w:tc>
        <w:tc>
          <w:tcPr>
            <w:tcW w:type="dxa" w:w="5184"/>
          </w:tcPr>
          <w:p>
            <w:pPr>
              <w:spacing w:after="40" w:before="40"/>
            </w:pPr>
            <w:r/>
            <w:r>
              <w:rPr>
                <w:rFonts w:ascii="Calibri" w:hAnsi="Calibri"/>
                <w:b w:val="0"/>
                <w:i w:val="0"/>
                <w:color w:val="22333B"/>
                <w:sz w:val="18"/>
              </w:rPr>
              <w:t>If it only transports and displays, it may be a lower-risk data-transfer function. If it buffers, filters, triages or alerts, it is doing something medical. This is where teams under-classify.</w:t>
            </w:r>
          </w:p>
        </w:tc>
      </w:tr>
      <w:tr>
        <w:trPr>
          <w:cantSplit/>
        </w:trPr>
        <w:tc>
          <w:tcPr>
            <w:tcW w:type="dxa" w:w="2160"/>
          </w:tcPr>
          <w:p>
            <w:pPr>
              <w:spacing w:after="40" w:before="40"/>
            </w:pPr>
            <w:r/>
            <w:r>
              <w:rPr>
                <w:rFonts w:ascii="Calibri" w:hAnsi="Calibri"/>
                <w:b/>
                <w:i w:val="0"/>
                <w:color w:val="22333B"/>
                <w:sz w:val="18"/>
              </w:rPr>
              <w:t>Cloud arrhythmia algorithm</w:t>
            </w:r>
          </w:p>
        </w:tc>
        <w:tc>
          <w:tcPr>
            <w:tcW w:type="dxa" w:w="2448"/>
          </w:tcPr>
          <w:p>
            <w:pPr>
              <w:spacing w:after="40" w:before="40"/>
            </w:pPr>
            <w:r/>
            <w:r>
              <w:rPr>
                <w:rFonts w:ascii="Calibri" w:hAnsi="Calibri"/>
                <w:b w:val="0"/>
                <w:i w:val="0"/>
                <w:color w:val="22333B"/>
                <w:sz w:val="18"/>
              </w:rPr>
              <w:t>SaMD</w:t>
            </w:r>
          </w:p>
        </w:tc>
        <w:tc>
          <w:tcPr>
            <w:tcW w:type="dxa" w:w="5184"/>
          </w:tcPr>
          <w:p>
            <w:pPr>
              <w:spacing w:after="40" w:before="40"/>
            </w:pPr>
            <w:r/>
            <w:r>
              <w:rPr>
                <w:rFonts w:ascii="Calibri" w:hAnsi="Calibri"/>
                <w:b w:val="0"/>
                <w:i w:val="0"/>
                <w:color w:val="22333B"/>
                <w:sz w:val="18"/>
              </w:rPr>
              <w:t>Performs a medical purpose without being part of a hardware device. The core of the product.</w:t>
            </w:r>
          </w:p>
        </w:tc>
      </w:tr>
      <w:tr>
        <w:trPr>
          <w:cantSplit/>
        </w:trPr>
        <w:tc>
          <w:tcPr>
            <w:tcW w:type="dxa" w:w="2160"/>
          </w:tcPr>
          <w:p>
            <w:pPr>
              <w:spacing w:after="40" w:before="40"/>
            </w:pPr>
            <w:r/>
            <w:r>
              <w:rPr>
                <w:rFonts w:ascii="Calibri" w:hAnsi="Calibri"/>
                <w:b/>
                <w:i w:val="0"/>
                <w:color w:val="22333B"/>
                <w:sz w:val="18"/>
              </w:rPr>
              <w:t>Clinician portal (event review)</w:t>
            </w:r>
          </w:p>
        </w:tc>
        <w:tc>
          <w:tcPr>
            <w:tcW w:type="dxa" w:w="2448"/>
          </w:tcPr>
          <w:p>
            <w:pPr>
              <w:spacing w:after="40" w:before="40"/>
            </w:pPr>
            <w:r/>
            <w:r>
              <w:rPr>
                <w:rFonts w:ascii="Calibri" w:hAnsi="Calibri"/>
                <w:b w:val="0"/>
                <w:i w:val="0"/>
                <w:color w:val="22333B"/>
                <w:sz w:val="18"/>
              </w:rPr>
              <w:t>SaMD or part of the SaMD</w:t>
            </w:r>
          </w:p>
        </w:tc>
        <w:tc>
          <w:tcPr>
            <w:tcW w:type="dxa" w:w="5184"/>
          </w:tcPr>
          <w:p>
            <w:pPr>
              <w:spacing w:after="40" w:before="40"/>
            </w:pPr>
            <w:r/>
            <w:r>
              <w:rPr>
                <w:rFonts w:ascii="Calibri" w:hAnsi="Calibri"/>
                <w:b w:val="0"/>
                <w:i w:val="0"/>
                <w:color w:val="22333B"/>
                <w:sz w:val="18"/>
              </w:rPr>
              <w:t>Presents the diagnostic output for confirmation. Part of the medical function.</w:t>
            </w:r>
          </w:p>
        </w:tc>
      </w:tr>
      <w:tr>
        <w:trPr>
          <w:cantSplit/>
        </w:trPr>
        <w:tc>
          <w:tcPr>
            <w:tcW w:type="dxa" w:w="2160"/>
          </w:tcPr>
          <w:p>
            <w:pPr>
              <w:spacing w:after="40" w:before="40"/>
            </w:pPr>
            <w:r/>
            <w:r>
              <w:rPr>
                <w:rFonts w:ascii="Calibri" w:hAnsi="Calibri"/>
                <w:b/>
                <w:i w:val="0"/>
                <w:color w:val="22333B"/>
                <w:sz w:val="18"/>
              </w:rPr>
              <w:t>Scheduling and billing module</w:t>
            </w:r>
          </w:p>
        </w:tc>
        <w:tc>
          <w:tcPr>
            <w:tcW w:type="dxa" w:w="2448"/>
          </w:tcPr>
          <w:p>
            <w:pPr>
              <w:spacing w:after="40" w:before="40"/>
            </w:pPr>
            <w:r/>
            <w:r>
              <w:rPr>
                <w:rFonts w:ascii="Calibri" w:hAnsi="Calibri"/>
                <w:b w:val="0"/>
                <w:i w:val="0"/>
                <w:color w:val="22333B"/>
                <w:sz w:val="18"/>
              </w:rPr>
              <w:t>Very likely not a device</w:t>
            </w:r>
          </w:p>
        </w:tc>
        <w:tc>
          <w:tcPr>
            <w:tcW w:type="dxa" w:w="5184"/>
          </w:tcPr>
          <w:p>
            <w:pPr>
              <w:spacing w:after="40" w:before="40"/>
            </w:pPr>
            <w:r/>
            <w:r>
              <w:rPr>
                <w:rFonts w:ascii="Calibri" w:hAnsi="Calibri"/>
                <w:b w:val="0"/>
                <w:i w:val="0"/>
                <w:color w:val="22333B"/>
                <w:sz w:val="18"/>
              </w:rPr>
              <w:t>Administrative support. Note it still holds patient data and sits inside the same trust boundary.</w:t>
            </w:r>
          </w:p>
        </w:tc>
      </w:tr>
    </w:tbl>
    <w:p>
      <w:pPr>
        <w:keepNext/>
        <w:spacing w:after="80" w:before="240"/>
      </w:pPr>
      <w:r>
        <w:rPr>
          <w:rFonts w:ascii="Cambria" w:hAnsi="Cambria"/>
          <w:b/>
          <w:color w:val="1B3A4B"/>
          <w:sz w:val="27"/>
        </w:rPr>
        <w:t>Q2 — IEC 62304 safety class</w:t>
      </w:r>
    </w:p>
    <w:p>
      <w:pPr>
        <w:spacing w:after="120"/>
      </w:pPr>
      <w:r>
        <w:rPr>
          <w:rFonts w:ascii="Calibri" w:hAnsi="Calibri"/>
          <w:b w:val="0"/>
          <w:i/>
          <w:color w:val="1B3A4B"/>
          <w:sz w:val="21"/>
        </w:rPr>
        <w:t>Expect argument, and welcome it. This is the most valuable moment in the exercise.</w:t>
      </w:r>
    </w:p>
    <w:p>
      <w:pPr>
        <w:pStyle w:val="ListBullet"/>
        <w:spacing w:after="60" w:line="254" w:lineRule="auto"/>
        <w:ind w:left="576"/>
      </w:pPr>
      <w:r>
        <w:rPr>
          <w:rFonts w:ascii="Calibri" w:hAnsi="Calibri"/>
          <w:b/>
          <w:color w:val="1B3A4B"/>
          <w:sz w:val="21"/>
        </w:rPr>
        <w:t xml:space="preserve">The algorithm: </w:t>
      </w:r>
      <w:r>
        <w:rPr>
          <w:rFonts w:ascii="Calibri" w:hAnsi="Calibri"/>
          <w:color w:val="22333B"/>
          <w:sz w:val="21"/>
        </w:rPr>
        <w:t>a missed arrhythmia in a post-cardiac-event patient can contribute to death or serious injury. Assessed before external risk controls, that points to Class C.</w:t>
      </w:r>
    </w:p>
    <w:p>
      <w:pPr>
        <w:pStyle w:val="ListBullet"/>
        <w:spacing w:after="60" w:line="254" w:lineRule="auto"/>
        <w:ind w:left="576"/>
      </w:pPr>
      <w:r>
        <w:rPr>
          <w:rFonts w:ascii="Calibri" w:hAnsi="Calibri"/>
          <w:b/>
          <w:color w:val="1B3A4B"/>
          <w:sz w:val="21"/>
        </w:rPr>
        <w:t xml:space="preserve">The circularity trap to watch for: </w:t>
      </w:r>
      <w:r>
        <w:rPr>
          <w:rFonts w:ascii="Calibri" w:hAnsi="Calibri"/>
          <w:color w:val="22333B"/>
          <w:sz w:val="21"/>
        </w:rPr>
        <w:t>“a clinician confirms every event, so we are Class B.” Ask: is that review an external risk control you have designed, verified and documented — or an assumption about user behaviour? And critically: if the clinician only sees what the algorithm flags, clinician review does not mitigate a false negative at all. Make sure this moment happens.</w:t>
      </w:r>
    </w:p>
    <w:p>
      <w:pPr>
        <w:pStyle w:val="ListBullet"/>
        <w:spacing w:after="60" w:line="254" w:lineRule="auto"/>
        <w:ind w:left="576"/>
      </w:pPr>
      <w:r>
        <w:rPr>
          <w:rFonts w:ascii="Calibri" w:hAnsi="Calibri"/>
          <w:b/>
          <w:color w:val="1B3A4B"/>
          <w:sz w:val="21"/>
        </w:rPr>
        <w:t xml:space="preserve">Patch firmware: </w:t>
      </w:r>
      <w:r>
        <w:rPr>
          <w:rFonts w:ascii="Calibri" w:hAnsi="Calibri"/>
          <w:color w:val="22333B"/>
          <w:sz w:val="21"/>
        </w:rPr>
        <w:t>arguably Class B or C depending on whether a firmware fault could cause data loss or a missed event.</w:t>
      </w:r>
    </w:p>
    <w:p>
      <w:pPr>
        <w:pStyle w:val="ListBullet"/>
        <w:spacing w:after="60" w:line="254" w:lineRule="auto"/>
        <w:ind w:left="576"/>
      </w:pPr>
      <w:r>
        <w:rPr>
          <w:rFonts w:ascii="Calibri" w:hAnsi="Calibri"/>
          <w:b/>
          <w:color w:val="1B3A4B"/>
          <w:sz w:val="21"/>
        </w:rPr>
        <w:t xml:space="preserve">Scheduling module: </w:t>
      </w:r>
      <w:r>
        <w:rPr>
          <w:rFonts w:ascii="Calibri" w:hAnsi="Calibri"/>
          <w:color w:val="22333B"/>
          <w:sz w:val="21"/>
        </w:rPr>
        <w:t>Class A, and a good opportunity to discuss segregation — is it genuinely separated from the clinical functions, or merely a different page in the same application?</w:t>
      </w:r>
    </w:p>
    <w:p>
      <w:pPr>
        <w:keepNext/>
        <w:spacing w:after="80" w:before="240"/>
      </w:pPr>
      <w:r>
        <w:rPr>
          <w:rFonts w:ascii="Cambria" w:hAnsi="Cambria"/>
          <w:b/>
          <w:color w:val="1B3A4B"/>
          <w:sz w:val="27"/>
        </w:rPr>
        <w:t>Q3 — Documentation level</w:t>
      </w:r>
    </w:p>
    <w:p>
      <w:pPr>
        <w:spacing w:after="120"/>
      </w:pPr>
      <w:r>
        <w:rPr>
          <w:rFonts w:ascii="Calibri" w:hAnsi="Calibri"/>
          <w:b w:val="0"/>
          <w:i w:val="0"/>
          <w:color w:val="22333B"/>
          <w:sz w:val="21"/>
        </w:rPr>
        <w:t>Enhanced is defensible via the criterion on probable risk of death or serious injury, assessed before risk control measures. Accept Basic if and only if the table argues it coherently. The common error is assessing after mitigations — the same inversion as Q2. Also worth drawing out: Basic/Enhanced and Class A/B/C are independent frameworks, so “Enhanced because Class C” is not a rationale.</w:t>
      </w:r>
    </w:p>
    <w:p>
      <w:pPr>
        <w:keepNext/>
        <w:spacing w:after="80" w:before="240"/>
      </w:pPr>
      <w:r>
        <w:rPr>
          <w:rFonts w:ascii="Cambria" w:hAnsi="Cambria"/>
          <w:b/>
          <w:color w:val="1B3A4B"/>
          <w:sz w:val="27"/>
        </w:rPr>
        <w:t>Q4 — Cyber device under 524B?</w:t>
      </w:r>
    </w:p>
    <w:p>
      <w:pPr>
        <w:spacing w:after="120"/>
      </w:pPr>
      <w:r>
        <w:rPr>
          <w:rFonts w:ascii="Calibri" w:hAnsi="Calibri"/>
          <w:b w:val="0"/>
          <w:i w:val="0"/>
          <w:color w:val="22333B"/>
          <w:sz w:val="21"/>
        </w:rPr>
        <w:t>Yes, and it should be quick. All three limbs are met: software validated and installed by the sponsor; ability to connect to the internet (BLE to a phone to a cloud service); technological characteristics that could be vulnerable. If a table hesitates, point at “ability to connect” — it is capability, not intention.</w:t>
      </w:r>
    </w:p>
    <w:p>
      <w:pPr>
        <w:keepNext/>
        <w:spacing w:after="80" w:before="240"/>
      </w:pPr>
      <w:r>
        <w:rPr>
          <w:rFonts w:ascii="Cambria" w:hAnsi="Cambria"/>
          <w:b/>
          <w:color w:val="1B3A4B"/>
          <w:sz w:val="27"/>
        </w:rPr>
        <w:t>Q5 — SOUP items</w:t>
      </w:r>
    </w:p>
    <w:p>
      <w:pPr>
        <w:spacing w:after="120"/>
      </w:pPr>
      <w:r>
        <w:rPr>
          <w:rFonts w:ascii="Calibri" w:hAnsi="Calibri"/>
          <w:b w:val="0"/>
          <w:i w:val="0"/>
          <w:color w:val="22333B"/>
          <w:sz w:val="21"/>
        </w:rPr>
        <w:t>Expect: BLE stack, the patch RTOS, a cryptographic library, mobile OS frameworks, the ML framework, cloud container base images, web framework, database. For each, 62304 expects at minimum: name, manufacturer and version; the functional and performance requirements you rely on it for; the hardware and software the item itself requires; known anomalies and vulnerabilities evaluated for their effect in your use; and support status. Note aloud that this list is also the seed of the SBOM in Part 3 — build it once, use it twice.</w:t>
      </w:r>
    </w:p>
    <w:tbl>
      <w:tblPr>
        <w:tblW w:type="auto" w:w="0"/>
        <w:jc w:val="left"/>
        <w:tblLayout w:type="fixed"/>
        <w:tblLook w:firstColumn="1" w:firstRow="1" w:lastColumn="0" w:lastRow="0" w:noHBand="0" w:noVBand="1" w:val="04A0"/>
        <w:tblBorders>
          <w:top w:val="single" w:sz="6" w:space="0" w:color="CFDFDE"/>
          <w:left w:val="single" w:sz="6" w:space="0" w:color="CFDFDE"/>
          <w:bottom w:val="single" w:sz="6" w:space="0" w:color="CFDFDE"/>
          <w:right w:val="single" w:sz="6" w:space="0" w:color="CFDFDE"/>
          <w:insideH w:val="single" w:sz="6" w:space="0" w:color="CFDFDE"/>
          <w:insideV w:val="single" w:sz="6" w:space="0" w:color="CFDFDE"/>
        </w:tblBorders>
        <w:tblLayout w:type="fixed"/>
        <w:tblW w:w="9792" w:type="dxa"/>
      </w:tblPr>
      <w:tblGrid>
        <w:gridCol w:w="9792"/>
      </w:tblGrid>
      <w:tr>
        <w:trPr>
          <w:cantSplit/>
        </w:trPr>
        <w:tc>
          <w:tcPr>
            <w:tcW w:type="dxa" w:w="9792"/>
            <w:shd w:val="clear" w:color="auto" w:fill="FBEDED"/>
          </w:tcPr>
          <w:p>
            <w:pPr>
              <w:spacing w:after="60" w:before="80"/>
            </w:pPr>
            <w:r/>
            <w:r>
              <w:rPr>
                <w:rFonts w:ascii="Calibri" w:hAnsi="Calibri"/>
                <w:b/>
                <w:color w:val="A83A3C"/>
                <w:sz w:val="21"/>
              </w:rPr>
              <w:t>If you are short on time</w:t>
            </w:r>
          </w:p>
          <w:p>
            <w:pPr>
              <w:spacing w:after="80"/>
            </w:pPr>
            <w:r>
              <w:rPr>
                <w:rFonts w:ascii="Calibri" w:hAnsi="Calibri"/>
                <w:color w:val="22333B"/>
                <w:sz w:val="20"/>
              </w:rPr>
              <w:t>Drop Q5 and set it as reading. Do NOT drop Q2 — the safety class argument is the value of this exercise.</w:t>
            </w:r>
          </w:p>
        </w:tc>
      </w:tr>
    </w:tbl>
    <w:p>
      <w:pPr>
        <w:spacing w:after="80"/>
      </w:pPr>
    </w:p>
    <w:p>
      <w:r>
        <w:br w:type="page"/>
      </w:r>
    </w:p>
    <w:p>
      <w:pPr>
        <w:spacing w:after="40" w:before="0"/>
      </w:pPr>
      <w:r>
        <w:rPr>
          <w:rFonts w:ascii="Calibri" w:hAnsi="Calibri"/>
          <w:b/>
          <w:color w:val="A83A3C"/>
          <w:sz w:val="17"/>
          <w:spacing w:val="30"/>
        </w:rPr>
        <w:t>ANSWER KEY  ·  WORKING SESSION 2</w:t>
      </w:r>
    </w:p>
    <w:p>
      <w:pPr>
        <w:spacing w:after="80" w:before="0"/>
      </w:pPr>
      <w:r>
        <w:rPr>
          <w:rFonts w:ascii="Cambria" w:hAnsi="Cambria"/>
          <w:b/>
          <w:color w:val="1B3A4B"/>
          <w:sz w:val="36"/>
        </w:rPr>
        <w:t>Working session 2 — Monday morning, 07:40</w:t>
      </w:r>
    </w:p>
    <w:p>
      <w:pPr>
        <w:spacing w:before="120" w:after="120"/>
        <w:pBdr>
          <w:bottom w:val="single" w:sz="6" w:space="1" w:color="D7E2E5"/>
        </w:pBdr>
      </w:pPr>
    </w:p>
    <w:p>
      <w:pPr>
        <w:spacing w:after="120"/>
      </w:pPr>
      <w:r>
        <w:rPr>
          <w:rFonts w:ascii="Calibri" w:hAnsi="Calibri"/>
          <w:b w:val="0"/>
          <w:i/>
          <w:color w:val="4E626D"/>
          <w:sz w:val="21"/>
        </w:rPr>
        <w:t>15 minutes, facilitator-paced: 1 min setup, three rounds of 4 min, 2 min debrief. Read the scenario aloud yourself — it lands better than letting them read it. Call each round. Keep the clock moving; time pressure is part of the learning.</w:t>
      </w:r>
    </w:p>
    <w:p>
      <w:pPr>
        <w:keepNext/>
        <w:spacing w:after="80" w:before="120"/>
      </w:pPr>
      <w:r>
        <w:rPr>
          <w:rFonts w:ascii="Cambria" w:hAnsi="Cambria"/>
          <w:b/>
          <w:color w:val="1B3A4B"/>
          <w:sz w:val="27"/>
        </w:rPr>
        <w:t>Round 1 — the first four hours</w:t>
      </w:r>
    </w:p>
    <w:p>
      <w:pPr>
        <w:keepNext/>
        <w:spacing w:after="40" w:before="80"/>
      </w:pPr>
      <w:r>
        <w:rPr>
          <w:rFonts w:ascii="Calibri" w:hAnsi="Calibri"/>
          <w:b/>
          <w:color w:val="0E7C7B"/>
          <w:sz w:val="21"/>
        </w:rPr>
        <w:t>What to listen for</w:t>
      </w:r>
    </w:p>
    <w:p>
      <w:pPr>
        <w:pStyle w:val="ListBullet"/>
        <w:spacing w:after="60" w:line="254" w:lineRule="auto"/>
        <w:ind w:left="576"/>
      </w:pPr>
      <w:r>
        <w:rPr>
          <w:rFonts w:ascii="Calibri" w:hAnsi="Calibri"/>
          <w:b/>
          <w:color w:val="1B3A4B"/>
          <w:sz w:val="21"/>
        </w:rPr>
        <w:t xml:space="preserve">Does anyone acknowledge the researcher today? </w:t>
      </w:r>
      <w:r>
        <w:rPr>
          <w:rFonts w:ascii="Calibri" w:hAnsi="Calibri"/>
          <w:color w:val="22333B"/>
          <w:sz w:val="21"/>
        </w:rPr>
        <w:t>This is the cheapest and most commonly missed action. A holding reply naming a human and giving a date starts a 90-day collaboration. Silence starts a countdown. If no table mentions it, that is your headline.</w:t>
      </w:r>
    </w:p>
    <w:p>
      <w:pPr>
        <w:pStyle w:val="ListBullet"/>
        <w:spacing w:after="60" w:line="254" w:lineRule="auto"/>
        <w:ind w:left="576"/>
      </w:pPr>
      <w:r>
        <w:rPr>
          <w:rFonts w:ascii="Calibri" w:hAnsi="Calibri"/>
          <w:b/>
          <w:color w:val="1B3A4B"/>
          <w:sz w:val="21"/>
        </w:rPr>
        <w:t xml:space="preserve">Who is in the room: </w:t>
      </w:r>
      <w:r>
        <w:rPr>
          <w:rFonts w:ascii="Calibri" w:hAnsi="Calibri"/>
          <w:color w:val="22333B"/>
          <w:sz w:val="21"/>
        </w:rPr>
        <w:t>Engineering, regulatory, clinical, quality, legal, communications, and someone with authority to spend money. If legal is the only name offered, challenge it.</w:t>
      </w:r>
    </w:p>
    <w:p>
      <w:pPr>
        <w:pStyle w:val="ListBullet"/>
        <w:spacing w:after="60" w:line="254" w:lineRule="auto"/>
        <w:ind w:left="576"/>
      </w:pPr>
      <w:r>
        <w:rPr>
          <w:rFonts w:ascii="Calibri" w:hAnsi="Calibri"/>
          <w:b/>
          <w:color w:val="1B3A4B"/>
          <w:sz w:val="21"/>
        </w:rPr>
        <w:t xml:space="preserve">The three things to establish: </w:t>
      </w:r>
      <w:r>
        <w:rPr>
          <w:rFonts w:ascii="Calibri" w:hAnsi="Calibri"/>
          <w:color w:val="22333B"/>
          <w:sz w:val="21"/>
        </w:rPr>
        <w:t>(a) is it real and reproducible; (b) what is the clinical consequence if exploited — what can the attacker actually make the pump do; (c) what is the real exposure — how many units, in what configurations, with what network posture.</w:t>
      </w:r>
    </w:p>
    <w:p>
      <w:pPr>
        <w:pStyle w:val="ListBullet"/>
        <w:spacing w:after="60" w:line="254" w:lineRule="auto"/>
        <w:ind w:left="576"/>
      </w:pPr>
      <w:r>
        <w:rPr>
          <w:rFonts w:ascii="Calibri" w:hAnsi="Calibri"/>
          <w:b/>
          <w:color w:val="1B3A4B"/>
          <w:sz w:val="21"/>
        </w:rPr>
        <w:t xml:space="preserve">Watch for: </w:t>
      </w:r>
      <w:r>
        <w:rPr>
          <w:rFonts w:ascii="Calibri" w:hAnsi="Calibri"/>
          <w:color w:val="22333B"/>
          <w:sz w:val="21"/>
        </w:rPr>
        <w:t>the instinct to ask the researcher for an NDA before engaging. Name it if it comes up — it is a common reflex and it reliably damages the relationship.</w:t>
      </w:r>
    </w:p>
    <w:p>
      <w:pPr>
        <w:keepNext/>
        <w:spacing w:after="80" w:before="240"/>
      </w:pPr>
      <w:r>
        <w:rPr>
          <w:rFonts w:ascii="Cambria" w:hAnsi="Cambria"/>
          <w:b/>
          <w:color w:val="1B3A4B"/>
          <w:sz w:val="27"/>
        </w:rPr>
        <w:t>Round 2 — day three</w:t>
      </w:r>
    </w:p>
    <w:p>
      <w:pPr>
        <w:keepNext/>
        <w:spacing w:after="40" w:before="80"/>
      </w:pPr>
      <w:r>
        <w:rPr>
          <w:rFonts w:ascii="Calibri" w:hAnsi="Calibri"/>
          <w:b/>
          <w:color w:val="0E7C7B"/>
          <w:sz w:val="21"/>
        </w:rPr>
        <w:t>Controlled or uncontrolled?</w:t>
      </w:r>
    </w:p>
    <w:p>
      <w:pPr>
        <w:spacing w:after="120"/>
      </w:pPr>
      <w:r>
        <w:rPr>
          <w:rFonts w:ascii="Calibri" w:hAnsi="Calibri"/>
          <w:b w:val="0"/>
          <w:i w:val="0"/>
          <w:color w:val="22333B"/>
          <w:sz w:val="21"/>
        </w:rPr>
        <w:t>Guide them to the reasoning rather than the answer. Unauthenticated remote code execution at 10 metres on a device delivering medication, with a working proof of concept in existence, is very hard to argue is controlled. Draw out what would have to be true for it to be controlled — and note that a compensating control the hospital must apply is not the same as a control you have implemented.</w:t>
      </w:r>
    </w:p>
    <w:p>
      <w:pPr>
        <w:keepNext/>
        <w:spacing w:after="40" w:before="180"/>
      </w:pPr>
      <w:r>
        <w:rPr>
          <w:rFonts w:ascii="Calibri" w:hAnsi="Calibri"/>
          <w:b/>
          <w:color w:val="0E7C7B"/>
          <w:sz w:val="21"/>
        </w:rPr>
        <w:t>Reporting</w:t>
      </w:r>
    </w:p>
    <w:tbl>
      <w:tblPr>
        <w:tblW w:type="auto" w:w="0"/>
        <w:jc w:val="left"/>
        <w:tblLayout w:type="fixed"/>
        <w:tblLook w:firstColumn="1" w:firstRow="1" w:lastColumn="0" w:lastRow="0" w:noHBand="0" w:noVBand="1" w:val="04A0"/>
        <w:tblBorders>
          <w:top w:val="single" w:sz="6" w:space="0" w:color="CFDFDE"/>
          <w:left w:val="single" w:sz="6" w:space="0" w:color="CFDFDE"/>
          <w:bottom w:val="single" w:sz="6" w:space="0" w:color="CFDFDE"/>
          <w:right w:val="single" w:sz="6" w:space="0" w:color="CFDFDE"/>
          <w:insideH w:val="single" w:sz="6" w:space="0" w:color="CFDFDE"/>
          <w:insideV w:val="single" w:sz="6" w:space="0" w:color="CFDFDE"/>
        </w:tblBorders>
        <w:tblLayout w:type="fixed"/>
        <w:tblW w:w="9792" w:type="dxa"/>
      </w:tblPr>
      <w:tblGrid>
        <w:gridCol w:w="9792"/>
      </w:tblGrid>
      <w:tr>
        <w:trPr>
          <w:cantSplit/>
        </w:trPr>
        <w:tc>
          <w:tcPr>
            <w:tcW w:type="dxa" w:w="9792"/>
            <w:shd w:val="clear" w:color="auto" w:fill="FBEDED"/>
          </w:tcPr>
          <w:p>
            <w:pPr>
              <w:spacing w:after="60" w:before="80"/>
            </w:pPr>
            <w:r/>
            <w:r>
              <w:rPr>
                <w:rFonts w:ascii="Calibri" w:hAnsi="Calibri"/>
                <w:b/>
                <w:color w:val="A83A3C"/>
                <w:sz w:val="21"/>
              </w:rPr>
              <w:t>Be careful here — this matters</w:t>
            </w:r>
          </w:p>
          <w:p>
            <w:pPr>
              <w:spacing w:after="80"/>
            </w:pPr>
            <w:r>
              <w:rPr>
                <w:rFonts w:ascii="Calibri" w:hAnsi="Calibri"/>
                <w:color w:val="22333B"/>
                <w:sz w:val="20"/>
              </w:rPr>
              <w:t>The correct professional answer is that regulatory affairs is engaged now and the team works FDA's postmarket cybersecurity guidance deliberately against the facts. Do not let a table assert a bright-line rule from memory, and do not do so yourself. Reward the answer “we bring regulatory in on day one.” If pressed for specifics, direct them to the 2016 guidance rather than reciting conditions.</w:t>
            </w:r>
          </w:p>
        </w:tc>
      </w:tr>
    </w:tbl>
    <w:p>
      <w:pPr>
        <w:spacing w:after="80"/>
      </w:pPr>
    </w:p>
    <w:p>
      <w:pPr>
        <w:keepNext/>
        <w:spacing w:after="40" w:before="180"/>
      </w:pPr>
      <w:r>
        <w:rPr>
          <w:rFonts w:ascii="Calibri" w:hAnsi="Calibri"/>
          <w:b/>
          <w:color w:val="0E7C7B"/>
          <w:sz w:val="21"/>
        </w:rPr>
        <w:t>Customer communication</w:t>
      </w:r>
    </w:p>
    <w:p>
      <w:pPr>
        <w:spacing w:after="120"/>
      </w:pPr>
      <w:r>
        <w:rPr>
          <w:rFonts w:ascii="Calibri" w:hAnsi="Calibri"/>
          <w:b w:val="0"/>
          <w:i w:val="0"/>
          <w:color w:val="22333B"/>
          <w:sz w:val="21"/>
        </w:rPr>
        <w:t>Push on WHO. The purchasing contact is not the person who can segment a network at two in the morning. Do they know how to reach biomedical engineering and hospital security across their customer base? Most manufacturers do not, and that is a real and actionable finding.</w:t>
      </w:r>
    </w:p>
    <w:p>
      <w:pPr>
        <w:keepNext/>
        <w:spacing w:after="80" w:before="240"/>
      </w:pPr>
      <w:r>
        <w:rPr>
          <w:rFonts w:ascii="Cambria" w:hAnsi="Cambria"/>
          <w:b/>
          <w:color w:val="1B3A4B"/>
          <w:sz w:val="27"/>
        </w:rPr>
        <w:t>Round 3 — day thirty</w:t>
      </w:r>
    </w:p>
    <w:p>
      <w:pPr>
        <w:keepNext/>
        <w:spacing w:after="40" w:before="80"/>
      </w:pPr>
      <w:r>
        <w:rPr>
          <w:rFonts w:ascii="Calibri" w:hAnsi="Calibri"/>
          <w:b/>
          <w:color w:val="0E7C7B"/>
          <w:sz w:val="21"/>
        </w:rPr>
        <w:t>The 4,200 unpatchable units</w:t>
      </w:r>
    </w:p>
    <w:p>
      <w:pPr>
        <w:spacing w:after="120"/>
      </w:pPr>
      <w:r>
        <w:rPr>
          <w:rFonts w:ascii="Calibri" w:hAnsi="Calibri"/>
          <w:b w:val="0"/>
          <w:i w:val="0"/>
          <w:color w:val="22333B"/>
          <w:sz w:val="21"/>
        </w:rPr>
        <w:t>Options: field service visits to update by another route if one exists; hardware replacement; compensating controls plus an accelerated replacement programme; or withdrawal. All are expensive. That is the point — the cost was set by a hardware decision taken years ago. Connect explicitly to the 2019 insulin pump case on slide 32: unpatchable meant recall.</w:t>
      </w:r>
    </w:p>
    <w:p>
      <w:pPr>
        <w:keepNext/>
        <w:spacing w:after="40" w:before="180"/>
      </w:pPr>
      <w:r>
        <w:rPr>
          <w:rFonts w:ascii="Calibri" w:hAnsi="Calibri"/>
          <w:b/>
          <w:color w:val="0E7C7B"/>
          <w:sz w:val="21"/>
        </w:rPr>
        <w:t>Compensating controls hospitals can apply</w:t>
      </w:r>
    </w:p>
    <w:p>
      <w:pPr>
        <w:spacing w:after="120"/>
      </w:pPr>
      <w:r>
        <w:rPr>
          <w:rFonts w:ascii="Calibri" w:hAnsi="Calibri"/>
          <w:b w:val="0"/>
          <w:i w:val="0"/>
          <w:color w:val="22333B"/>
          <w:sz w:val="21"/>
        </w:rPr>
        <w:t>Is Bluetooth disableable? Can the pump operate without the radio? Physical access restrictions, monitoring, network segmentation. Draw out the clinical cost: “disable the radio” may remove functionality the hospital paid for, so the mitigation is not free.</w:t>
      </w:r>
    </w:p>
    <w:p>
      <w:pPr>
        <w:keepNext/>
        <w:spacing w:after="40" w:before="180"/>
      </w:pPr>
      <w:r>
        <w:rPr>
          <w:rFonts w:ascii="Calibri" w:hAnsi="Calibri"/>
          <w:b/>
          <w:color w:val="0E7C7B"/>
          <w:sz w:val="21"/>
        </w:rPr>
        <w:t>The closing question — the bridge to Part 4</w:t>
      </w:r>
    </w:p>
    <w:p>
      <w:pPr>
        <w:spacing w:after="60"/>
      </w:pPr>
      <w:r>
        <w:rPr>
          <w:rFonts w:ascii="Calibri" w:hAnsi="Calibri"/>
          <w:b w:val="0"/>
          <w:i w:val="0"/>
          <w:color w:val="22333B"/>
          <w:sz w:val="21"/>
        </w:rPr>
        <w:t>“What would have made this a two-week problem instead?” Take this from two or three tables and write the answers on a whiteboard. Expect:</w:t>
      </w:r>
    </w:p>
    <w:p>
      <w:pPr>
        <w:pStyle w:val="ListBullet"/>
        <w:spacing w:after="60" w:line="254" w:lineRule="auto"/>
        <w:ind w:left="576"/>
      </w:pPr>
      <w:r>
        <w:rPr>
          <w:rFonts w:ascii="Calibri" w:hAnsi="Calibri"/>
          <w:color w:val="22333B"/>
          <w:sz w:val="21"/>
        </w:rPr>
        <w:t>An SBOM — know within minutes which units use the library.</w:t>
      </w:r>
    </w:p>
    <w:p>
      <w:pPr>
        <w:pStyle w:val="ListBullet"/>
        <w:spacing w:after="60" w:line="254" w:lineRule="auto"/>
        <w:ind w:left="576"/>
      </w:pPr>
      <w:r>
        <w:rPr>
          <w:rFonts w:ascii="Calibri" w:hAnsi="Calibri"/>
          <w:color w:val="22333B"/>
          <w:sz w:val="21"/>
        </w:rPr>
        <w:t>A published CVD process — the report reaches the right person in minutes, not via general support.</w:t>
      </w:r>
    </w:p>
    <w:p>
      <w:pPr>
        <w:pStyle w:val="ListBullet"/>
        <w:spacing w:after="60" w:line="254" w:lineRule="auto"/>
        <w:ind w:left="576"/>
      </w:pPr>
      <w:r>
        <w:rPr>
          <w:rFonts w:ascii="Calibri" w:hAnsi="Calibri"/>
          <w:color w:val="22333B"/>
          <w:sz w:val="21"/>
        </w:rPr>
        <w:t>A pre-validated emergency patch path, already rehearsed.</w:t>
      </w:r>
    </w:p>
    <w:p>
      <w:pPr>
        <w:pStyle w:val="ListBullet"/>
        <w:spacing w:after="60" w:line="254" w:lineRule="auto"/>
        <w:ind w:left="576"/>
      </w:pPr>
      <w:r>
        <w:rPr>
          <w:rFonts w:ascii="Calibri" w:hAnsi="Calibri"/>
          <w:color w:val="22333B"/>
          <w:sz w:val="21"/>
        </w:rPr>
        <w:t>Universal updateability — no hardware revision left behind.</w:t>
      </w:r>
    </w:p>
    <w:p>
      <w:pPr>
        <w:pStyle w:val="ListBullet"/>
        <w:spacing w:after="60" w:line="254" w:lineRule="auto"/>
        <w:ind w:left="576"/>
      </w:pPr>
      <w:r>
        <w:rPr>
          <w:rFonts w:ascii="Calibri" w:hAnsi="Calibri"/>
          <w:color w:val="22333B"/>
          <w:sz w:val="21"/>
        </w:rPr>
        <w:t>A rehearsed communication route to hospital security and biomedical engineering teams.</w:t>
      </w:r>
    </w:p>
    <w:p>
      <w:pPr>
        <w:pStyle w:val="ListBullet"/>
        <w:spacing w:after="60" w:line="254" w:lineRule="auto"/>
        <w:ind w:left="576"/>
      </w:pPr>
      <w:r>
        <w:rPr>
          <w:rFonts w:ascii="Calibri" w:hAnsi="Calibri"/>
          <w:color w:val="22333B"/>
          <w:sz w:val="21"/>
        </w:rPr>
        <w:t>A threat model that had already identified the wireless interface as the primary attack surface.</w:t>
      </w:r>
    </w:p>
    <w:p>
      <w:pPr>
        <w:spacing w:after="120"/>
      </w:pPr>
      <w:r>
        <w:rPr>
          <w:rFonts w:ascii="Calibri" w:hAnsi="Calibri"/>
          <w:b/>
          <w:i w:val="0"/>
          <w:color w:val="1B3A4B"/>
          <w:sz w:val="21"/>
        </w:rPr>
        <w:t>Every one of these was a design or process decision available before Monday morning. That list IS Part 4. Transition on it: “Everything here was decidable before this happened. That is the whole seminar.”</w:t>
      </w:r>
    </w:p>
    <w:p>
      <w:r>
        <w:br w:type="page"/>
      </w:r>
    </w:p>
    <w:p>
      <w:pPr>
        <w:spacing w:after="40" w:before="0"/>
      </w:pPr>
      <w:r>
        <w:rPr>
          <w:rFonts w:ascii="Calibri" w:hAnsi="Calibri"/>
          <w:b/>
          <w:color w:val="0E7C7B"/>
          <w:sz w:val="17"/>
          <w:spacing w:val="30"/>
        </w:rPr>
        <w:t>QUESTIONS AND CLOSING</w:t>
      </w:r>
    </w:p>
    <w:p>
      <w:pPr>
        <w:spacing w:after="80" w:before="0"/>
      </w:pPr>
      <w:r>
        <w:rPr>
          <w:rFonts w:ascii="Cambria" w:hAnsi="Cambria"/>
          <w:b/>
          <w:color w:val="1B3A4B"/>
          <w:sz w:val="36"/>
        </w:rPr>
        <w:t>Questions you should expect</w:t>
      </w:r>
    </w:p>
    <w:p>
      <w:pPr>
        <w:spacing w:before="120" w:after="160"/>
        <w:pBdr>
          <w:bottom w:val="single" w:sz="6" w:space="1" w:color="D7E2E5"/>
        </w:pBdr>
      </w:pP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2736"/>
        <w:gridCol w:w="7056"/>
      </w:tblGrid>
      <w:tr>
        <w:trPr>
          <w:cantSplit/>
          <w:tblHeader/>
        </w:trPr>
        <w:tc>
          <w:tcPr>
            <w:tcW w:type="dxa" w:w="2736"/>
            <w:shd w:val="clear" w:color="auto" w:fill="1B3A4B"/>
          </w:tcPr>
          <w:p>
            <w:pPr>
              <w:spacing w:after="40" w:before="40"/>
            </w:pPr>
            <w:r/>
            <w:r>
              <w:rPr>
                <w:rFonts w:ascii="Calibri" w:hAnsi="Calibri"/>
                <w:b/>
                <w:i w:val="0"/>
                <w:color w:val="FFFFFF"/>
                <w:sz w:val="18"/>
              </w:rPr>
              <w:t>Question</w:t>
            </w:r>
          </w:p>
        </w:tc>
        <w:tc>
          <w:tcPr>
            <w:tcW w:type="dxa" w:w="7056"/>
            <w:shd w:val="clear" w:color="auto" w:fill="1B3A4B"/>
          </w:tcPr>
          <w:p>
            <w:pPr>
              <w:spacing w:after="40" w:before="40"/>
            </w:pPr>
            <w:r/>
            <w:r>
              <w:rPr>
                <w:rFonts w:ascii="Calibri" w:hAnsi="Calibri"/>
                <w:b/>
                <w:i w:val="0"/>
                <w:color w:val="FFFFFF"/>
                <w:sz w:val="18"/>
              </w:rPr>
              <w:t>How to handle it</w:t>
            </w:r>
          </w:p>
        </w:tc>
      </w:tr>
      <w:tr>
        <w:trPr>
          <w:cantSplit/>
        </w:trPr>
        <w:tc>
          <w:tcPr>
            <w:tcW w:type="dxa" w:w="2736"/>
          </w:tcPr>
          <w:p>
            <w:pPr>
              <w:spacing w:after="40" w:before="40"/>
            </w:pPr>
            <w:r/>
            <w:r>
              <w:rPr>
                <w:rFonts w:ascii="Calibri" w:hAnsi="Calibri"/>
                <w:b/>
                <w:i w:val="0"/>
                <w:color w:val="22333B"/>
                <w:sz w:val="18"/>
              </w:rPr>
              <w:t>“Does 524B apply to our product?”</w:t>
            </w:r>
          </w:p>
        </w:tc>
        <w:tc>
          <w:tcPr>
            <w:tcW w:type="dxa" w:w="7056"/>
          </w:tcPr>
          <w:p>
            <w:pPr>
              <w:spacing w:after="40" w:before="40"/>
            </w:pPr>
            <w:r/>
            <w:r>
              <w:rPr>
                <w:rFonts w:ascii="Calibri" w:hAnsi="Calibri"/>
                <w:b w:val="0"/>
                <w:i w:val="0"/>
                <w:color w:val="22333B"/>
                <w:sz w:val="18"/>
              </w:rPr>
              <w:t>Do not answer definitively for someone else's device. Walk them through the three limbs of the definition and tell them to document the determination. Offer to talk afterwards.</w:t>
            </w:r>
          </w:p>
        </w:tc>
      </w:tr>
      <w:tr>
        <w:trPr>
          <w:cantSplit/>
        </w:trPr>
        <w:tc>
          <w:tcPr>
            <w:tcW w:type="dxa" w:w="2736"/>
          </w:tcPr>
          <w:p>
            <w:pPr>
              <w:spacing w:after="40" w:before="40"/>
            </w:pPr>
            <w:r/>
            <w:r>
              <w:rPr>
                <w:rFonts w:ascii="Calibri" w:hAnsi="Calibri"/>
                <w:b/>
                <w:i w:val="0"/>
                <w:color w:val="22333B"/>
                <w:sz w:val="18"/>
              </w:rPr>
              <w:t>“How much security testing is enough?”</w:t>
            </w:r>
          </w:p>
        </w:tc>
        <w:tc>
          <w:tcPr>
            <w:tcW w:type="dxa" w:w="7056"/>
          </w:tcPr>
          <w:p>
            <w:pPr>
              <w:spacing w:after="40" w:before="40"/>
            </w:pPr>
            <w:r/>
            <w:r>
              <w:rPr>
                <w:rFonts w:ascii="Calibri" w:hAnsi="Calibri"/>
                <w:b w:val="0"/>
                <w:i w:val="0"/>
                <w:color w:val="22333B"/>
                <w:sz w:val="18"/>
              </w:rPr>
              <w:t>Enough to demonstrate your threat model's controls work, plus continuous automated vulnerability testing, plus periodic independent testing scoped to the whole system — including the cloud and the update path. Resist giving a number.</w:t>
            </w:r>
          </w:p>
        </w:tc>
      </w:tr>
      <w:tr>
        <w:trPr>
          <w:cantSplit/>
        </w:trPr>
        <w:tc>
          <w:tcPr>
            <w:tcW w:type="dxa" w:w="2736"/>
          </w:tcPr>
          <w:p>
            <w:pPr>
              <w:spacing w:after="40" w:before="40"/>
            </w:pPr>
            <w:r/>
            <w:r>
              <w:rPr>
                <w:rFonts w:ascii="Calibri" w:hAnsi="Calibri"/>
                <w:b/>
                <w:i w:val="0"/>
                <w:color w:val="22333B"/>
                <w:sz w:val="18"/>
              </w:rPr>
              <w:t>“Do we need a separate security team?”</w:t>
            </w:r>
          </w:p>
        </w:tc>
        <w:tc>
          <w:tcPr>
            <w:tcW w:type="dxa" w:w="7056"/>
          </w:tcPr>
          <w:p>
            <w:pPr>
              <w:spacing w:after="40" w:before="40"/>
            </w:pPr>
            <w:r/>
            <w:r>
              <w:rPr>
                <w:rFonts w:ascii="Calibri" w:hAnsi="Calibri"/>
                <w:b w:val="0"/>
                <w:i w:val="0"/>
                <w:color w:val="22333B"/>
                <w:sz w:val="18"/>
              </w:rPr>
              <w:t>Not necessarily. You need named ownership and competence. A small organisation can do this with an engineer who has the remit and the training. What does not work is diffuse responsibility.</w:t>
            </w:r>
          </w:p>
        </w:tc>
      </w:tr>
      <w:tr>
        <w:trPr>
          <w:cantSplit/>
        </w:trPr>
        <w:tc>
          <w:tcPr>
            <w:tcW w:type="dxa" w:w="2736"/>
          </w:tcPr>
          <w:p>
            <w:pPr>
              <w:spacing w:after="40" w:before="40"/>
            </w:pPr>
            <w:r/>
            <w:r>
              <w:rPr>
                <w:rFonts w:ascii="Calibri" w:hAnsi="Calibri"/>
                <w:b/>
                <w:i w:val="0"/>
                <w:color w:val="22333B"/>
                <w:sz w:val="18"/>
              </w:rPr>
              <w:t>“What about our legacy products?”</w:t>
            </w:r>
          </w:p>
        </w:tc>
        <w:tc>
          <w:tcPr>
            <w:tcW w:type="dxa" w:w="7056"/>
          </w:tcPr>
          <w:p>
            <w:pPr>
              <w:spacing w:after="40" w:before="40"/>
            </w:pPr>
            <w:r/>
            <w:r>
              <w:rPr>
                <w:rFonts w:ascii="Calibri" w:hAnsi="Calibri"/>
                <w:b w:val="0"/>
                <w:i w:val="0"/>
                <w:color w:val="22333B"/>
                <w:sz w:val="18"/>
              </w:rPr>
              <w:t>Slide 44. Inventory what is deployed, assess reachability rather than presence, provide compensating controls and honest hardening guidance, publish end-of-support dates. Nobody expects a retrofit of the full lifecycle.</w:t>
            </w:r>
          </w:p>
        </w:tc>
      </w:tr>
      <w:tr>
        <w:trPr>
          <w:cantSplit/>
        </w:trPr>
        <w:tc>
          <w:tcPr>
            <w:tcW w:type="dxa" w:w="2736"/>
          </w:tcPr>
          <w:p>
            <w:pPr>
              <w:spacing w:after="40" w:before="40"/>
            </w:pPr>
            <w:r/>
            <w:r>
              <w:rPr>
                <w:rFonts w:ascii="Calibri" w:hAnsi="Calibri"/>
                <w:b/>
                <w:i w:val="0"/>
                <w:color w:val="22333B"/>
                <w:sz w:val="18"/>
              </w:rPr>
              <w:t>“Is CSA going to reduce our validation burden?”</w:t>
            </w:r>
          </w:p>
        </w:tc>
        <w:tc>
          <w:tcPr>
            <w:tcW w:type="dxa" w:w="7056"/>
          </w:tcPr>
          <w:p>
            <w:pPr>
              <w:spacing w:after="40" w:before="40"/>
            </w:pPr>
            <w:r/>
            <w:r>
              <w:rPr>
                <w:rFonts w:ascii="Calibri" w:hAnsi="Calibri"/>
                <w:b w:val="0"/>
                <w:i w:val="0"/>
                <w:color w:val="22333B"/>
                <w:sz w:val="18"/>
              </w:rPr>
              <w:t>For production and quality management system software, that is its intent — and it was finalised in September 2025. For device software you ship, no: design controls and 62304 still govern. Be firm on this; the confusion is common and consequential.</w:t>
            </w:r>
          </w:p>
        </w:tc>
      </w:tr>
      <w:tr>
        <w:trPr>
          <w:cantSplit/>
        </w:trPr>
        <w:tc>
          <w:tcPr>
            <w:tcW w:type="dxa" w:w="2736"/>
          </w:tcPr>
          <w:p>
            <w:pPr>
              <w:spacing w:after="40" w:before="40"/>
            </w:pPr>
            <w:r/>
            <w:r>
              <w:rPr>
                <w:rFonts w:ascii="Calibri" w:hAnsi="Calibri"/>
                <w:b/>
                <w:i w:val="0"/>
                <w:color w:val="22333B"/>
                <w:sz w:val="18"/>
              </w:rPr>
              <w:t>“Our notified body / reviewer asked for X.”</w:t>
            </w:r>
          </w:p>
        </w:tc>
        <w:tc>
          <w:tcPr>
            <w:tcW w:type="dxa" w:w="7056"/>
          </w:tcPr>
          <w:p>
            <w:pPr>
              <w:spacing w:after="40" w:before="40"/>
            </w:pPr>
            <w:r/>
            <w:r>
              <w:rPr>
                <w:rFonts w:ascii="Calibri" w:hAnsi="Calibri"/>
                <w:b w:val="0"/>
                <w:i w:val="0"/>
                <w:color w:val="22333B"/>
                <w:sz w:val="18"/>
              </w:rPr>
              <w:t>Take it as a real data point, but be careful about generalising one reviewer's request into an industry expectation.</w:t>
            </w:r>
          </w:p>
        </w:tc>
      </w:tr>
      <w:tr>
        <w:trPr>
          <w:cantSplit/>
        </w:trPr>
        <w:tc>
          <w:tcPr>
            <w:tcW w:type="dxa" w:w="2736"/>
          </w:tcPr>
          <w:p>
            <w:pPr>
              <w:spacing w:after="40" w:before="40"/>
            </w:pPr>
            <w:r/>
            <w:r>
              <w:rPr>
                <w:rFonts w:ascii="Calibri" w:hAnsi="Calibri"/>
                <w:b/>
                <w:i w:val="0"/>
                <w:color w:val="22333B"/>
                <w:sz w:val="18"/>
              </w:rPr>
              <w:t>“Can we just do a penetration test?”</w:t>
            </w:r>
          </w:p>
        </w:tc>
        <w:tc>
          <w:tcPr>
            <w:tcW w:type="dxa" w:w="7056"/>
          </w:tcPr>
          <w:p>
            <w:pPr>
              <w:spacing w:after="40" w:before="40"/>
            </w:pPr>
            <w:r/>
            <w:r>
              <w:rPr>
                <w:rFonts w:ascii="Calibri" w:hAnsi="Calibri"/>
                <w:b w:val="0"/>
                <w:i w:val="0"/>
                <w:color w:val="22333B"/>
                <w:sz w:val="18"/>
              </w:rPr>
              <w:t>No — slide 41. It is one of four categories and it is a point-in-time sample. It does not substitute for requirements testing, threat mitigation testing or continuous vulnerability testing.</w:t>
            </w:r>
          </w:p>
        </w:tc>
      </w:tr>
      <w:tr>
        <w:trPr>
          <w:cantSplit/>
        </w:trPr>
        <w:tc>
          <w:tcPr>
            <w:tcW w:type="dxa" w:w="2736"/>
          </w:tcPr>
          <w:p>
            <w:pPr>
              <w:spacing w:after="40" w:before="40"/>
            </w:pPr>
            <w:r/>
            <w:r>
              <w:rPr>
                <w:rFonts w:ascii="Calibri" w:hAnsi="Calibri"/>
                <w:b/>
                <w:i w:val="0"/>
                <w:color w:val="22333B"/>
                <w:sz w:val="18"/>
              </w:rPr>
              <w:t>“What does FDA actually check?”</w:t>
            </w:r>
          </w:p>
        </w:tc>
        <w:tc>
          <w:tcPr>
            <w:tcW w:type="dxa" w:w="7056"/>
          </w:tcPr>
          <w:p>
            <w:pPr>
              <w:spacing w:after="40" w:before="40"/>
            </w:pPr>
            <w:r/>
            <w:r>
              <w:rPr>
                <w:rFonts w:ascii="Calibri" w:hAnsi="Calibri"/>
                <w:b w:val="0"/>
                <w:i w:val="0"/>
                <w:color w:val="22333B"/>
                <w:sz w:val="18"/>
              </w:rPr>
              <w:t>Avoid speculating about review practice. Redirect to what the guidance asks for and what makes documentation adequate rather than merely present.</w:t>
            </w:r>
          </w:p>
        </w:tc>
      </w:tr>
    </w:tbl>
    <w:p>
      <w:pPr>
        <w:keepNext/>
        <w:spacing w:after="80" w:before="240"/>
      </w:pPr>
      <w:r>
        <w:rPr>
          <w:rFonts w:ascii="Cambria" w:hAnsi="Cambria"/>
          <w:b/>
          <w:color w:val="1B3A4B"/>
          <w:sz w:val="27"/>
        </w:rPr>
        <w:t>Closing the session</w:t>
      </w:r>
    </w:p>
    <w:p>
      <w:pPr>
        <w:spacing w:after="120"/>
      </w:pPr>
      <w:r>
        <w:rPr>
          <w:rFonts w:ascii="Calibri" w:hAnsi="Calibri"/>
          <w:b w:val="0"/>
          <w:i w:val="0"/>
          <w:color w:val="22333B"/>
          <w:sz w:val="21"/>
        </w:rPr>
        <w:t>Thank them, point at the workbook action page, and ask everyone to write down one thing they will do this week before they leave the room. Commitment made in the room is the only part of a seminar that reliably survives the journey back to the office.</w:t>
      </w:r>
    </w:p>
    <w:tbl>
      <w:tblPr>
        <w:tblW w:type="auto" w:w="0"/>
        <w:jc w:val="left"/>
        <w:tblLayout w:type="fixed"/>
        <w:tblLook w:firstColumn="1" w:firstRow="1" w:lastColumn="0" w:lastRow="0" w:noHBand="0" w:noVBand="1" w:val="04A0"/>
        <w:tblBorders>
          <w:top w:val="single" w:sz="6" w:space="0" w:color="CFDFDE"/>
          <w:left w:val="single" w:sz="6" w:space="0" w:color="CFDFDE"/>
          <w:bottom w:val="single" w:sz="6" w:space="0" w:color="CFDFDE"/>
          <w:right w:val="single" w:sz="6" w:space="0" w:color="CFDFDE"/>
          <w:insideH w:val="single" w:sz="6" w:space="0" w:color="CFDFDE"/>
          <w:insideV w:val="single" w:sz="6" w:space="0" w:color="CFDFDE"/>
        </w:tblBorders>
        <w:tblLayout w:type="fixed"/>
        <w:tblW w:w="9792" w:type="dxa"/>
      </w:tblPr>
      <w:tblGrid>
        <w:gridCol w:w="9792"/>
      </w:tblGrid>
      <w:tr>
        <w:trPr>
          <w:cantSplit/>
        </w:trPr>
        <w:tc>
          <w:tcPr>
            <w:tcW w:type="dxa" w:w="9792"/>
            <w:shd w:val="clear" w:color="auto" w:fill="EAF3F2"/>
          </w:tcPr>
          <w:p>
            <w:pPr>
              <w:spacing w:after="60" w:before="80"/>
            </w:pPr>
            <w:r/>
            <w:r>
              <w:rPr>
                <w:rFonts w:ascii="Calibri" w:hAnsi="Calibri"/>
                <w:b/>
                <w:color w:val="0E7C7B"/>
                <w:sz w:val="21"/>
              </w:rPr>
              <w:t>One-line summary, if you need to land the session in a sentence</w:t>
            </w:r>
          </w:p>
          <w:p>
            <w:pPr>
              <w:spacing w:after="80"/>
            </w:pPr>
            <w:r>
              <w:rPr>
                <w:rFonts w:ascii="Calibri" w:hAnsi="Calibri"/>
                <w:color w:val="22333B"/>
                <w:sz w:val="20"/>
              </w:rPr>
              <w:t>“The regulatory system has shifted from proving your software was right at release to proving you can keep it right — and validation and security are the same lifecycle answering that question from two directions.”</w:t>
            </w:r>
          </w:p>
        </w:tc>
      </w:tr>
    </w:tbl>
    <w:p>
      <w:pPr>
        <w:spacing w:after="80"/>
      </w:pPr>
    </w:p>
    <w:p>
      <w:pPr>
        <w:keepNext/>
        <w:spacing w:after="80" w:before="240"/>
      </w:pPr>
      <w:r>
        <w:rPr>
          <w:rFonts w:ascii="Cambria" w:hAnsi="Cambria"/>
          <w:b/>
          <w:color w:val="1B3A4B"/>
          <w:sz w:val="27"/>
        </w:rPr>
        <w:t>Post-session follow-up worth offering</w:t>
      </w:r>
    </w:p>
    <w:p>
      <w:pPr>
        <w:pStyle w:val="ListBullet"/>
        <w:spacing w:after="60" w:line="254" w:lineRule="auto"/>
        <w:ind w:left="576"/>
      </w:pPr>
      <w:r>
        <w:rPr>
          <w:rFonts w:ascii="Calibri" w:hAnsi="Calibri"/>
          <w:color w:val="22333B"/>
          <w:sz w:val="21"/>
        </w:rPr>
        <w:t>the deck as a PDF, and the workbook, by email.</w:t>
      </w:r>
    </w:p>
    <w:p>
      <w:pPr>
        <w:pStyle w:val="ListBullet"/>
        <w:spacing w:after="60" w:line="254" w:lineRule="auto"/>
        <w:ind w:left="576"/>
      </w:pPr>
      <w:r>
        <w:rPr>
          <w:rFonts w:ascii="Calibri" w:hAnsi="Calibri"/>
          <w:color w:val="22333B"/>
          <w:sz w:val="21"/>
        </w:rPr>
        <w:t>a short list of the guidance documents mentioned, with current links verified on the day.</w:t>
      </w:r>
    </w:p>
    <w:p>
      <w:pPr>
        <w:pStyle w:val="ListBullet"/>
        <w:spacing w:after="60" w:line="254" w:lineRule="auto"/>
        <w:ind w:left="576"/>
      </w:pPr>
      <w:r>
        <w:rPr>
          <w:rFonts w:ascii="Calibri" w:hAnsi="Calibri"/>
          <w:color w:val="22333B"/>
          <w:sz w:val="21"/>
        </w:rPr>
        <w:t>an offer to look at one classification or scoping question per attendee organisation. This is where the genuine value lands, and it is usually what people remember.</w:t>
      </w: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Calibri" w:hAnsi="Calibri"/>
        <w:color w:val="4E626D"/>
        <w:sz w:val="16"/>
      </w:rPr>
      <w:t xml:space="preserve">Software Validation &amp; Cybersecurity  ·  Facilitator Guide  ·  Page </w:t>
    </w:r>
    <w:r>
      <w:rPr>
        <w:rFonts w:ascii="Calibri" w:hAnsi="Calibri"/>
        <w:color w:val="4E626D"/>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s="Calibri"/>
      <w:color w:val="2233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