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b/>
          <w:bCs/>
          <w:color w:val="A8730F"/>
          <w:spacing w:val="40"/>
          <w:sz w:val="20"/>
          <w:szCs w:val="20"/>
        </w:rPr>
        <w:t xml:space="preserve">MEDICAL DEVICE SEMINAR  ·  CASE STUDY WORKSHOP PACK</w:t>
      </w:r>
    </w:p>
    <w:p>
      <w:pPr>
        <w:spacing w:after="120"/>
      </w:pPr>
      <w:r>
        <w:rPr>
          <w:rFonts w:ascii="Cambria" w:cs="Cambria" w:eastAsia="Cambria" w:hAnsi="Cambria"/>
          <w:b/>
          <w:bCs/>
          <w:color w:val="0F2A4A"/>
          <w:sz w:val="52"/>
          <w:szCs w:val="52"/>
        </w:rPr>
        <w:t xml:space="preserve">ISO 13485 &amp; Audit Readiness</w:t>
      </w:r>
    </w:p>
    <w:p>
      <w:pPr>
        <w:spacing w:after="240"/>
      </w:pPr>
      <w:r>
        <w:rPr>
          <w:color w:val="5A6B7B"/>
          <w:sz w:val="26"/>
          <w:szCs w:val="26"/>
        </w:rPr>
        <w:t xml:space="preserve">Four composite cases on surviving unannounced audits and maintaining a global QMS</w:t>
      </w:r>
    </w:p>
    <w:p>
      <w:pPr>
        <w:spacing w:after="60"/>
      </w:pPr>
      <w:r>
        <w:rPr>
          <w:b/>
          <w:bCs/>
          <w:i w:val="false"/>
          <w:iCs w:val="false"/>
          <w:sz w:val="21"/>
          <w:szCs w:val="21"/>
        </w:rPr>
        <w:t xml:space="preserve">Presented by:</w:t>
      </w:r>
      <w:r>
        <w:rPr>
          <w:b w:val="false"/>
          <w:bCs w:val="false"/>
          <w:i w:val="false"/>
          <w:iCs w:val="false"/>
          <w:sz w:val="21"/>
          <w:szCs w:val="21"/>
        </w:rPr>
        <w:t xml:space="preserve"> Elder Consulting, LLC   ·   </w:t>
      </w:r>
      <w:r>
        <w:rPr>
          <w:b/>
          <w:bCs/>
          <w:i w:val="false"/>
          <w:iCs w:val="false"/>
          <w:sz w:val="21"/>
          <w:szCs w:val="21"/>
        </w:rPr>
        <w:t xml:space="preserve">Table number:</w:t>
      </w:r>
      <w:r>
        <w:rPr>
          <w:b w:val="false"/>
          <w:bCs w:val="false"/>
          <w:i w:val="false"/>
          <w:iCs w:val="false"/>
          <w:sz w:val="21"/>
          <w:szCs w:val="21"/>
        </w:rPr>
        <w:t xml:space="preserve"> ______   ·   </w:t>
      </w:r>
      <w:r>
        <w:rPr>
          <w:b/>
          <w:bCs/>
          <w:i w:val="false"/>
          <w:iCs w:val="false"/>
          <w:sz w:val="21"/>
          <w:szCs w:val="21"/>
        </w:rPr>
        <w:t xml:space="preserve">Date:</w:t>
      </w:r>
      <w:r>
        <w:rPr>
          <w:b w:val="false"/>
          <w:bCs w:val="false"/>
          <w:i w:val="false"/>
          <w:iCs w:val="false"/>
          <w:sz w:val="21"/>
          <w:szCs w:val="21"/>
        </w:rPr>
        <w:t xml:space="preserve"> ____________</w:t>
      </w:r>
    </w:p>
    <w:p>
      <w:pPr>
        <w:spacing w:after="60"/>
      </w:pPr>
      <w:r>
        <w:rPr>
          <w:b/>
          <w:bCs/>
          <w:i w:val="false"/>
          <w:iCs w:val="false"/>
          <w:sz w:val="21"/>
          <w:szCs w:val="21"/>
        </w:rPr>
        <w:t xml:space="preserve">Companion document:</w:t>
      </w:r>
      <w:r>
        <w:rPr>
          <w:b w:val="false"/>
          <w:bCs w:val="false"/>
          <w:i w:val="false"/>
          <w:iCs w:val="false"/>
          <w:sz w:val="21"/>
          <w:szCs w:val="21"/>
        </w:rPr>
        <w:t xml:space="preserve"> Participant Handout</w:t>
      </w:r>
    </w:p>
    <w:p>
      <w:pPr>
        <w:pBdr>
          <w:bottom w:val="single" w:color="A8730F" w:sz="8" w:space="8"/>
        </w:pBdr>
        <w:spacing w:after="240"/>
      </w:pPr>
      <w:r>
        <w:t xml:space="preserve"/>
      </w:r>
    </w:p>
    <w:p>
      <w:pPr>
        <w:pStyle w:val="Heading1"/>
      </w:pPr>
      <w:r>
        <w:t xml:space="preserve">How to use this pack</w:t>
      </w:r>
    </w:p>
    <w:p>
      <w:pPr>
        <w:spacing w:after="120" w:before="0"/>
      </w:pPr>
      <w:r>
        <w:rPr>
          <w:b w:val="false"/>
          <w:bCs w:val="false"/>
          <w:i w:val="false"/>
          <w:iCs w:val="false"/>
          <w:sz w:val="21"/>
          <w:szCs w:val="21"/>
        </w:rPr>
        <w:t xml:space="preserve">The four cases are composites built from real audits and inspections. Names, places, products and details have been changed; the mechanics have not. Each case runs for about seven minutes: two minutes to read, three to discuss at your table, and two for a plenary debrief. The exhibits are short excerpts from the kind of documents the auditors saw. Read them as an auditor would.</w:t>
      </w:r>
    </w:p>
    <w:p>
      <w:pPr>
        <w:pStyle w:val="ListParagraph"/>
        <w:numPr>
          <w:ilvl w:val="0"/>
          <w:numId w:val="2"/>
        </w:numPr>
        <w:spacing w:after="60"/>
      </w:pPr>
      <w:r>
        <w:rPr>
          <w:b w:val="false"/>
          <w:bCs w:val="false"/>
          <w:i w:val="false"/>
          <w:iCs w:val="false"/>
          <w:sz w:val="21"/>
          <w:szCs w:val="21"/>
        </w:rPr>
        <w:t xml:space="preserve">There is no single right answer; there are answers that hold up in an audit and answers that do not.</w:t>
      </w:r>
    </w:p>
    <w:p>
      <w:pPr>
        <w:pStyle w:val="ListParagraph"/>
        <w:numPr>
          <w:ilvl w:val="0"/>
          <w:numId w:val="2"/>
        </w:numPr>
        <w:spacing w:after="60"/>
      </w:pPr>
      <w:r>
        <w:rPr>
          <w:b w:val="false"/>
          <w:bCs w:val="false"/>
          <w:i w:val="false"/>
          <w:iCs w:val="false"/>
          <w:sz w:val="21"/>
          <w:szCs w:val="21"/>
        </w:rPr>
        <w:t xml:space="preserve">Appoint a spokesperson for each case so the debrief moves quickly.</w:t>
      </w:r>
    </w:p>
    <w:p>
      <w:pPr>
        <w:pStyle w:val="ListParagraph"/>
        <w:numPr>
          <w:ilvl w:val="0"/>
          <w:numId w:val="2"/>
        </w:numPr>
        <w:spacing w:after="60"/>
      </w:pPr>
      <w:r>
        <w:rPr>
          <w:b w:val="false"/>
          <w:bCs w:val="false"/>
          <w:i w:val="false"/>
          <w:iCs w:val="false"/>
          <w:sz w:val="21"/>
          <w:szCs w:val="21"/>
        </w:rPr>
        <w:t xml:space="preserve">At the end of every case, write down one thing you would change at your own site. That list is the real output of the session.</w:t>
      </w:r>
    </w:p>
    <w:p>
      <w:pPr>
        <w:pStyle w:val="Heading3"/>
      </w:pPr>
      <w:r>
        <w:t xml:space="preserve">Grading vocabulary you will need</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2600"/>
        <w:gridCol w:w="7480"/>
      </w:tblGrid>
      <w:tr>
        <w:trPr>
          <w:tblHeader/>
        </w:trPr>
        <w:tc>
          <w:tcPr>
            <w:tcW w:type="dxa" w:w="26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Regime</w:t>
            </w:r>
          </w:p>
        </w:tc>
        <w:tc>
          <w:tcPr>
            <w:tcW w:type="dxa" w:w="748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How findings are expressed</w:t>
            </w:r>
          </w:p>
        </w:tc>
      </w:tr>
      <w:tr>
        <w:tc>
          <w:tcPr>
            <w:tcW w:type="dxa" w:w="26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Notified body (EU MDR)</w:t>
            </w:r>
          </w:p>
        </w:tc>
        <w:tc>
          <w:tcPr>
            <w:tcW w:type="dxa" w:w="74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Minor and major nonconformities; certificate suspension or withdrawal for refusal of access or systemic failures</w:t>
            </w:r>
          </w:p>
        </w:tc>
      </w:tr>
      <w:tr>
        <w:tc>
          <w:tcPr>
            <w:tcW w:type="dxa" w:w="26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FDA</w:t>
            </w:r>
          </w:p>
        </w:tc>
        <w:tc>
          <w:tcPr>
            <w:tcW w:type="dxa" w:w="74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Form FDA 483 observations; inspection classified NAI / VAI / OAI; Warning Letter if the response is inadequate</w:t>
            </w:r>
          </w:p>
        </w:tc>
      </w:tr>
      <w:tr>
        <w:tc>
          <w:tcPr>
            <w:tcW w:type="dxa" w:w="26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MDSAP</w:t>
            </w:r>
          </w:p>
        </w:tc>
        <w:tc>
          <w:tcPr>
            <w:tcW w:type="dxa" w:w="74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Grades 1–5: direct-impact clauses start at 3, indirect at 1; +1 for no documented process; +1 for a repeat; grades 4–5 notified to all regulators within 5 business days</w:t>
            </w:r>
          </w:p>
        </w:tc>
      </w:tr>
    </w:tbl>
    <w:p>
      <w:r>
        <w:br w:type="page"/>
      </w:r>
    </w:p>
    <w:p>
      <w:pPr>
        <w:pStyle w:val="Heading1"/>
      </w:pPr>
      <w:r>
        <w:t xml:space="preserve">Case 1: The Tuesday morning knock</w:t>
      </w:r>
    </w:p>
    <w:p>
      <w:pPr>
        <w:pStyle w:val="Heading2"/>
      </w:pPr>
      <w:r>
        <w:t xml:space="preserve">Background</w:t>
      </w:r>
    </w:p>
    <w:p>
      <w:pPr>
        <w:pStyle w:val="ListParagraph"/>
        <w:numPr>
          <w:ilvl w:val="0"/>
          <w:numId w:val="2"/>
        </w:numPr>
        <w:spacing w:after="60"/>
      </w:pPr>
      <w:r>
        <w:rPr>
          <w:b w:val="false"/>
          <w:bCs w:val="false"/>
          <w:i w:val="false"/>
          <w:iCs w:val="false"/>
          <w:sz w:val="21"/>
          <w:szCs w:val="21"/>
        </w:rPr>
        <w:t xml:space="preserve">Legal manufacturer in Germany; Class IIb powered surgical instruments.</w:t>
      </w:r>
    </w:p>
    <w:p>
      <w:pPr>
        <w:pStyle w:val="ListParagraph"/>
        <w:numPr>
          <w:ilvl w:val="0"/>
          <w:numId w:val="2"/>
        </w:numPr>
        <w:spacing w:after="60"/>
      </w:pPr>
      <w:r>
        <w:rPr>
          <w:b w:val="false"/>
          <w:bCs w:val="false"/>
          <w:i w:val="false"/>
          <w:iCs w:val="false"/>
          <w:sz w:val="21"/>
          <w:szCs w:val="21"/>
        </w:rPr>
        <w:t xml:space="preserve">About 220 staff on a single manufacturing site; MDR certificate issued by a notified body.</w:t>
      </w:r>
    </w:p>
    <w:p>
      <w:pPr>
        <w:pStyle w:val="ListParagraph"/>
        <w:numPr>
          <w:ilvl w:val="0"/>
          <w:numId w:val="2"/>
        </w:numPr>
        <w:spacing w:after="60"/>
      </w:pPr>
      <w:r>
        <w:rPr>
          <w:b w:val="false"/>
          <w:bCs w:val="false"/>
          <w:i w:val="false"/>
          <w:iCs w:val="false"/>
          <w:sz w:val="21"/>
          <w:szCs w:val="21"/>
        </w:rPr>
        <w:t xml:space="preserve">The QA Director is on leave for two weeks. The reception instructions name no deputy.</w:t>
      </w:r>
    </w:p>
    <w:p>
      <w:pPr>
        <w:pStyle w:val="Heading2"/>
      </w:pPr>
      <w:r>
        <w:t xml:space="preserve">The day</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1100"/>
        <w:gridCol w:w="8980"/>
      </w:tblGrid>
      <w:tr>
        <w:trPr>
          <w:tblHeader/>
        </w:trPr>
        <w:tc>
          <w:tcPr>
            <w:tcW w:type="dxa" w:w="11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Time</w:t>
            </w:r>
          </w:p>
        </w:tc>
        <w:tc>
          <w:tcPr>
            <w:tcW w:type="dxa" w:w="898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What happened</w:t>
            </w:r>
          </w:p>
        </w:tc>
      </w:tr>
      <w:tr>
        <w:tc>
          <w:tcPr>
            <w:tcW w:type="dxa" w:w="11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08:10</w:t>
            </w:r>
          </w:p>
        </w:tc>
        <w:tc>
          <w:tcPr>
            <w:tcW w:type="dxa" w:w="89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Two notified body auditors present credentials at reception and state they are conducting an unannounced audit under MDR Annex IX. Reception calls HR, then the QA Director's mobile. Voicemail.</w:t>
            </w:r>
          </w:p>
        </w:tc>
      </w:tr>
      <w:tr>
        <w:tc>
          <w:tcPr>
            <w:tcW w:type="dxa" w:w="11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09:00</w:t>
            </w:r>
          </w:p>
        </w:tc>
        <w:tc>
          <w:tcPr>
            <w:tcW w:type="dxa" w:w="89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The Production Manager, alerted by a colleague, takes the auditors to a meeting room. The 50-minute delay is written into the audit report.</w:t>
            </w:r>
          </w:p>
        </w:tc>
      </w:tr>
      <w:tr>
        <w:tc>
          <w:tcPr>
            <w:tcW w:type="dxa" w:w="11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09:15</w:t>
            </w:r>
          </w:p>
        </w:tc>
        <w:tc>
          <w:tcPr>
            <w:tcW w:type="dxa" w:w="89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Opening meeting. The auditors state they will sample from final assembly and trace the sampled units through the QMS.</w:t>
            </w:r>
          </w:p>
        </w:tc>
      </w:tr>
      <w:tr>
        <w:tc>
          <w:tcPr>
            <w:tcW w:type="dxa" w:w="11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09:40</w:t>
            </w:r>
          </w:p>
        </w:tc>
        <w:tc>
          <w:tcPr>
            <w:tcW w:type="dxa" w:w="89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Three finished units are selected. The auditors request the DHRs, the current DMR and the calibration status of the torque tools on the line.</w:t>
            </w:r>
          </w:p>
        </w:tc>
      </w:tr>
      <w:tr>
        <w:tc>
          <w:tcPr>
            <w:tcW w:type="dxa" w:w="11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10:30</w:t>
            </w:r>
          </w:p>
        </w:tc>
        <w:tc>
          <w:tcPr>
            <w:tcW w:type="dxa" w:w="89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One torque driver is three weeks past its calibration due date and still in use. No impact assessment exists.</w:t>
            </w:r>
          </w:p>
        </w:tc>
      </w:tr>
      <w:tr>
        <w:tc>
          <w:tcPr>
            <w:tcW w:type="dxa" w:w="11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11:15</w:t>
            </w:r>
          </w:p>
        </w:tc>
        <w:tc>
          <w:tcPr>
            <w:tcW w:type="dxa" w:w="89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The auditors ask for the validation of an automated dispensing station installed four months earlier. IQ/OQ/PQ exists; the change record has no design or risk impact assessment.</w:t>
            </w:r>
          </w:p>
        </w:tc>
      </w:tr>
      <w:tr>
        <w:tc>
          <w:tcPr>
            <w:tcW w:type="dxa" w:w="11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13:40</w:t>
            </w:r>
          </w:p>
        </w:tc>
        <w:tc>
          <w:tcPr>
            <w:tcW w:type="dxa" w:w="89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PCB supplier file: approved; last audit four years ago; the quality agreement is silent on notified body access and change notification.</w:t>
            </w:r>
          </w:p>
        </w:tc>
      </w:tr>
    </w:tbl>
    <w:p>
      <w:pPr>
        <w:pStyle w:val="Heading2"/>
      </w:pPr>
      <w:r>
        <w:t xml:space="preserve">Exhibits</w:t>
      </w:r>
    </w:p>
    <w:tbl>
      <w:tblPr>
        <w:tblW w:type="dxa" w:w="10080"/>
        <w:tblBorders>
          <w:top w:val="single" w:color="A8730F" w:sz="6"/>
          <w:left w:val="single" w:color="A8730F" w:sz="6"/>
          <w:bottom w:val="single" w:color="A8730F" w:sz="6"/>
          <w:right w:val="single" w:color="A8730F" w:sz="6"/>
          <w:insideH w:val="single" w:color="A8730F" w:sz="6"/>
          <w:insideV w:val="single" w:color="A8730F" w:sz="6"/>
        </w:tblBorders>
      </w:tblPr>
      <w:tblGrid>
        <w:gridCol w:w="10080"/>
      </w:tblGrid>
      <w:tr>
        <w:trPr>
          <w:cantSplit/>
        </w:trPr>
        <w:tc>
          <w:tcPr>
            <w:tcW w:type="dxa" w:w="10080"/>
            <w:shd w:fill="FFFFFF" w:color="auto" w:val="clear"/>
            <w:tcMar>
              <w:top w:type="dxa" w:w="120"/>
              <w:left w:type="dxa" w:w="200"/>
              <w:bottom w:type="dxa" w:w="120"/>
              <w:right w:type="dxa" w:w="200"/>
            </w:tcMar>
          </w:tcPr>
          <w:p>
            <w:pPr>
              <w:spacing w:after="40"/>
            </w:pPr>
            <w:r>
              <w:rPr>
                <w:b/>
                <w:bCs/>
                <w:color w:val="A8730F"/>
                <w:sz w:val="16"/>
                <w:szCs w:val="16"/>
              </w:rPr>
              <w:t xml:space="preserve">EXHIBIT 1A   </w:t>
            </w:r>
            <w:r>
              <w:rPr>
                <w:b/>
                <w:bCs/>
                <w:color w:val="0F2A4A"/>
                <w:sz w:val="20"/>
                <w:szCs w:val="20"/>
              </w:rPr>
              <w:t xml:space="preserve">Reception desk instruction (excerpt)</w:t>
            </w:r>
          </w:p>
          <w:p>
            <w:pPr>
              <w:spacing w:after="40"/>
            </w:pPr>
            <w:r>
              <w:rPr>
                <w:rFonts w:ascii="Courier New" w:cs="Courier New" w:eastAsia="Courier New" w:hAnsi="Courier New"/>
                <w:b w:val="false"/>
                <w:bCs w:val="false"/>
                <w:i w:val="false"/>
                <w:iCs w:val="false"/>
                <w:sz w:val="19"/>
                <w:szCs w:val="19"/>
              </w:rPr>
              <w:t xml:space="preserve">Visitors without an appointment: ask the visitor to wait in the lobby and contact the host department.</w:t>
            </w:r>
          </w:p>
          <w:p>
            <w:pPr>
              <w:spacing w:after="40"/>
            </w:pPr>
            <w:r>
              <w:rPr>
                <w:rFonts w:ascii="Courier New" w:cs="Courier New" w:eastAsia="Courier New" w:hAnsi="Courier New"/>
                <w:b w:val="false"/>
                <w:bCs w:val="false"/>
                <w:i w:val="false"/>
                <w:iCs w:val="false"/>
                <w:sz w:val="19"/>
                <w:szCs w:val="19"/>
              </w:rPr>
              <w:t xml:space="preserve">Auditors and inspectors: contact the QA Director (ext. 210).</w:t>
            </w:r>
          </w:p>
        </w:tc>
      </w:tr>
    </w:tbl>
    <w:p>
      <w:pPr>
        <w:spacing w:after="100"/>
      </w:pPr>
      <w:r>
        <w:t xml:space="preserve"/>
      </w:r>
    </w:p>
    <w:tbl>
      <w:tblPr>
        <w:tblW w:type="dxa" w:w="10080"/>
        <w:tblBorders>
          <w:top w:val="single" w:color="A8730F" w:sz="6"/>
          <w:left w:val="single" w:color="A8730F" w:sz="6"/>
          <w:bottom w:val="single" w:color="A8730F" w:sz="6"/>
          <w:right w:val="single" w:color="A8730F" w:sz="6"/>
          <w:insideH w:val="single" w:color="A8730F" w:sz="6"/>
          <w:insideV w:val="single" w:color="A8730F" w:sz="6"/>
        </w:tblBorders>
      </w:tblPr>
      <w:tblGrid>
        <w:gridCol w:w="10080"/>
      </w:tblGrid>
      <w:tr>
        <w:trPr>
          <w:cantSplit/>
        </w:trPr>
        <w:tc>
          <w:tcPr>
            <w:tcW w:type="dxa" w:w="10080"/>
            <w:shd w:fill="FFFFFF" w:color="auto" w:val="clear"/>
            <w:tcMar>
              <w:top w:type="dxa" w:w="120"/>
              <w:left w:type="dxa" w:w="200"/>
              <w:bottom w:type="dxa" w:w="120"/>
              <w:right w:type="dxa" w:w="200"/>
            </w:tcMar>
          </w:tcPr>
          <w:p>
            <w:pPr>
              <w:spacing w:after="40"/>
            </w:pPr>
            <w:r>
              <w:rPr>
                <w:b/>
                <w:bCs/>
                <w:color w:val="A8730F"/>
                <w:sz w:val="16"/>
                <w:szCs w:val="16"/>
              </w:rPr>
              <w:t xml:space="preserve">EXHIBIT 1B   </w:t>
            </w:r>
            <w:r>
              <w:rPr>
                <w:b/>
                <w:bCs/>
                <w:color w:val="0F2A4A"/>
                <w:sz w:val="20"/>
                <w:szCs w:val="20"/>
              </w:rPr>
              <w:t xml:space="preserve">Calibration register (excerpt, audit date 8 September)</w:t>
            </w:r>
          </w:p>
          <w:p>
            <w:pPr>
              <w:spacing w:after="40"/>
            </w:pPr>
            <w:r>
              <w:rPr>
                <w:rFonts w:ascii="Courier New" w:cs="Courier New" w:eastAsia="Courier New" w:hAnsi="Courier New"/>
                <w:b w:val="false"/>
                <w:bCs w:val="false"/>
                <w:i w:val="false"/>
                <w:iCs w:val="false"/>
                <w:sz w:val="19"/>
                <w:szCs w:val="19"/>
              </w:rPr>
              <w:t xml:space="preserve">Asset TQ-017 | Torque driver 0.5–5 Nm | Final assembly, station 3</w:t>
            </w:r>
          </w:p>
          <w:p>
            <w:pPr>
              <w:spacing w:after="40"/>
            </w:pPr>
            <w:r>
              <w:rPr>
                <w:rFonts w:ascii="Courier New" w:cs="Courier New" w:eastAsia="Courier New" w:hAnsi="Courier New"/>
                <w:b w:val="false"/>
                <w:bCs w:val="false"/>
                <w:i w:val="false"/>
                <w:iCs w:val="false"/>
                <w:sz w:val="19"/>
                <w:szCs w:val="19"/>
              </w:rPr>
              <w:t xml:space="preserve">Last calibration: 14 May | Due: 14 August | Status: IN USE</w:t>
            </w:r>
          </w:p>
          <w:p>
            <w:pPr>
              <w:spacing w:after="40"/>
            </w:pPr>
            <w:r>
              <w:rPr>
                <w:rFonts w:ascii="Courier New" w:cs="Courier New" w:eastAsia="Courier New" w:hAnsi="Courier New"/>
                <w:b w:val="false"/>
                <w:bCs w:val="false"/>
                <w:i w:val="false"/>
                <w:iCs w:val="false"/>
                <w:sz w:val="19"/>
                <w:szCs w:val="19"/>
              </w:rPr>
              <w:t xml:space="preserve">Recall action: none recorded</w:t>
            </w:r>
          </w:p>
        </w:tc>
      </w:tr>
    </w:tbl>
    <w:p>
      <w:pPr>
        <w:spacing w:after="100"/>
      </w:pPr>
      <w:r>
        <w:t xml:space="preserve"/>
      </w:r>
    </w:p>
    <w:tbl>
      <w:tblPr>
        <w:tblW w:type="dxa" w:w="10080"/>
        <w:tblBorders>
          <w:top w:val="single" w:color="A8730F" w:sz="6"/>
          <w:left w:val="single" w:color="A8730F" w:sz="6"/>
          <w:bottom w:val="single" w:color="A8730F" w:sz="6"/>
          <w:right w:val="single" w:color="A8730F" w:sz="6"/>
          <w:insideH w:val="single" w:color="A8730F" w:sz="6"/>
          <w:insideV w:val="single" w:color="A8730F" w:sz="6"/>
        </w:tblBorders>
      </w:tblPr>
      <w:tblGrid>
        <w:gridCol w:w="10080"/>
      </w:tblGrid>
      <w:tr>
        <w:trPr>
          <w:cantSplit/>
        </w:trPr>
        <w:tc>
          <w:tcPr>
            <w:tcW w:type="dxa" w:w="10080"/>
            <w:shd w:fill="FFFFFF" w:color="auto" w:val="clear"/>
            <w:tcMar>
              <w:top w:type="dxa" w:w="120"/>
              <w:left w:type="dxa" w:w="200"/>
              <w:bottom w:type="dxa" w:w="120"/>
              <w:right w:type="dxa" w:w="200"/>
            </w:tcMar>
          </w:tcPr>
          <w:p>
            <w:pPr>
              <w:spacing w:after="40"/>
            </w:pPr>
            <w:r>
              <w:rPr>
                <w:b/>
                <w:bCs/>
                <w:color w:val="A8730F"/>
                <w:sz w:val="16"/>
                <w:szCs w:val="16"/>
              </w:rPr>
              <w:t xml:space="preserve">EXHIBIT 1C   </w:t>
            </w:r>
            <w:r>
              <w:rPr>
                <w:b/>
                <w:bCs/>
                <w:color w:val="0F2A4A"/>
                <w:sz w:val="20"/>
                <w:szCs w:val="20"/>
              </w:rPr>
              <w:t xml:space="preserve">Change record CR-24-118 (excerpt)</w:t>
            </w:r>
          </w:p>
          <w:p>
            <w:pPr>
              <w:spacing w:after="40"/>
            </w:pPr>
            <w:r>
              <w:rPr>
                <w:rFonts w:ascii="Courier New" w:cs="Courier New" w:eastAsia="Courier New" w:hAnsi="Courier New"/>
                <w:b w:val="false"/>
                <w:bCs w:val="false"/>
                <w:i w:val="false"/>
                <w:iCs w:val="false"/>
                <w:sz w:val="19"/>
                <w:szCs w:val="19"/>
              </w:rPr>
              <w:t xml:space="preserve">Description: install automated adhesive dispensing station replacing manual syringe dispensing at station 5.</w:t>
            </w:r>
          </w:p>
          <w:p>
            <w:pPr>
              <w:spacing w:after="40"/>
            </w:pPr>
            <w:r>
              <w:rPr>
                <w:rFonts w:ascii="Courier New" w:cs="Courier New" w:eastAsia="Courier New" w:hAnsi="Courier New"/>
                <w:b w:val="false"/>
                <w:bCs w:val="false"/>
                <w:i w:val="false"/>
                <w:iCs w:val="false"/>
                <w:sz w:val="19"/>
                <w:szCs w:val="19"/>
              </w:rPr>
              <w:t xml:space="preserve">Validation: IQ/OQ/PQ per VAL-118 - complete.</w:t>
            </w:r>
          </w:p>
          <w:p>
            <w:pPr>
              <w:spacing w:after="40"/>
            </w:pPr>
            <w:r>
              <w:rPr>
                <w:rFonts w:ascii="Courier New" w:cs="Courier New" w:eastAsia="Courier New" w:hAnsi="Courier New"/>
                <w:b w:val="false"/>
                <w:bCs w:val="false"/>
                <w:i w:val="false"/>
                <w:iCs w:val="false"/>
                <w:sz w:val="19"/>
                <w:szCs w:val="19"/>
              </w:rPr>
              <w:t xml:space="preserve">Design impact assessment: [blank]</w:t>
            </w:r>
          </w:p>
          <w:p>
            <w:pPr>
              <w:spacing w:after="40"/>
            </w:pPr>
            <w:r>
              <w:rPr>
                <w:rFonts w:ascii="Courier New" w:cs="Courier New" w:eastAsia="Courier New" w:hAnsi="Courier New"/>
                <w:b w:val="false"/>
                <w:bCs w:val="false"/>
                <w:i w:val="false"/>
                <w:iCs w:val="false"/>
                <w:sz w:val="19"/>
                <w:szCs w:val="19"/>
              </w:rPr>
              <w:t xml:space="preserve">Risk management file update: [blank]</w:t>
            </w:r>
          </w:p>
          <w:p>
            <w:pPr>
              <w:spacing w:after="40"/>
            </w:pPr>
            <w:r>
              <w:rPr>
                <w:rFonts w:ascii="Courier New" w:cs="Courier New" w:eastAsia="Courier New" w:hAnsi="Courier New"/>
                <w:b w:val="false"/>
                <w:bCs w:val="false"/>
                <w:i w:val="false"/>
                <w:iCs w:val="false"/>
                <w:sz w:val="19"/>
                <w:szCs w:val="19"/>
              </w:rPr>
              <w:t xml:space="preserve">Notified body notification assessed: [blank]</w:t>
            </w:r>
          </w:p>
        </w:tc>
      </w:tr>
    </w:tbl>
    <w:p>
      <w:pPr>
        <w:pStyle w:val="Heading2"/>
      </w:pPr>
      <w:r>
        <w:t xml:space="preserve">Discuss at your table</w:t>
      </w:r>
    </w:p>
    <w:p>
      <w:pPr>
        <w:pStyle w:val="ListParagraph"/>
        <w:numPr>
          <w:ilvl w:val="0"/>
          <w:numId w:val="3"/>
        </w:numPr>
        <w:spacing w:after="80"/>
      </w:pPr>
      <w:r>
        <w:rPr>
          <w:b w:val="false"/>
          <w:bCs w:val="false"/>
          <w:i w:val="false"/>
          <w:iCs w:val="false"/>
          <w:sz w:val="21"/>
          <w:szCs w:val="21"/>
        </w:rPr>
        <w:t xml:space="preserve">What should the first 30 minutes have looked like? Write the sequence of calls and actions.</w:t>
      </w:r>
    </w:p>
    <w:p>
      <w:pPr>
        <w:pStyle w:val="ListParagraph"/>
        <w:numPr>
          <w:ilvl w:val="0"/>
          <w:numId w:val="3"/>
        </w:numPr>
        <w:spacing w:after="80"/>
      </w:pPr>
      <w:r>
        <w:rPr>
          <w:b w:val="false"/>
          <w:bCs w:val="false"/>
          <w:i w:val="false"/>
          <w:iCs w:val="false"/>
          <w:sz w:val="21"/>
          <w:szCs w:val="21"/>
        </w:rPr>
        <w:t xml:space="preserve">Rank the three findings from most to least serious, and explain your ranking. Which would you expect the notified body to grade as major?</w:t>
      </w:r>
    </w:p>
    <w:p>
      <w:pPr>
        <w:pStyle w:val="ListParagraph"/>
        <w:numPr>
          <w:ilvl w:val="0"/>
          <w:numId w:val="3"/>
        </w:numPr>
        <w:spacing w:after="80"/>
      </w:pPr>
      <w:r>
        <w:rPr>
          <w:b w:val="false"/>
          <w:bCs w:val="false"/>
          <w:i w:val="false"/>
          <w:iCs w:val="false"/>
          <w:sz w:val="21"/>
          <w:szCs w:val="21"/>
        </w:rPr>
        <w:t xml:space="preserve">What did the 50-minute delay tell the auditors before they saw a single record?</w:t>
      </w:r>
    </w:p>
    <w:p>
      <w:pPr>
        <w:pStyle w:val="ListParagraph"/>
        <w:numPr>
          <w:ilvl w:val="0"/>
          <w:numId w:val="3"/>
        </w:numPr>
        <w:spacing w:after="80"/>
      </w:pPr>
      <w:r>
        <w:rPr>
          <w:b w:val="false"/>
          <w:bCs w:val="false"/>
          <w:i w:val="false"/>
          <w:iCs w:val="false"/>
          <w:sz w:val="21"/>
          <w:szCs w:val="21"/>
        </w:rPr>
        <w:t xml:space="preserve">Exhibit 1C: who should have been required to sign the blank fields, and what would have happened to the change if they had?</w:t>
      </w:r>
    </w:p>
    <w:p>
      <w:pPr>
        <w:pStyle w:val="Heading3"/>
      </w:pPr>
      <w:r>
        <w:t xml:space="preserve">Table notes</w:t>
      </w:r>
    </w:p>
    <w:tbl>
      <w:tblPr>
        <w:tblW w:type="dxa" w:w="10080"/>
        <w:tblBorders>
          <w:top w:val="none" w:color="FFFFFF" w:sz="0"/>
          <w:left w:val="none" w:color="FFFFFF" w:sz="0"/>
          <w:bottom w:val="single" w:color="CBD2D9" w:sz="4"/>
          <w:right w:val="none" w:color="FFFFFF" w:sz="0"/>
          <w:insideH w:val="single" w:color="CBD2D9" w:sz="4"/>
          <w:insideV w:val="none" w:color="FFFFFF" w:sz="0"/>
        </w:tblBorders>
      </w:tblPr>
      <w:tblGrid>
        <w:gridCol w:w="10080"/>
      </w:tblGrid>
      <w:tr>
        <w:trPr>
          <w:trHeight w:val="420" w:hRule="atLeast"/>
        </w:trPr>
        <w:tc>
          <w:tcPr>
            <w:tcW w:type="dxa" w:w="10080"/>
            <w:tcMar>
              <w:top w:type="dxa" w:w="0"/>
              <w:left w:type="dxa" w:w="0"/>
              <w:bottom w:type="dxa" w:w="0"/>
              <w:right w:type="dxa" w:w="0"/>
            </w:tcMar>
          </w:tcPr>
          <w:p>
            <w:r>
              <w:rPr>
                <w:sz w:val="18"/>
                <w:szCs w:val="18"/>
              </w:rPr>
              <w:t xml:space="preserve"/>
            </w:r>
          </w:p>
        </w:tc>
      </w:tr>
      <w:tr>
        <w:trPr>
          <w:trHeight w:val="420" w:hRule="atLeast"/>
        </w:trPr>
        <w:tc>
          <w:tcPr>
            <w:tcW w:type="dxa" w:w="10080"/>
            <w:tcMar>
              <w:top w:type="dxa" w:w="0"/>
              <w:left w:type="dxa" w:w="0"/>
              <w:bottom w:type="dxa" w:w="0"/>
              <w:right w:type="dxa" w:w="0"/>
            </w:tcMar>
          </w:tcPr>
          <w:p>
            <w:r>
              <w:rPr>
                <w:sz w:val="18"/>
                <w:szCs w:val="18"/>
              </w:rPr>
              <w:t xml:space="preserve"/>
            </w:r>
          </w:p>
        </w:tc>
      </w:tr>
      <w:tr>
        <w:trPr>
          <w:trHeight w:val="420" w:hRule="atLeast"/>
        </w:trPr>
        <w:tc>
          <w:tcPr>
            <w:tcW w:type="dxa" w:w="10080"/>
            <w:tcMar>
              <w:top w:type="dxa" w:w="0"/>
              <w:left w:type="dxa" w:w="0"/>
              <w:bottom w:type="dxa" w:w="0"/>
              <w:right w:type="dxa" w:w="0"/>
            </w:tcMar>
          </w:tcPr>
          <w:p>
            <w:r>
              <w:rPr>
                <w:sz w:val="18"/>
                <w:szCs w:val="18"/>
              </w:rPr>
              <w:t xml:space="preserve"/>
            </w:r>
          </w:p>
        </w:tc>
      </w:tr>
      <w:tr>
        <w:trPr>
          <w:trHeight w:val="420" w:hRule="atLeast"/>
        </w:trPr>
        <w:tc>
          <w:tcPr>
            <w:tcW w:type="dxa" w:w="10080"/>
            <w:tcMar>
              <w:top w:type="dxa" w:w="0"/>
              <w:left w:type="dxa" w:w="0"/>
              <w:bottom w:type="dxa" w:w="0"/>
              <w:right w:type="dxa" w:w="0"/>
            </w:tcMar>
          </w:tcPr>
          <w:p>
            <w:r>
              <w:rPr>
                <w:sz w:val="18"/>
                <w:szCs w:val="18"/>
              </w:rPr>
              <w:t xml:space="preserve"/>
            </w:r>
          </w:p>
        </w:tc>
      </w:tr>
      <w:tr>
        <w:trPr>
          <w:trHeight w:val="420" w:hRule="atLeast"/>
        </w:trPr>
        <w:tc>
          <w:tcPr>
            <w:tcW w:type="dxa" w:w="10080"/>
            <w:tcMar>
              <w:top w:type="dxa" w:w="0"/>
              <w:left w:type="dxa" w:w="0"/>
              <w:bottom w:type="dxa" w:w="0"/>
              <w:right w:type="dxa" w:w="0"/>
            </w:tcMar>
          </w:tcPr>
          <w:p>
            <w:r>
              <w:rPr>
                <w:sz w:val="18"/>
                <w:szCs w:val="18"/>
              </w:rPr>
              <w:t xml:space="preserve"/>
            </w:r>
          </w:p>
        </w:tc>
      </w:tr>
    </w:tbl>
    <w:p>
      <w:pPr>
        <w:spacing w:after="60"/>
      </w:pPr>
      <w:r>
        <w:t xml:space="preserve"/>
      </w:r>
    </w:p>
    <w:p>
      <w:pPr>
        <w:pStyle w:val="Heading3"/>
      </w:pPr>
      <w:r>
        <w:t xml:space="preserve">One thing I will change at my site</w:t>
      </w:r>
    </w:p>
    <w:tbl>
      <w:tblPr>
        <w:tblW w:type="dxa" w:w="10080"/>
        <w:tblBorders>
          <w:top w:val="none" w:color="FFFFFF" w:sz="0"/>
          <w:left w:val="none" w:color="FFFFFF" w:sz="0"/>
          <w:bottom w:val="single" w:color="CBD2D9" w:sz="4"/>
          <w:right w:val="none" w:color="FFFFFF" w:sz="0"/>
          <w:insideH w:val="single" w:color="CBD2D9" w:sz="4"/>
          <w:insideV w:val="none" w:color="FFFFFF" w:sz="0"/>
        </w:tblBorders>
      </w:tblPr>
      <w:tblGrid>
        <w:gridCol w:w="10080"/>
      </w:tblGrid>
      <w:tr>
        <w:trPr>
          <w:trHeight w:val="420" w:hRule="atLeast"/>
        </w:trPr>
        <w:tc>
          <w:tcPr>
            <w:tcW w:type="dxa" w:w="10080"/>
            <w:tcMar>
              <w:top w:type="dxa" w:w="0"/>
              <w:left w:type="dxa" w:w="0"/>
              <w:bottom w:type="dxa" w:w="0"/>
              <w:right w:type="dxa" w:w="0"/>
            </w:tcMar>
          </w:tcPr>
          <w:p>
            <w:r>
              <w:rPr>
                <w:sz w:val="18"/>
                <w:szCs w:val="18"/>
              </w:rPr>
              <w:t xml:space="preserve"/>
            </w:r>
          </w:p>
        </w:tc>
      </w:tr>
      <w:tr>
        <w:trPr>
          <w:trHeight w:val="420" w:hRule="atLeast"/>
        </w:trPr>
        <w:tc>
          <w:tcPr>
            <w:tcW w:type="dxa" w:w="10080"/>
            <w:tcMar>
              <w:top w:type="dxa" w:w="0"/>
              <w:left w:type="dxa" w:w="0"/>
              <w:bottom w:type="dxa" w:w="0"/>
              <w:right w:type="dxa" w:w="0"/>
            </w:tcMar>
          </w:tcPr>
          <w:p>
            <w:r>
              <w:rPr>
                <w:sz w:val="18"/>
                <w:szCs w:val="18"/>
              </w:rPr>
              <w:t xml:space="preserve"/>
            </w:r>
          </w:p>
        </w:tc>
      </w:tr>
    </w:tbl>
    <w:p>
      <w:pPr>
        <w:spacing w:after="60"/>
      </w:pPr>
      <w:r>
        <w:t xml:space="preserve"/>
      </w:r>
    </w:p>
    <w:p>
      <w:r>
        <w:br w:type="page"/>
      </w:r>
    </w:p>
    <w:p>
      <w:pPr>
        <w:pStyle w:val="Heading1"/>
      </w:pPr>
      <w:r>
        <w:t xml:space="preserve">Case 2: The supplier they visited first</w:t>
      </w:r>
    </w:p>
    <w:p>
      <w:pPr>
        <w:pStyle w:val="Heading2"/>
      </w:pPr>
      <w:r>
        <w:t xml:space="preserve">Background</w:t>
      </w:r>
    </w:p>
    <w:p>
      <w:pPr>
        <w:pStyle w:val="ListParagraph"/>
        <w:numPr>
          <w:ilvl w:val="0"/>
          <w:numId w:val="2"/>
        </w:numPr>
        <w:spacing w:after="60"/>
      </w:pPr>
      <w:r>
        <w:rPr>
          <w:b w:val="false"/>
          <w:bCs w:val="false"/>
          <w:i w:val="false"/>
          <w:iCs w:val="false"/>
          <w:sz w:val="21"/>
          <w:szCs w:val="21"/>
        </w:rPr>
        <w:t xml:space="preserve">Legal manufacturer in the Netherlands; Class IIa sterile single-use devices; MDR Annex IX certificate.</w:t>
      </w:r>
    </w:p>
    <w:p>
      <w:pPr>
        <w:pStyle w:val="ListParagraph"/>
        <w:numPr>
          <w:ilvl w:val="0"/>
          <w:numId w:val="2"/>
        </w:numPr>
        <w:spacing w:after="60"/>
      </w:pPr>
      <w:r>
        <w:rPr>
          <w:b w:val="false"/>
          <w:bCs w:val="false"/>
          <w:i w:val="false"/>
          <w:iCs w:val="false"/>
          <w:sz w:val="21"/>
          <w:szCs w:val="21"/>
        </w:rPr>
        <w:t xml:space="preserve">Final assembly, packaging and sterilization release are outsourced to a contract manufacturer in Penang, Malaysia, named in the technical documentation as a critical subcontractor.</w:t>
      </w:r>
    </w:p>
    <w:p>
      <w:pPr>
        <w:pStyle w:val="ListParagraph"/>
        <w:numPr>
          <w:ilvl w:val="0"/>
          <w:numId w:val="2"/>
        </w:numPr>
        <w:spacing w:after="60"/>
      </w:pPr>
      <w:r>
        <w:rPr>
          <w:b w:val="false"/>
          <w:bCs w:val="false"/>
          <w:i w:val="false"/>
          <w:iCs w:val="false"/>
          <w:sz w:val="21"/>
          <w:szCs w:val="21"/>
        </w:rPr>
        <w:t xml:space="preserve">The device is manufactured in campaigns of two to three weeks, several times a year.</w:t>
      </w:r>
    </w:p>
    <w:p>
      <w:pPr>
        <w:pStyle w:val="Heading2"/>
      </w:pPr>
      <w:r>
        <w:t xml:space="preserve">The day</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1500"/>
        <w:gridCol w:w="8580"/>
      </w:tblGrid>
      <w:tr>
        <w:trPr>
          <w:tblHeader/>
        </w:trPr>
        <w:tc>
          <w:tcPr>
            <w:tcW w:type="dxa" w:w="15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Time</w:t>
            </w:r>
          </w:p>
        </w:tc>
        <w:tc>
          <w:tcPr>
            <w:tcW w:type="dxa" w:w="858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What happened</w:t>
            </w:r>
          </w:p>
        </w:tc>
      </w:tr>
      <w:tr>
        <w:tc>
          <w:tcPr>
            <w:tcW w:type="dxa" w:w="15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09:00 (Penang)</w:t>
            </w:r>
          </w:p>
        </w:tc>
        <w:tc>
          <w:tcPr>
            <w:tcW w:type="dxa" w:w="85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Two notified body auditors arrive unannounced at the subcontractor's gate. Security refuses entry: no appointment, no visitor request in the system.</w:t>
            </w:r>
          </w:p>
        </w:tc>
      </w:tr>
      <w:tr>
        <w:tc>
          <w:tcPr>
            <w:tcW w:type="dxa" w:w="15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09:20</w:t>
            </w:r>
          </w:p>
        </w:tc>
        <w:tc>
          <w:tcPr>
            <w:tcW w:type="dxa" w:w="85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The subcontractor's QA manager calls the manufacturer's RA lead in the Netherlands. It is 03:20 there. No answer.</w:t>
            </w:r>
          </w:p>
        </w:tc>
      </w:tr>
      <w:tr>
        <w:tc>
          <w:tcPr>
            <w:tcW w:type="dxa" w:w="15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12:05</w:t>
            </w:r>
          </w:p>
        </w:tc>
        <w:tc>
          <w:tcPr>
            <w:tcW w:type="dxa" w:w="85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Contact is made with the manufacturer at 08:00 CET. Access is authorized. Three hours of delay are recorded in the report.</w:t>
            </w:r>
          </w:p>
        </w:tc>
      </w:tr>
      <w:tr>
        <w:tc>
          <w:tcPr>
            <w:tcW w:type="dxa" w:w="15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12:30</w:t>
            </w:r>
          </w:p>
        </w:tc>
        <w:tc>
          <w:tcPr>
            <w:tcW w:type="dxa" w:w="85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The manufacturer's device is not in production that week. The auditors sample from finished-goods stock and review the DHRs of the last two campaigns.</w:t>
            </w:r>
          </w:p>
        </w:tc>
      </w:tr>
      <w:tr>
        <w:tc>
          <w:tcPr>
            <w:tcW w:type="dxa" w:w="15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14:15</w:t>
            </w:r>
          </w:p>
        </w:tc>
        <w:tc>
          <w:tcPr>
            <w:tcW w:type="dxa" w:w="85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Four deviations closed locally in the last six months; none was reported to the manufacturer. The quality agreement requires notification within five days.</w:t>
            </w:r>
          </w:p>
        </w:tc>
      </w:tr>
      <w:tr>
        <w:tc>
          <w:tcPr>
            <w:tcW w:type="dxa" w:w="15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15:00</w:t>
            </w:r>
          </w:p>
        </w:tc>
        <w:tc>
          <w:tcPr>
            <w:tcW w:type="dxa" w:w="85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One deviation is a seal-temperature excursion on a pouch sealer, dispositioned "use as is" by the subcontractor without the manufacturer's involvement.</w:t>
            </w:r>
          </w:p>
        </w:tc>
      </w:tr>
      <w:tr>
        <w:tc>
          <w:tcPr>
            <w:tcW w:type="dxa" w:w="15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16:30</w:t>
            </w:r>
          </w:p>
        </w:tc>
        <w:tc>
          <w:tcPr>
            <w:tcW w:type="dxa" w:w="85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Closing meeting by video with the manufacturer. The manufacturer's supplier scorecard, shown on request, rates the subcontractor "green" for the entire period.</w:t>
            </w:r>
          </w:p>
        </w:tc>
      </w:tr>
    </w:tbl>
    <w:p>
      <w:pPr>
        <w:pStyle w:val="Heading2"/>
      </w:pPr>
      <w:r>
        <w:t xml:space="preserve">Exhibits</w:t>
      </w:r>
    </w:p>
    <w:tbl>
      <w:tblPr>
        <w:tblW w:type="dxa" w:w="10080"/>
        <w:tblBorders>
          <w:top w:val="single" w:color="A8730F" w:sz="6"/>
          <w:left w:val="single" w:color="A8730F" w:sz="6"/>
          <w:bottom w:val="single" w:color="A8730F" w:sz="6"/>
          <w:right w:val="single" w:color="A8730F" w:sz="6"/>
          <w:insideH w:val="single" w:color="A8730F" w:sz="6"/>
          <w:insideV w:val="single" w:color="A8730F" w:sz="6"/>
        </w:tblBorders>
      </w:tblPr>
      <w:tblGrid>
        <w:gridCol w:w="10080"/>
      </w:tblGrid>
      <w:tr>
        <w:trPr>
          <w:cantSplit/>
        </w:trPr>
        <w:tc>
          <w:tcPr>
            <w:tcW w:type="dxa" w:w="10080"/>
            <w:shd w:fill="FFFFFF" w:color="auto" w:val="clear"/>
            <w:tcMar>
              <w:top w:type="dxa" w:w="120"/>
              <w:left w:type="dxa" w:w="200"/>
              <w:bottom w:type="dxa" w:w="120"/>
              <w:right w:type="dxa" w:w="200"/>
            </w:tcMar>
          </w:tcPr>
          <w:p>
            <w:pPr>
              <w:spacing w:after="40"/>
            </w:pPr>
            <w:r>
              <w:rPr>
                <w:b/>
                <w:bCs/>
                <w:color w:val="A8730F"/>
                <w:sz w:val="16"/>
                <w:szCs w:val="16"/>
              </w:rPr>
              <w:t xml:space="preserve">EXHIBIT 2A   </w:t>
            </w:r>
            <w:r>
              <w:rPr>
                <w:b/>
                <w:bCs/>
                <w:color w:val="0F2A4A"/>
                <w:sz w:val="20"/>
                <w:szCs w:val="20"/>
              </w:rPr>
              <w:t xml:space="preserve">Quality agreement, clause 7.2 (as signed)</w:t>
            </w:r>
          </w:p>
          <w:p>
            <w:pPr>
              <w:spacing w:after="40"/>
            </w:pPr>
            <w:r>
              <w:rPr>
                <w:rFonts w:ascii="Courier New" w:cs="Courier New" w:eastAsia="Courier New" w:hAnsi="Courier New"/>
                <w:b w:val="false"/>
                <w:bCs w:val="false"/>
                <w:i w:val="false"/>
                <w:iCs w:val="false"/>
                <w:sz w:val="19"/>
                <w:szCs w:val="19"/>
              </w:rPr>
              <w:t xml:space="preserve">The Supplier shall permit the Manufacturer to audit the Supplier's facilities upon thirty (30) days' written notice, not more than once per calendar year.</w:t>
            </w:r>
          </w:p>
        </w:tc>
      </w:tr>
    </w:tbl>
    <w:p>
      <w:pPr>
        <w:spacing w:after="100"/>
      </w:pPr>
      <w:r>
        <w:t xml:space="preserve"/>
      </w:r>
    </w:p>
    <w:tbl>
      <w:tblPr>
        <w:tblW w:type="dxa" w:w="10080"/>
        <w:tblBorders>
          <w:top w:val="single" w:color="A8730F" w:sz="6"/>
          <w:left w:val="single" w:color="A8730F" w:sz="6"/>
          <w:bottom w:val="single" w:color="A8730F" w:sz="6"/>
          <w:right w:val="single" w:color="A8730F" w:sz="6"/>
          <w:insideH w:val="single" w:color="A8730F" w:sz="6"/>
          <w:insideV w:val="single" w:color="A8730F" w:sz="6"/>
        </w:tblBorders>
      </w:tblPr>
      <w:tblGrid>
        <w:gridCol w:w="10080"/>
      </w:tblGrid>
      <w:tr>
        <w:trPr>
          <w:cantSplit/>
        </w:trPr>
        <w:tc>
          <w:tcPr>
            <w:tcW w:type="dxa" w:w="10080"/>
            <w:shd w:fill="FFFFFF" w:color="auto" w:val="clear"/>
            <w:tcMar>
              <w:top w:type="dxa" w:w="120"/>
              <w:left w:type="dxa" w:w="200"/>
              <w:bottom w:type="dxa" w:w="120"/>
              <w:right w:type="dxa" w:w="200"/>
            </w:tcMar>
          </w:tcPr>
          <w:p>
            <w:pPr>
              <w:spacing w:after="40"/>
            </w:pPr>
            <w:r>
              <w:rPr>
                <w:b/>
                <w:bCs/>
                <w:color w:val="A8730F"/>
                <w:sz w:val="16"/>
                <w:szCs w:val="16"/>
              </w:rPr>
              <w:t xml:space="preserve">EXHIBIT 2B   </w:t>
            </w:r>
            <w:r>
              <w:rPr>
                <w:b/>
                <w:bCs/>
                <w:color w:val="0F2A4A"/>
                <w:sz w:val="20"/>
                <w:szCs w:val="20"/>
              </w:rPr>
              <w:t xml:space="preserve">Supplier scorecard, Q1-Q2 (manufacturer's record)</w:t>
            </w:r>
          </w:p>
          <w:p>
            <w:pPr>
              <w:spacing w:after="40"/>
            </w:pPr>
            <w:r>
              <w:rPr>
                <w:rFonts w:ascii="Courier New" w:cs="Courier New" w:eastAsia="Courier New" w:hAnsi="Courier New"/>
                <w:b w:val="false"/>
                <w:bCs w:val="false"/>
                <w:i w:val="false"/>
                <w:iCs w:val="false"/>
                <w:sz w:val="19"/>
                <w:szCs w:val="19"/>
              </w:rPr>
              <w:t xml:space="preserve">On-time delivery: 98% - GREEN</w:t>
            </w:r>
          </w:p>
          <w:p>
            <w:pPr>
              <w:spacing w:after="40"/>
            </w:pPr>
            <w:r>
              <w:rPr>
                <w:rFonts w:ascii="Courier New" w:cs="Courier New" w:eastAsia="Courier New" w:hAnsi="Courier New"/>
                <w:b w:val="false"/>
                <w:bCs w:val="false"/>
                <w:i w:val="false"/>
                <w:iCs w:val="false"/>
                <w:sz w:val="19"/>
                <w:szCs w:val="19"/>
              </w:rPr>
              <w:t xml:space="preserve">Incoming inspection rejects: 0.2% - GREEN</w:t>
            </w:r>
          </w:p>
          <w:p>
            <w:pPr>
              <w:spacing w:after="40"/>
            </w:pPr>
            <w:r>
              <w:rPr>
                <w:rFonts w:ascii="Courier New" w:cs="Courier New" w:eastAsia="Courier New" w:hAnsi="Courier New"/>
                <w:b w:val="false"/>
                <w:bCs w:val="false"/>
                <w:i w:val="false"/>
                <w:iCs w:val="false"/>
                <w:sz w:val="19"/>
                <w:szCs w:val="19"/>
              </w:rPr>
              <w:t xml:space="preserve">Deviations reported to manufacturer: 0 - GREEN</w:t>
            </w:r>
          </w:p>
          <w:p>
            <w:pPr>
              <w:spacing w:after="40"/>
            </w:pPr>
            <w:r>
              <w:rPr>
                <w:rFonts w:ascii="Courier New" w:cs="Courier New" w:eastAsia="Courier New" w:hAnsi="Courier New"/>
                <w:b w:val="false"/>
                <w:bCs w:val="false"/>
                <w:i w:val="false"/>
                <w:iCs w:val="false"/>
                <w:sz w:val="19"/>
                <w:szCs w:val="19"/>
              </w:rPr>
              <w:t xml:space="preserve">Complaints attributable to supplier: 0 - GREEN</w:t>
            </w:r>
          </w:p>
        </w:tc>
      </w:tr>
    </w:tbl>
    <w:p>
      <w:pPr>
        <w:spacing w:after="100"/>
      </w:pPr>
      <w:r>
        <w:t xml:space="preserve"/>
      </w:r>
    </w:p>
    <w:tbl>
      <w:tblPr>
        <w:tblW w:type="dxa" w:w="10080"/>
        <w:tblBorders>
          <w:top w:val="single" w:color="A8730F" w:sz="6"/>
          <w:left w:val="single" w:color="A8730F" w:sz="6"/>
          <w:bottom w:val="single" w:color="A8730F" w:sz="6"/>
          <w:right w:val="single" w:color="A8730F" w:sz="6"/>
          <w:insideH w:val="single" w:color="A8730F" w:sz="6"/>
          <w:insideV w:val="single" w:color="A8730F" w:sz="6"/>
        </w:tblBorders>
      </w:tblPr>
      <w:tblGrid>
        <w:gridCol w:w="10080"/>
      </w:tblGrid>
      <w:tr>
        <w:trPr>
          <w:cantSplit/>
        </w:trPr>
        <w:tc>
          <w:tcPr>
            <w:tcW w:type="dxa" w:w="10080"/>
            <w:shd w:fill="FFFFFF" w:color="auto" w:val="clear"/>
            <w:tcMar>
              <w:top w:type="dxa" w:w="120"/>
              <w:left w:type="dxa" w:w="200"/>
              <w:bottom w:type="dxa" w:w="120"/>
              <w:right w:type="dxa" w:w="200"/>
            </w:tcMar>
          </w:tcPr>
          <w:p>
            <w:pPr>
              <w:spacing w:after="40"/>
            </w:pPr>
            <w:r>
              <w:rPr>
                <w:b/>
                <w:bCs/>
                <w:color w:val="A8730F"/>
                <w:sz w:val="16"/>
                <w:szCs w:val="16"/>
              </w:rPr>
              <w:t xml:space="preserve">EXHIBIT 2C   </w:t>
            </w:r>
            <w:r>
              <w:rPr>
                <w:b/>
                <w:bCs/>
                <w:color w:val="0F2A4A"/>
                <w:sz w:val="20"/>
                <w:szCs w:val="20"/>
              </w:rPr>
              <w:t xml:space="preserve">Subcontractor deviation DEV-0231 (excerpt)</w:t>
            </w:r>
          </w:p>
          <w:p>
            <w:pPr>
              <w:spacing w:after="40"/>
            </w:pPr>
            <w:r>
              <w:rPr>
                <w:rFonts w:ascii="Courier New" w:cs="Courier New" w:eastAsia="Courier New" w:hAnsi="Courier New"/>
                <w:b w:val="false"/>
                <w:bCs w:val="false"/>
                <w:i w:val="false"/>
                <w:iCs w:val="false"/>
                <w:sz w:val="19"/>
                <w:szCs w:val="19"/>
              </w:rPr>
              <w:t xml:space="preserve">Event: seal temperature recorded at 168 C against a validated range of 175-185 C for approximately 40 minutes during lot 24K07.</w:t>
            </w:r>
          </w:p>
          <w:p>
            <w:pPr>
              <w:spacing w:after="40"/>
            </w:pPr>
            <w:r>
              <w:rPr>
                <w:rFonts w:ascii="Courier New" w:cs="Courier New" w:eastAsia="Courier New" w:hAnsi="Courier New"/>
                <w:b w:val="false"/>
                <w:bCs w:val="false"/>
                <w:i w:val="false"/>
                <w:iCs w:val="false"/>
                <w:sz w:val="19"/>
                <w:szCs w:val="19"/>
              </w:rPr>
              <w:t xml:space="preserve">Investigation: seal strength samples (n=5) from the affected period passed.</w:t>
            </w:r>
          </w:p>
          <w:p>
            <w:pPr>
              <w:spacing w:after="40"/>
            </w:pPr>
            <w:r>
              <w:rPr>
                <w:rFonts w:ascii="Courier New" w:cs="Courier New" w:eastAsia="Courier New" w:hAnsi="Courier New"/>
                <w:b w:val="false"/>
                <w:bCs w:val="false"/>
                <w:i w:val="false"/>
                <w:iCs w:val="false"/>
                <w:sz w:val="19"/>
                <w:szCs w:val="19"/>
              </w:rPr>
              <w:t xml:space="preserve">Disposition: use as is. Approved: Production Supervisor; QA Officer (site).</w:t>
            </w:r>
          </w:p>
          <w:p>
            <w:pPr>
              <w:spacing w:after="40"/>
            </w:pPr>
            <w:r>
              <w:rPr>
                <w:rFonts w:ascii="Courier New" w:cs="Courier New" w:eastAsia="Courier New" w:hAnsi="Courier New"/>
                <w:b w:val="false"/>
                <w:bCs w:val="false"/>
                <w:i w:val="false"/>
                <w:iCs w:val="false"/>
                <w:sz w:val="19"/>
                <w:szCs w:val="19"/>
              </w:rPr>
              <w:t xml:space="preserve">Customer notification: not required.</w:t>
            </w:r>
          </w:p>
        </w:tc>
      </w:tr>
    </w:tbl>
    <w:p>
      <w:pPr>
        <w:pStyle w:val="Heading2"/>
      </w:pPr>
      <w:r>
        <w:t xml:space="preserve">Discuss at your table</w:t>
      </w:r>
    </w:p>
    <w:p>
      <w:pPr>
        <w:pStyle w:val="ListParagraph"/>
        <w:numPr>
          <w:ilvl w:val="0"/>
          <w:numId w:val="4"/>
        </w:numPr>
        <w:spacing w:after="80"/>
      </w:pPr>
      <w:r>
        <w:rPr>
          <w:b w:val="false"/>
          <w:bCs w:val="false"/>
          <w:i w:val="false"/>
          <w:iCs w:val="false"/>
          <w:sz w:val="21"/>
          <w:szCs w:val="21"/>
        </w:rPr>
        <w:t xml:space="preserve">Whose audit was this, really, and who received the findings?</w:t>
      </w:r>
    </w:p>
    <w:p>
      <w:pPr>
        <w:pStyle w:val="ListParagraph"/>
        <w:numPr>
          <w:ilvl w:val="0"/>
          <w:numId w:val="4"/>
        </w:numPr>
        <w:spacing w:after="80"/>
      </w:pPr>
      <w:r>
        <w:rPr>
          <w:b w:val="false"/>
          <w:bCs w:val="false"/>
          <w:i w:val="false"/>
          <w:iCs w:val="false"/>
          <w:sz w:val="21"/>
          <w:szCs w:val="21"/>
        </w:rPr>
        <w:t xml:space="preserve">What does ISO 13485 §4.1.5 (control of outsourced processes) require of the manufacturer here, and where exactly did the manufacturer's control fail?</w:t>
      </w:r>
    </w:p>
    <w:p>
      <w:pPr>
        <w:pStyle w:val="ListParagraph"/>
        <w:numPr>
          <w:ilvl w:val="0"/>
          <w:numId w:val="4"/>
        </w:numPr>
        <w:spacing w:after="80"/>
      </w:pPr>
      <w:r>
        <w:rPr>
          <w:b w:val="false"/>
          <w:bCs w:val="false"/>
          <w:i w:val="false"/>
          <w:iCs w:val="false"/>
          <w:sz w:val="21"/>
          <w:szCs w:val="21"/>
        </w:rPr>
        <w:t xml:space="preserve">Exhibit 2B: why did a scorecard with four green cells hide the problem? What would you measure instead?</w:t>
      </w:r>
    </w:p>
    <w:p>
      <w:pPr>
        <w:pStyle w:val="ListParagraph"/>
        <w:numPr>
          <w:ilvl w:val="0"/>
          <w:numId w:val="4"/>
        </w:numPr>
        <w:spacing w:after="80"/>
      </w:pPr>
      <w:r>
        <w:rPr>
          <w:b w:val="false"/>
          <w:bCs w:val="false"/>
          <w:i w:val="false"/>
          <w:iCs w:val="false"/>
          <w:sz w:val="21"/>
          <w:szCs w:val="21"/>
        </w:rPr>
        <w:t xml:space="preserve">How should production calendars and site access be arranged with the notified body for a campaign-manufactured device?</w:t>
      </w:r>
    </w:p>
    <w:p>
      <w:pPr>
        <w:pStyle w:val="ListParagraph"/>
        <w:numPr>
          <w:ilvl w:val="0"/>
          <w:numId w:val="4"/>
        </w:numPr>
        <w:spacing w:after="80"/>
      </w:pPr>
      <w:r>
        <w:rPr>
          <w:b w:val="false"/>
          <w:bCs w:val="false"/>
          <w:i w:val="false"/>
          <w:iCs w:val="false"/>
          <w:sz w:val="21"/>
          <w:szCs w:val="21"/>
        </w:rPr>
        <w:t xml:space="preserve">Rewrite clause 7.2 of the quality agreement in two or three sentences.</w:t>
      </w:r>
    </w:p>
    <w:p>
      <w:pPr>
        <w:pStyle w:val="Heading3"/>
      </w:pPr>
      <w:r>
        <w:t xml:space="preserve">Table notes</w:t>
      </w:r>
    </w:p>
    <w:tbl>
      <w:tblPr>
        <w:tblW w:type="dxa" w:w="10080"/>
        <w:tblBorders>
          <w:top w:val="none" w:color="FFFFFF" w:sz="0"/>
          <w:left w:val="none" w:color="FFFFFF" w:sz="0"/>
          <w:bottom w:val="single" w:color="CBD2D9" w:sz="4"/>
          <w:right w:val="none" w:color="FFFFFF" w:sz="0"/>
          <w:insideH w:val="single" w:color="CBD2D9" w:sz="4"/>
          <w:insideV w:val="none" w:color="FFFFFF" w:sz="0"/>
        </w:tblBorders>
      </w:tblPr>
      <w:tblGrid>
        <w:gridCol w:w="10080"/>
      </w:tblGrid>
      <w:tr>
        <w:trPr>
          <w:trHeight w:val="420" w:hRule="atLeast"/>
        </w:trPr>
        <w:tc>
          <w:tcPr>
            <w:tcW w:type="dxa" w:w="10080"/>
            <w:tcMar>
              <w:top w:type="dxa" w:w="0"/>
              <w:left w:type="dxa" w:w="0"/>
              <w:bottom w:type="dxa" w:w="0"/>
              <w:right w:type="dxa" w:w="0"/>
            </w:tcMar>
          </w:tcPr>
          <w:p>
            <w:r>
              <w:rPr>
                <w:sz w:val="18"/>
                <w:szCs w:val="18"/>
              </w:rPr>
              <w:t xml:space="preserve"/>
            </w:r>
          </w:p>
        </w:tc>
      </w:tr>
      <w:tr>
        <w:trPr>
          <w:trHeight w:val="420" w:hRule="atLeast"/>
        </w:trPr>
        <w:tc>
          <w:tcPr>
            <w:tcW w:type="dxa" w:w="10080"/>
            <w:tcMar>
              <w:top w:type="dxa" w:w="0"/>
              <w:left w:type="dxa" w:w="0"/>
              <w:bottom w:type="dxa" w:w="0"/>
              <w:right w:type="dxa" w:w="0"/>
            </w:tcMar>
          </w:tcPr>
          <w:p>
            <w:r>
              <w:rPr>
                <w:sz w:val="18"/>
                <w:szCs w:val="18"/>
              </w:rPr>
              <w:t xml:space="preserve"/>
            </w:r>
          </w:p>
        </w:tc>
      </w:tr>
      <w:tr>
        <w:trPr>
          <w:trHeight w:val="420" w:hRule="atLeast"/>
        </w:trPr>
        <w:tc>
          <w:tcPr>
            <w:tcW w:type="dxa" w:w="10080"/>
            <w:tcMar>
              <w:top w:type="dxa" w:w="0"/>
              <w:left w:type="dxa" w:w="0"/>
              <w:bottom w:type="dxa" w:w="0"/>
              <w:right w:type="dxa" w:w="0"/>
            </w:tcMar>
          </w:tcPr>
          <w:p>
            <w:r>
              <w:rPr>
                <w:sz w:val="18"/>
                <w:szCs w:val="18"/>
              </w:rPr>
              <w:t xml:space="preserve"/>
            </w:r>
          </w:p>
        </w:tc>
      </w:tr>
      <w:tr>
        <w:trPr>
          <w:trHeight w:val="420" w:hRule="atLeast"/>
        </w:trPr>
        <w:tc>
          <w:tcPr>
            <w:tcW w:type="dxa" w:w="10080"/>
            <w:tcMar>
              <w:top w:type="dxa" w:w="0"/>
              <w:left w:type="dxa" w:w="0"/>
              <w:bottom w:type="dxa" w:w="0"/>
              <w:right w:type="dxa" w:w="0"/>
            </w:tcMar>
          </w:tcPr>
          <w:p>
            <w:r>
              <w:rPr>
                <w:sz w:val="18"/>
                <w:szCs w:val="18"/>
              </w:rPr>
              <w:t xml:space="preserve"/>
            </w:r>
          </w:p>
        </w:tc>
      </w:tr>
      <w:tr>
        <w:trPr>
          <w:trHeight w:val="420" w:hRule="atLeast"/>
        </w:trPr>
        <w:tc>
          <w:tcPr>
            <w:tcW w:type="dxa" w:w="10080"/>
            <w:tcMar>
              <w:top w:type="dxa" w:w="0"/>
              <w:left w:type="dxa" w:w="0"/>
              <w:bottom w:type="dxa" w:w="0"/>
              <w:right w:type="dxa" w:w="0"/>
            </w:tcMar>
          </w:tcPr>
          <w:p>
            <w:r>
              <w:rPr>
                <w:sz w:val="18"/>
                <w:szCs w:val="18"/>
              </w:rPr>
              <w:t xml:space="preserve"/>
            </w:r>
          </w:p>
        </w:tc>
      </w:tr>
    </w:tbl>
    <w:p>
      <w:pPr>
        <w:spacing w:after="60"/>
      </w:pPr>
      <w:r>
        <w:t xml:space="preserve"/>
      </w:r>
    </w:p>
    <w:p>
      <w:pPr>
        <w:pStyle w:val="Heading3"/>
      </w:pPr>
      <w:r>
        <w:t xml:space="preserve">One thing I will change at my site</w:t>
      </w:r>
    </w:p>
    <w:tbl>
      <w:tblPr>
        <w:tblW w:type="dxa" w:w="10080"/>
        <w:tblBorders>
          <w:top w:val="none" w:color="FFFFFF" w:sz="0"/>
          <w:left w:val="none" w:color="FFFFFF" w:sz="0"/>
          <w:bottom w:val="single" w:color="CBD2D9" w:sz="4"/>
          <w:right w:val="none" w:color="FFFFFF" w:sz="0"/>
          <w:insideH w:val="single" w:color="CBD2D9" w:sz="4"/>
          <w:insideV w:val="none" w:color="FFFFFF" w:sz="0"/>
        </w:tblBorders>
      </w:tblPr>
      <w:tblGrid>
        <w:gridCol w:w="10080"/>
      </w:tblGrid>
      <w:tr>
        <w:trPr>
          <w:trHeight w:val="420" w:hRule="atLeast"/>
        </w:trPr>
        <w:tc>
          <w:tcPr>
            <w:tcW w:type="dxa" w:w="10080"/>
            <w:tcMar>
              <w:top w:type="dxa" w:w="0"/>
              <w:left w:type="dxa" w:w="0"/>
              <w:bottom w:type="dxa" w:w="0"/>
              <w:right w:type="dxa" w:w="0"/>
            </w:tcMar>
          </w:tcPr>
          <w:p>
            <w:r>
              <w:rPr>
                <w:sz w:val="18"/>
                <w:szCs w:val="18"/>
              </w:rPr>
              <w:t xml:space="preserve"/>
            </w:r>
          </w:p>
        </w:tc>
      </w:tr>
      <w:tr>
        <w:trPr>
          <w:trHeight w:val="420" w:hRule="atLeast"/>
        </w:trPr>
        <w:tc>
          <w:tcPr>
            <w:tcW w:type="dxa" w:w="10080"/>
            <w:tcMar>
              <w:top w:type="dxa" w:w="0"/>
              <w:left w:type="dxa" w:w="0"/>
              <w:bottom w:type="dxa" w:w="0"/>
              <w:right w:type="dxa" w:w="0"/>
            </w:tcMar>
          </w:tcPr>
          <w:p>
            <w:r>
              <w:rPr>
                <w:sz w:val="18"/>
                <w:szCs w:val="18"/>
              </w:rPr>
              <w:t xml:space="preserve"/>
            </w:r>
          </w:p>
        </w:tc>
      </w:tr>
    </w:tbl>
    <w:p>
      <w:pPr>
        <w:spacing w:after="60"/>
      </w:pPr>
      <w:r>
        <w:t xml:space="preserve"/>
      </w:r>
    </w:p>
    <w:p>
      <w:r>
        <w:br w:type="page"/>
      </w:r>
    </w:p>
    <w:p>
      <w:pPr>
        <w:pStyle w:val="Heading1"/>
      </w:pPr>
      <w:r>
        <w:t xml:space="preserve">Case 3: The first inspection under the QMSR</w:t>
      </w:r>
    </w:p>
    <w:p>
      <w:pPr>
        <w:pStyle w:val="Heading2"/>
      </w:pPr>
      <w:r>
        <w:t xml:space="preserve">Background</w:t>
      </w:r>
    </w:p>
    <w:p>
      <w:pPr>
        <w:pStyle w:val="ListParagraph"/>
        <w:numPr>
          <w:ilvl w:val="0"/>
          <w:numId w:val="2"/>
        </w:numPr>
        <w:spacing w:after="60"/>
      </w:pPr>
      <w:r>
        <w:rPr>
          <w:b w:val="false"/>
          <w:bCs w:val="false"/>
          <w:i w:val="false"/>
          <w:iCs w:val="false"/>
          <w:sz w:val="21"/>
          <w:szCs w:val="21"/>
        </w:rPr>
        <w:t xml:space="preserve">US manufacturer in Indiana; Class II reusable orthopedic instruments and sterilization trays; about 400 staff.</w:t>
      </w:r>
    </w:p>
    <w:p>
      <w:pPr>
        <w:pStyle w:val="ListParagraph"/>
        <w:numPr>
          <w:ilvl w:val="0"/>
          <w:numId w:val="2"/>
        </w:numPr>
        <w:spacing w:after="60"/>
      </w:pPr>
      <w:r>
        <w:rPr>
          <w:b w:val="false"/>
          <w:bCs w:val="false"/>
          <w:i w:val="false"/>
          <w:iCs w:val="false"/>
          <w:sz w:val="21"/>
          <w:szCs w:val="21"/>
        </w:rPr>
        <w:t xml:space="preserve">ISO 13485 certified for ten years; MDSAP certificate for the Canadian market. Last FDA inspection 2021, classified NAI.</w:t>
      </w:r>
    </w:p>
    <w:p>
      <w:pPr>
        <w:pStyle w:val="ListParagraph"/>
        <w:numPr>
          <w:ilvl w:val="0"/>
          <w:numId w:val="2"/>
        </w:numPr>
        <w:spacing w:after="60"/>
      </w:pPr>
      <w:r>
        <w:rPr>
          <w:b w:val="false"/>
          <w:bCs w:val="false"/>
          <w:i w:val="false"/>
          <w:iCs w:val="false"/>
          <w:sz w:val="21"/>
          <w:szCs w:val="21"/>
        </w:rPr>
        <w:t xml:space="preserve">The QMSR gap assessment completed in 2025 concluded: "We are ISO 13485 certified; no procedural changes required."</w:t>
      </w:r>
    </w:p>
    <w:p>
      <w:pPr>
        <w:pStyle w:val="Heading2"/>
      </w:pPr>
      <w:r>
        <w:t xml:space="preserve">The day</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1100"/>
        <w:gridCol w:w="8980"/>
      </w:tblGrid>
      <w:tr>
        <w:trPr>
          <w:tblHeader/>
        </w:trPr>
        <w:tc>
          <w:tcPr>
            <w:tcW w:type="dxa" w:w="11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Time</w:t>
            </w:r>
          </w:p>
        </w:tc>
        <w:tc>
          <w:tcPr>
            <w:tcW w:type="dxa" w:w="898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What happened</w:t>
            </w:r>
          </w:p>
        </w:tc>
      </w:tr>
      <w:tr>
        <w:tc>
          <w:tcPr>
            <w:tcW w:type="dxa" w:w="11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09:00</w:t>
            </w:r>
          </w:p>
        </w:tc>
        <w:tc>
          <w:tcPr>
            <w:tcW w:type="dxa" w:w="89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An FDA investigator presents credentials and Form FDA 482. The inspection follows the QMSR structure, not QSIT.</w:t>
            </w:r>
          </w:p>
        </w:tc>
      </w:tr>
      <w:tr>
        <w:tc>
          <w:tcPr>
            <w:tcW w:type="dxa" w:w="11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09:20</w:t>
            </w:r>
          </w:p>
        </w:tc>
        <w:tc>
          <w:tcPr>
            <w:tcW w:type="dxa" w:w="89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The investigator asks for the procedure index cross-referenced to ISO 13485 clauses and to the QMSR. The firm has an ISO index only.</w:t>
            </w:r>
          </w:p>
        </w:tc>
      </w:tr>
      <w:tr>
        <w:tc>
          <w:tcPr>
            <w:tcW w:type="dxa" w:w="11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09:45</w:t>
            </w:r>
          </w:p>
        </w:tc>
        <w:tc>
          <w:tcPr>
            <w:tcW w:type="dxa" w:w="89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Request for the last two management reviews and the internal audit schedule and results. The firm's readiness procedure still cites the retired 820.180(c) exemption. Forty minutes pass in calls with corporate RA before the records are provided.</w:t>
            </w:r>
          </w:p>
        </w:tc>
      </w:tr>
      <w:tr>
        <w:tc>
          <w:tcPr>
            <w:tcW w:type="dxa" w:w="11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11:00</w:t>
            </w:r>
          </w:p>
        </w:tc>
        <w:tc>
          <w:tcPr>
            <w:tcW w:type="dxa" w:w="89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Management review minutes contain no regulatory-reporting metrics; two actions from 2024 are still open.</w:t>
            </w:r>
          </w:p>
        </w:tc>
      </w:tr>
      <w:tr>
        <w:tc>
          <w:tcPr>
            <w:tcW w:type="dxa" w:w="11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Day 2</w:t>
            </w:r>
          </w:p>
        </w:tc>
        <w:tc>
          <w:tcPr>
            <w:tcW w:type="dxa" w:w="89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Complaints: 6 of 20 sampled files have no documented MDR reportability decision; complaint records do not capture the UDI (820.35(a)).</w:t>
            </w:r>
          </w:p>
        </w:tc>
      </w:tr>
      <w:tr>
        <w:tc>
          <w:tcPr>
            <w:tcW w:type="dxa" w:w="11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Day 2</w:t>
            </w:r>
          </w:p>
        </w:tc>
        <w:tc>
          <w:tcPr>
            <w:tcW w:type="dxa" w:w="89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Labeling: label and IFU inspection records for one tray family show no verification of label content (820.45).</w:t>
            </w:r>
          </w:p>
        </w:tc>
      </w:tr>
      <w:tr>
        <w:tc>
          <w:tcPr>
            <w:tcW w:type="dxa" w:w="11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Day 3</w:t>
            </w:r>
          </w:p>
        </w:tc>
        <w:tc>
          <w:tcPr>
            <w:tcW w:type="dxa" w:w="89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CAPA: two CAPAs for the same cleaning-validation issue, both "closed - effective" with no effectiveness data.</w:t>
            </w:r>
          </w:p>
        </w:tc>
      </w:tr>
    </w:tbl>
    <w:p>
      <w:pPr>
        <w:pStyle w:val="Heading2"/>
      </w:pPr>
      <w:r>
        <w:t xml:space="preserve">Exhibits</w:t>
      </w:r>
    </w:p>
    <w:tbl>
      <w:tblPr>
        <w:tblW w:type="dxa" w:w="10080"/>
        <w:tblBorders>
          <w:top w:val="single" w:color="A8730F" w:sz="6"/>
          <w:left w:val="single" w:color="A8730F" w:sz="6"/>
          <w:bottom w:val="single" w:color="A8730F" w:sz="6"/>
          <w:right w:val="single" w:color="A8730F" w:sz="6"/>
          <w:insideH w:val="single" w:color="A8730F" w:sz="6"/>
          <w:insideV w:val="single" w:color="A8730F" w:sz="6"/>
        </w:tblBorders>
      </w:tblPr>
      <w:tblGrid>
        <w:gridCol w:w="10080"/>
      </w:tblGrid>
      <w:tr>
        <w:trPr>
          <w:cantSplit/>
        </w:trPr>
        <w:tc>
          <w:tcPr>
            <w:tcW w:type="dxa" w:w="10080"/>
            <w:shd w:fill="FFFFFF" w:color="auto" w:val="clear"/>
            <w:tcMar>
              <w:top w:type="dxa" w:w="120"/>
              <w:left w:type="dxa" w:w="200"/>
              <w:bottom w:type="dxa" w:w="120"/>
              <w:right w:type="dxa" w:w="200"/>
            </w:tcMar>
          </w:tcPr>
          <w:p>
            <w:pPr>
              <w:spacing w:after="40"/>
            </w:pPr>
            <w:r>
              <w:rPr>
                <w:b/>
                <w:bCs/>
                <w:color w:val="A8730F"/>
                <w:sz w:val="16"/>
                <w:szCs w:val="16"/>
              </w:rPr>
              <w:t xml:space="preserve">EXHIBIT 3A   </w:t>
            </w:r>
            <w:r>
              <w:rPr>
                <w:b/>
                <w:bCs/>
                <w:color w:val="0F2A4A"/>
                <w:sz w:val="20"/>
                <w:szCs w:val="20"/>
              </w:rPr>
              <w:t xml:space="preserve">Inspection readiness procedure QP-015 rev C (excerpt, effective 2019)</w:t>
            </w:r>
          </w:p>
          <w:p>
            <w:pPr>
              <w:spacing w:after="40"/>
            </w:pPr>
            <w:r>
              <w:rPr>
                <w:rFonts w:ascii="Courier New" w:cs="Courier New" w:eastAsia="Courier New" w:hAnsi="Courier New"/>
                <w:b w:val="false"/>
                <w:bCs w:val="false"/>
                <w:i w:val="false"/>
                <w:iCs w:val="false"/>
                <w:sz w:val="19"/>
                <w:szCs w:val="19"/>
              </w:rPr>
              <w:t xml:space="preserve">Per 21 CFR 820.180(c), records of management review, internal quality audits and supplier audits are exempt from FDA review. The FDA investigator shall be informed that such audits have been performed and shall be shown the certification of completion only.</w:t>
            </w:r>
          </w:p>
        </w:tc>
      </w:tr>
    </w:tbl>
    <w:p>
      <w:pPr>
        <w:spacing w:after="100"/>
      </w:pPr>
      <w:r>
        <w:t xml:space="preserve"/>
      </w:r>
    </w:p>
    <w:tbl>
      <w:tblPr>
        <w:tblW w:type="dxa" w:w="10080"/>
        <w:tblBorders>
          <w:top w:val="single" w:color="A8730F" w:sz="6"/>
          <w:left w:val="single" w:color="A8730F" w:sz="6"/>
          <w:bottom w:val="single" w:color="A8730F" w:sz="6"/>
          <w:right w:val="single" w:color="A8730F" w:sz="6"/>
          <w:insideH w:val="single" w:color="A8730F" w:sz="6"/>
          <w:insideV w:val="single" w:color="A8730F" w:sz="6"/>
        </w:tblBorders>
      </w:tblPr>
      <w:tblGrid>
        <w:gridCol w:w="10080"/>
      </w:tblGrid>
      <w:tr>
        <w:trPr>
          <w:cantSplit/>
        </w:trPr>
        <w:tc>
          <w:tcPr>
            <w:tcW w:type="dxa" w:w="10080"/>
            <w:shd w:fill="FFFFFF" w:color="auto" w:val="clear"/>
            <w:tcMar>
              <w:top w:type="dxa" w:w="120"/>
              <w:left w:type="dxa" w:w="200"/>
              <w:bottom w:type="dxa" w:w="120"/>
              <w:right w:type="dxa" w:w="200"/>
            </w:tcMar>
          </w:tcPr>
          <w:p>
            <w:pPr>
              <w:spacing w:after="40"/>
            </w:pPr>
            <w:r>
              <w:rPr>
                <w:b/>
                <w:bCs/>
                <w:color w:val="A8730F"/>
                <w:sz w:val="16"/>
                <w:szCs w:val="16"/>
              </w:rPr>
              <w:t xml:space="preserve">EXHIBIT 3B   </w:t>
            </w:r>
            <w:r>
              <w:rPr>
                <w:b/>
                <w:bCs/>
                <w:color w:val="0F2A4A"/>
                <w:sz w:val="20"/>
                <w:szCs w:val="20"/>
              </w:rPr>
              <w:t xml:space="preserve">Complaint record CMP-25-0417 (fields as completed)</w:t>
            </w:r>
          </w:p>
          <w:p>
            <w:pPr>
              <w:spacing w:after="40"/>
            </w:pPr>
            <w:r>
              <w:rPr>
                <w:rFonts w:ascii="Courier New" w:cs="Courier New" w:eastAsia="Courier New" w:hAnsi="Courier New"/>
                <w:b w:val="false"/>
                <w:bCs w:val="false"/>
                <w:i w:val="false"/>
                <w:iCs w:val="false"/>
                <w:sz w:val="19"/>
                <w:szCs w:val="19"/>
              </w:rPr>
              <w:t xml:space="preserve">Product: tray system model T-40 | Lot / UDI: [blank]</w:t>
            </w:r>
          </w:p>
          <w:p>
            <w:pPr>
              <w:spacing w:after="40"/>
            </w:pPr>
            <w:r>
              <w:rPr>
                <w:rFonts w:ascii="Courier New" w:cs="Courier New" w:eastAsia="Courier New" w:hAnsi="Courier New"/>
                <w:b w:val="false"/>
                <w:bCs w:val="false"/>
                <w:i w:val="false"/>
                <w:iCs w:val="false"/>
                <w:sz w:val="19"/>
                <w:szCs w:val="19"/>
              </w:rPr>
              <w:t xml:space="preserve">Complaint: "Instrument tray latch failed to close during reprocessing; tray sent for service."</w:t>
            </w:r>
          </w:p>
          <w:p>
            <w:pPr>
              <w:spacing w:after="40"/>
            </w:pPr>
            <w:r>
              <w:rPr>
                <w:rFonts w:ascii="Courier New" w:cs="Courier New" w:eastAsia="Courier New" w:hAnsi="Courier New"/>
                <w:b w:val="false"/>
                <w:bCs w:val="false"/>
                <w:i w:val="false"/>
                <w:iCs w:val="false"/>
                <w:sz w:val="19"/>
                <w:szCs w:val="19"/>
              </w:rPr>
              <w:t xml:space="preserve">Investigation: latch spring fatigue; spring replaced under service.</w:t>
            </w:r>
          </w:p>
          <w:p>
            <w:pPr>
              <w:spacing w:after="40"/>
            </w:pPr>
            <w:r>
              <w:rPr>
                <w:rFonts w:ascii="Courier New" w:cs="Courier New" w:eastAsia="Courier New" w:hAnsi="Courier New"/>
                <w:b w:val="false"/>
                <w:bCs w:val="false"/>
                <w:i w:val="false"/>
                <w:iCs w:val="false"/>
                <w:sz w:val="19"/>
                <w:szCs w:val="19"/>
              </w:rPr>
              <w:t xml:space="preserve">MDR reportability decision: [blank] | Rationale: [blank]</w:t>
            </w:r>
          </w:p>
          <w:p>
            <w:pPr>
              <w:spacing w:after="40"/>
            </w:pPr>
            <w:r>
              <w:rPr>
                <w:rFonts w:ascii="Courier New" w:cs="Courier New" w:eastAsia="Courier New" w:hAnsi="Courier New"/>
                <w:b w:val="false"/>
                <w:bCs w:val="false"/>
                <w:i w:val="false"/>
                <w:iCs w:val="false"/>
                <w:sz w:val="19"/>
                <w:szCs w:val="19"/>
              </w:rPr>
              <w:t xml:space="preserve">Reply to complainant: yes, 14 March.</w:t>
            </w:r>
          </w:p>
        </w:tc>
      </w:tr>
    </w:tbl>
    <w:p>
      <w:pPr>
        <w:spacing w:after="100"/>
      </w:pPr>
      <w:r>
        <w:t xml:space="preserve"/>
      </w:r>
    </w:p>
    <w:tbl>
      <w:tblPr>
        <w:tblW w:type="dxa" w:w="10080"/>
        <w:tblBorders>
          <w:top w:val="single" w:color="A8730F" w:sz="6"/>
          <w:left w:val="single" w:color="A8730F" w:sz="6"/>
          <w:bottom w:val="single" w:color="A8730F" w:sz="6"/>
          <w:right w:val="single" w:color="A8730F" w:sz="6"/>
          <w:insideH w:val="single" w:color="A8730F" w:sz="6"/>
          <w:insideV w:val="single" w:color="A8730F" w:sz="6"/>
        </w:tblBorders>
      </w:tblPr>
      <w:tblGrid>
        <w:gridCol w:w="10080"/>
      </w:tblGrid>
      <w:tr>
        <w:trPr>
          <w:cantSplit/>
        </w:trPr>
        <w:tc>
          <w:tcPr>
            <w:tcW w:type="dxa" w:w="10080"/>
            <w:shd w:fill="FFFFFF" w:color="auto" w:val="clear"/>
            <w:tcMar>
              <w:top w:type="dxa" w:w="120"/>
              <w:left w:type="dxa" w:w="200"/>
              <w:bottom w:type="dxa" w:w="120"/>
              <w:right w:type="dxa" w:w="200"/>
            </w:tcMar>
          </w:tcPr>
          <w:p>
            <w:pPr>
              <w:spacing w:after="40"/>
            </w:pPr>
            <w:r>
              <w:rPr>
                <w:b/>
                <w:bCs/>
                <w:color w:val="A8730F"/>
                <w:sz w:val="16"/>
                <w:szCs w:val="16"/>
              </w:rPr>
              <w:t xml:space="preserve">EXHIBIT 3C   </w:t>
            </w:r>
            <w:r>
              <w:rPr>
                <w:b/>
                <w:bCs/>
                <w:color w:val="0F2A4A"/>
                <w:sz w:val="20"/>
                <w:szCs w:val="20"/>
              </w:rPr>
              <w:t xml:space="preserve">CAPA-24-031 closure statement</w:t>
            </w:r>
          </w:p>
          <w:p>
            <w:pPr>
              <w:spacing w:after="40"/>
            </w:pPr>
            <w:r>
              <w:rPr>
                <w:rFonts w:ascii="Courier New" w:cs="Courier New" w:eastAsia="Courier New" w:hAnsi="Courier New"/>
                <w:b w:val="false"/>
                <w:bCs w:val="false"/>
                <w:i w:val="false"/>
                <w:iCs w:val="false"/>
                <w:sz w:val="19"/>
                <w:szCs w:val="19"/>
              </w:rPr>
              <w:t xml:space="preserve">Root cause: operator did not follow cleaning validation protocol.</w:t>
            </w:r>
          </w:p>
          <w:p>
            <w:pPr>
              <w:spacing w:after="40"/>
            </w:pPr>
            <w:r>
              <w:rPr>
                <w:rFonts w:ascii="Courier New" w:cs="Courier New" w:eastAsia="Courier New" w:hAnsi="Courier New"/>
                <w:b w:val="false"/>
                <w:bCs w:val="false"/>
                <w:i w:val="false"/>
                <w:iCs w:val="false"/>
                <w:sz w:val="19"/>
                <w:szCs w:val="19"/>
              </w:rPr>
              <w:t xml:space="preserve">Corrective action: retraining completed 12 November 2024.</w:t>
            </w:r>
          </w:p>
          <w:p>
            <w:pPr>
              <w:spacing w:after="40"/>
            </w:pPr>
            <w:r>
              <w:rPr>
                <w:rFonts w:ascii="Courier New" w:cs="Courier New" w:eastAsia="Courier New" w:hAnsi="Courier New"/>
                <w:b w:val="false"/>
                <w:bCs w:val="false"/>
                <w:i w:val="false"/>
                <w:iCs w:val="false"/>
                <w:sz w:val="19"/>
                <w:szCs w:val="19"/>
              </w:rPr>
              <w:t xml:space="preserve">Effectiveness: verified - no recurrence observed at closure. Closure date: 15 November 2024.</w:t>
            </w:r>
          </w:p>
        </w:tc>
      </w:tr>
    </w:tbl>
    <w:p>
      <w:pPr>
        <w:pStyle w:val="Heading2"/>
      </w:pPr>
      <w:r>
        <w:t xml:space="preserve">Discuss at your table</w:t>
      </w:r>
    </w:p>
    <w:p>
      <w:pPr>
        <w:pStyle w:val="ListParagraph"/>
        <w:numPr>
          <w:ilvl w:val="0"/>
          <w:numId w:val="5"/>
        </w:numPr>
        <w:spacing w:after="80"/>
      </w:pPr>
      <w:r>
        <w:rPr>
          <w:b w:val="false"/>
          <w:bCs w:val="false"/>
          <w:i w:val="false"/>
          <w:iCs w:val="false"/>
          <w:sz w:val="21"/>
          <w:szCs w:val="21"/>
        </w:rPr>
        <w:t xml:space="preserve">What mindset caused the 40-minute standoff over the management review records, and what did it cost the firm?</w:t>
      </w:r>
    </w:p>
    <w:p>
      <w:pPr>
        <w:pStyle w:val="ListParagraph"/>
        <w:numPr>
          <w:ilvl w:val="0"/>
          <w:numId w:val="5"/>
        </w:numPr>
        <w:spacing w:after="80"/>
      </w:pPr>
      <w:r>
        <w:rPr>
          <w:b w:val="false"/>
          <w:bCs w:val="false"/>
          <w:i w:val="false"/>
          <w:iCs w:val="false"/>
          <w:sz w:val="21"/>
          <w:szCs w:val="21"/>
        </w:rPr>
        <w:t xml:space="preserve">Which of the eventual observations are QMSR-specific, and which are plain ISO 13485 failures the firm was already certified against?</w:t>
      </w:r>
    </w:p>
    <w:p>
      <w:pPr>
        <w:pStyle w:val="ListParagraph"/>
        <w:numPr>
          <w:ilvl w:val="0"/>
          <w:numId w:val="5"/>
        </w:numPr>
        <w:spacing w:after="80"/>
      </w:pPr>
      <w:r>
        <w:rPr>
          <w:b w:val="false"/>
          <w:bCs w:val="false"/>
          <w:i w:val="false"/>
          <w:iCs w:val="false"/>
          <w:sz w:val="21"/>
          <w:szCs w:val="21"/>
        </w:rPr>
        <w:t xml:space="preserve">Exhibit 3C: list everything wrong with this closure statement. What would an acceptable effectiveness check look like?</w:t>
      </w:r>
    </w:p>
    <w:p>
      <w:pPr>
        <w:pStyle w:val="ListParagraph"/>
        <w:numPr>
          <w:ilvl w:val="0"/>
          <w:numId w:val="5"/>
        </w:numPr>
        <w:spacing w:after="80"/>
      </w:pPr>
      <w:r>
        <w:rPr>
          <w:b w:val="false"/>
          <w:bCs w:val="false"/>
          <w:i w:val="false"/>
          <w:iCs w:val="false"/>
          <w:sz w:val="21"/>
          <w:szCs w:val="21"/>
        </w:rPr>
        <w:t xml:space="preserve">Draft the first paragraph of the Form 483 response to the CAPA observation. Include correction, corrective action and a systemic check.</w:t>
      </w:r>
    </w:p>
    <w:p>
      <w:pPr>
        <w:pStyle w:val="Heading3"/>
      </w:pPr>
      <w:r>
        <w:t xml:space="preserve">Table notes</w:t>
      </w:r>
    </w:p>
    <w:tbl>
      <w:tblPr>
        <w:tblW w:type="dxa" w:w="10080"/>
        <w:tblBorders>
          <w:top w:val="none" w:color="FFFFFF" w:sz="0"/>
          <w:left w:val="none" w:color="FFFFFF" w:sz="0"/>
          <w:bottom w:val="single" w:color="CBD2D9" w:sz="4"/>
          <w:right w:val="none" w:color="FFFFFF" w:sz="0"/>
          <w:insideH w:val="single" w:color="CBD2D9" w:sz="4"/>
          <w:insideV w:val="none" w:color="FFFFFF" w:sz="0"/>
        </w:tblBorders>
      </w:tblPr>
      <w:tblGrid>
        <w:gridCol w:w="10080"/>
      </w:tblGrid>
      <w:tr>
        <w:trPr>
          <w:trHeight w:val="420" w:hRule="atLeast"/>
        </w:trPr>
        <w:tc>
          <w:tcPr>
            <w:tcW w:type="dxa" w:w="10080"/>
            <w:tcMar>
              <w:top w:type="dxa" w:w="0"/>
              <w:left w:type="dxa" w:w="0"/>
              <w:bottom w:type="dxa" w:w="0"/>
              <w:right w:type="dxa" w:w="0"/>
            </w:tcMar>
          </w:tcPr>
          <w:p>
            <w:r>
              <w:rPr>
                <w:sz w:val="18"/>
                <w:szCs w:val="18"/>
              </w:rPr>
              <w:t xml:space="preserve"/>
            </w:r>
          </w:p>
        </w:tc>
      </w:tr>
      <w:tr>
        <w:trPr>
          <w:trHeight w:val="420" w:hRule="atLeast"/>
        </w:trPr>
        <w:tc>
          <w:tcPr>
            <w:tcW w:type="dxa" w:w="10080"/>
            <w:tcMar>
              <w:top w:type="dxa" w:w="0"/>
              <w:left w:type="dxa" w:w="0"/>
              <w:bottom w:type="dxa" w:w="0"/>
              <w:right w:type="dxa" w:w="0"/>
            </w:tcMar>
          </w:tcPr>
          <w:p>
            <w:r>
              <w:rPr>
                <w:sz w:val="18"/>
                <w:szCs w:val="18"/>
              </w:rPr>
              <w:t xml:space="preserve"/>
            </w:r>
          </w:p>
        </w:tc>
      </w:tr>
      <w:tr>
        <w:trPr>
          <w:trHeight w:val="420" w:hRule="atLeast"/>
        </w:trPr>
        <w:tc>
          <w:tcPr>
            <w:tcW w:type="dxa" w:w="10080"/>
            <w:tcMar>
              <w:top w:type="dxa" w:w="0"/>
              <w:left w:type="dxa" w:w="0"/>
              <w:bottom w:type="dxa" w:w="0"/>
              <w:right w:type="dxa" w:w="0"/>
            </w:tcMar>
          </w:tcPr>
          <w:p>
            <w:r>
              <w:rPr>
                <w:sz w:val="18"/>
                <w:szCs w:val="18"/>
              </w:rPr>
              <w:t xml:space="preserve"/>
            </w:r>
          </w:p>
        </w:tc>
      </w:tr>
      <w:tr>
        <w:trPr>
          <w:trHeight w:val="420" w:hRule="atLeast"/>
        </w:trPr>
        <w:tc>
          <w:tcPr>
            <w:tcW w:type="dxa" w:w="10080"/>
            <w:tcMar>
              <w:top w:type="dxa" w:w="0"/>
              <w:left w:type="dxa" w:w="0"/>
              <w:bottom w:type="dxa" w:w="0"/>
              <w:right w:type="dxa" w:w="0"/>
            </w:tcMar>
          </w:tcPr>
          <w:p>
            <w:r>
              <w:rPr>
                <w:sz w:val="18"/>
                <w:szCs w:val="18"/>
              </w:rPr>
              <w:t xml:space="preserve"/>
            </w:r>
          </w:p>
        </w:tc>
      </w:tr>
      <w:tr>
        <w:trPr>
          <w:trHeight w:val="420" w:hRule="atLeast"/>
        </w:trPr>
        <w:tc>
          <w:tcPr>
            <w:tcW w:type="dxa" w:w="10080"/>
            <w:tcMar>
              <w:top w:type="dxa" w:w="0"/>
              <w:left w:type="dxa" w:w="0"/>
              <w:bottom w:type="dxa" w:w="0"/>
              <w:right w:type="dxa" w:w="0"/>
            </w:tcMar>
          </w:tcPr>
          <w:p>
            <w:r>
              <w:rPr>
                <w:sz w:val="18"/>
                <w:szCs w:val="18"/>
              </w:rPr>
              <w:t xml:space="preserve"/>
            </w:r>
          </w:p>
        </w:tc>
      </w:tr>
    </w:tbl>
    <w:p>
      <w:pPr>
        <w:spacing w:after="60"/>
      </w:pPr>
      <w:r>
        <w:t xml:space="preserve"/>
      </w:r>
    </w:p>
    <w:p>
      <w:pPr>
        <w:pStyle w:val="Heading3"/>
      </w:pPr>
      <w:r>
        <w:t xml:space="preserve">One thing I will change at my site</w:t>
      </w:r>
    </w:p>
    <w:tbl>
      <w:tblPr>
        <w:tblW w:type="dxa" w:w="10080"/>
        <w:tblBorders>
          <w:top w:val="none" w:color="FFFFFF" w:sz="0"/>
          <w:left w:val="none" w:color="FFFFFF" w:sz="0"/>
          <w:bottom w:val="single" w:color="CBD2D9" w:sz="4"/>
          <w:right w:val="none" w:color="FFFFFF" w:sz="0"/>
          <w:insideH w:val="single" w:color="CBD2D9" w:sz="4"/>
          <w:insideV w:val="none" w:color="FFFFFF" w:sz="0"/>
        </w:tblBorders>
      </w:tblPr>
      <w:tblGrid>
        <w:gridCol w:w="10080"/>
      </w:tblGrid>
      <w:tr>
        <w:trPr>
          <w:trHeight w:val="420" w:hRule="atLeast"/>
        </w:trPr>
        <w:tc>
          <w:tcPr>
            <w:tcW w:type="dxa" w:w="10080"/>
            <w:tcMar>
              <w:top w:type="dxa" w:w="0"/>
              <w:left w:type="dxa" w:w="0"/>
              <w:bottom w:type="dxa" w:w="0"/>
              <w:right w:type="dxa" w:w="0"/>
            </w:tcMar>
          </w:tcPr>
          <w:p>
            <w:r>
              <w:rPr>
                <w:sz w:val="18"/>
                <w:szCs w:val="18"/>
              </w:rPr>
              <w:t xml:space="preserve"/>
            </w:r>
          </w:p>
        </w:tc>
      </w:tr>
      <w:tr>
        <w:trPr>
          <w:trHeight w:val="420" w:hRule="atLeast"/>
        </w:trPr>
        <w:tc>
          <w:tcPr>
            <w:tcW w:type="dxa" w:w="10080"/>
            <w:tcMar>
              <w:top w:type="dxa" w:w="0"/>
              <w:left w:type="dxa" w:w="0"/>
              <w:bottom w:type="dxa" w:w="0"/>
              <w:right w:type="dxa" w:w="0"/>
            </w:tcMar>
          </w:tcPr>
          <w:p>
            <w:r>
              <w:rPr>
                <w:sz w:val="18"/>
                <w:szCs w:val="18"/>
              </w:rPr>
              <w:t xml:space="preserve"/>
            </w:r>
          </w:p>
        </w:tc>
      </w:tr>
    </w:tbl>
    <w:p>
      <w:pPr>
        <w:spacing w:after="60"/>
      </w:pPr>
      <w:r>
        <w:t xml:space="preserve"/>
      </w:r>
    </w:p>
    <w:p>
      <w:r>
        <w:br w:type="page"/>
      </w:r>
    </w:p>
    <w:p>
      <w:pPr>
        <w:pStyle w:val="Heading1"/>
      </w:pPr>
      <w:r>
        <w:t xml:space="preserve">Case 4: Three sites, three QMSs, one certificate</w:t>
      </w:r>
    </w:p>
    <w:p>
      <w:pPr>
        <w:pStyle w:val="Heading2"/>
      </w:pPr>
      <w:r>
        <w:t xml:space="preserve">Background</w:t>
      </w:r>
    </w:p>
    <w:p>
      <w:pPr>
        <w:pStyle w:val="ListParagraph"/>
        <w:numPr>
          <w:ilvl w:val="0"/>
          <w:numId w:val="2"/>
        </w:numPr>
        <w:spacing w:after="60"/>
      </w:pPr>
      <w:r>
        <w:rPr>
          <w:b w:val="false"/>
          <w:bCs w:val="false"/>
          <w:i w:val="false"/>
          <w:iCs w:val="false"/>
          <w:sz w:val="21"/>
          <w:szCs w:val="21"/>
        </w:rPr>
        <w:t xml:space="preserve">Multinational with US headquarters (design and manufacturing), a German site acquired in 2023 (legacy MDD manufacturer) and a high-volume plant in Costa Rica; about 1,800 staff.</w:t>
      </w:r>
    </w:p>
    <w:p>
      <w:pPr>
        <w:pStyle w:val="ListParagraph"/>
        <w:numPr>
          <w:ilvl w:val="0"/>
          <w:numId w:val="2"/>
        </w:numPr>
        <w:spacing w:after="60"/>
      </w:pPr>
      <w:r>
        <w:rPr>
          <w:b w:val="false"/>
          <w:bCs w:val="false"/>
          <w:i w:val="false"/>
          <w:iCs w:val="false"/>
          <w:sz w:val="21"/>
          <w:szCs w:val="21"/>
        </w:rPr>
        <w:t xml:space="preserve">One MDSAP certificate covers all three sites; MDR certificate; Health Canada licences.</w:t>
      </w:r>
    </w:p>
    <w:p>
      <w:pPr>
        <w:pStyle w:val="ListParagraph"/>
        <w:numPr>
          <w:ilvl w:val="0"/>
          <w:numId w:val="2"/>
        </w:numPr>
        <w:spacing w:after="60"/>
      </w:pPr>
      <w:r>
        <w:rPr>
          <w:b w:val="false"/>
          <w:bCs w:val="false"/>
          <w:i w:val="false"/>
          <w:iCs w:val="false"/>
          <w:sz w:val="21"/>
          <w:szCs w:val="21"/>
        </w:rPr>
        <w:t xml:space="preserve">Integration of the German site's QMS was planned "after the MDR transition".</w:t>
      </w:r>
    </w:p>
    <w:p>
      <w:pPr>
        <w:pStyle w:val="Heading2"/>
      </w:pPr>
      <w:r>
        <w:t xml:space="preserve">The audit</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2300"/>
        <w:gridCol w:w="7780"/>
      </w:tblGrid>
      <w:tr>
        <w:trPr>
          <w:tblHeader/>
        </w:trPr>
        <w:tc>
          <w:tcPr>
            <w:tcW w:type="dxa" w:w="23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When</w:t>
            </w:r>
          </w:p>
        </w:tc>
        <w:tc>
          <w:tcPr>
            <w:tcW w:type="dxa" w:w="778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What happened</w:t>
            </w:r>
          </w:p>
        </w:tc>
      </w:tr>
      <w:tr>
        <w:tc>
          <w:tcPr>
            <w:tcW w:type="dxa" w:w="23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Surveillance audit, German site</w:t>
            </w:r>
          </w:p>
        </w:tc>
        <w:tc>
          <w:tcPr>
            <w:tcW w:type="dxa" w:w="77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The MDSAP auditor samples complaints received in the previous 12 months. One complaint from a Canadian hospital reports a serious deterioration in a patient's health associated with the device. It arrived at the German site via the distributor.</w:t>
            </w:r>
          </w:p>
        </w:tc>
      </w:tr>
      <w:tr>
        <w:tc>
          <w:tcPr>
            <w:tcW w:type="dxa" w:w="23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Same day</w:t>
            </w:r>
          </w:p>
        </w:tc>
        <w:tc>
          <w:tcPr>
            <w:tcW w:type="dxa" w:w="77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The complaint was assessed under the German legacy complaint procedure. The reportability decision took 14 days; the report reached Health Canada on day 22. The Canadian limit is 10 days.</w:t>
            </w:r>
          </w:p>
        </w:tc>
      </w:tr>
      <w:tr>
        <w:tc>
          <w:tcPr>
            <w:tcW w:type="dxa" w:w="23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Same day</w:t>
            </w:r>
          </w:p>
        </w:tc>
        <w:tc>
          <w:tcPr>
            <w:tcW w:type="dxa" w:w="77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The headquarters procedure would have flagged the complaint for a 48-hour reportability triage. Neither site knew the other's process in detail.</w:t>
            </w:r>
          </w:p>
        </w:tc>
      </w:tr>
      <w:tr>
        <w:tc>
          <w:tcPr>
            <w:tcW w:type="dxa" w:w="23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Day 2</w:t>
            </w:r>
          </w:p>
        </w:tc>
        <w:tc>
          <w:tcPr>
            <w:tcW w:type="dxa" w:w="77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Three versions of the complaint form are in use across the company. German trend data has never reached global management review.</w:t>
            </w:r>
          </w:p>
        </w:tc>
      </w:tr>
      <w:tr>
        <w:tc>
          <w:tcPr>
            <w:tcW w:type="dxa" w:w="23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Day 2</w:t>
            </w:r>
          </w:p>
        </w:tc>
        <w:tc>
          <w:tcPr>
            <w:tcW w:type="dxa" w:w="77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The previous audit raised inconsistent complaint intake as a grade 2 nonconformity. The CAPA was closed with "training".</w:t>
            </w:r>
          </w:p>
        </w:tc>
      </w:tr>
    </w:tbl>
    <w:p>
      <w:pPr>
        <w:pStyle w:val="Heading2"/>
      </w:pPr>
      <w:r>
        <w:t xml:space="preserve">Exhibits</w:t>
      </w:r>
    </w:p>
    <w:tbl>
      <w:tblPr>
        <w:tblW w:type="dxa" w:w="10080"/>
        <w:tblBorders>
          <w:top w:val="single" w:color="A8730F" w:sz="6"/>
          <w:left w:val="single" w:color="A8730F" w:sz="6"/>
          <w:bottom w:val="single" w:color="A8730F" w:sz="6"/>
          <w:right w:val="single" w:color="A8730F" w:sz="6"/>
          <w:insideH w:val="single" w:color="A8730F" w:sz="6"/>
          <w:insideV w:val="single" w:color="A8730F" w:sz="6"/>
        </w:tblBorders>
      </w:tblPr>
      <w:tblGrid>
        <w:gridCol w:w="10080"/>
      </w:tblGrid>
      <w:tr>
        <w:trPr>
          <w:cantSplit/>
        </w:trPr>
        <w:tc>
          <w:tcPr>
            <w:tcW w:type="dxa" w:w="10080"/>
            <w:shd w:fill="FFFFFF" w:color="auto" w:val="clear"/>
            <w:tcMar>
              <w:top w:type="dxa" w:w="120"/>
              <w:left w:type="dxa" w:w="200"/>
              <w:bottom w:type="dxa" w:w="120"/>
              <w:right w:type="dxa" w:w="200"/>
            </w:tcMar>
          </w:tcPr>
          <w:p>
            <w:pPr>
              <w:spacing w:after="40"/>
            </w:pPr>
            <w:r>
              <w:rPr>
                <w:b/>
                <w:bCs/>
                <w:color w:val="A8730F"/>
                <w:sz w:val="16"/>
                <w:szCs w:val="16"/>
              </w:rPr>
              <w:t xml:space="preserve">EXHIBIT 4A   </w:t>
            </w:r>
            <w:r>
              <w:rPr>
                <w:b/>
                <w:bCs/>
                <w:color w:val="0F2A4A"/>
                <w:sz w:val="20"/>
                <w:szCs w:val="20"/>
              </w:rPr>
              <w:t xml:space="preserve">German site complaint procedure QM-WA-08 (excerpt, translated)</w:t>
            </w:r>
          </w:p>
          <w:p>
            <w:pPr>
              <w:spacing w:after="40"/>
            </w:pPr>
            <w:r>
              <w:rPr>
                <w:rFonts w:ascii="Courier New" w:cs="Courier New" w:eastAsia="Courier New" w:hAnsi="Courier New"/>
                <w:b w:val="false"/>
                <w:bCs w:val="false"/>
                <w:i w:val="false"/>
                <w:iCs w:val="false"/>
                <w:sz w:val="19"/>
                <w:szCs w:val="19"/>
              </w:rPr>
              <w:t xml:space="preserve">Reportability to authorities is assessed in the monthly complaint review meeting, using the criteria of MEDDEV 2.12/1 and the Medical Devices Act (MPG).</w:t>
            </w:r>
          </w:p>
        </w:tc>
      </w:tr>
    </w:tbl>
    <w:p>
      <w:pPr>
        <w:spacing w:after="100"/>
      </w:pPr>
      <w:r>
        <w:t xml:space="preserve"/>
      </w:r>
    </w:p>
    <w:tbl>
      <w:tblPr>
        <w:tblW w:type="dxa" w:w="10080"/>
        <w:tblBorders>
          <w:top w:val="single" w:color="A8730F" w:sz="6"/>
          <w:left w:val="single" w:color="A8730F" w:sz="6"/>
          <w:bottom w:val="single" w:color="A8730F" w:sz="6"/>
          <w:right w:val="single" w:color="A8730F" w:sz="6"/>
          <w:insideH w:val="single" w:color="A8730F" w:sz="6"/>
          <w:insideV w:val="single" w:color="A8730F" w:sz="6"/>
        </w:tblBorders>
      </w:tblPr>
      <w:tblGrid>
        <w:gridCol w:w="10080"/>
      </w:tblGrid>
      <w:tr>
        <w:trPr>
          <w:cantSplit/>
        </w:trPr>
        <w:tc>
          <w:tcPr>
            <w:tcW w:type="dxa" w:w="10080"/>
            <w:shd w:fill="FFFFFF" w:color="auto" w:val="clear"/>
            <w:tcMar>
              <w:top w:type="dxa" w:w="120"/>
              <w:left w:type="dxa" w:w="200"/>
              <w:bottom w:type="dxa" w:w="120"/>
              <w:right w:type="dxa" w:w="200"/>
            </w:tcMar>
          </w:tcPr>
          <w:p>
            <w:pPr>
              <w:spacing w:after="40"/>
            </w:pPr>
            <w:r>
              <w:rPr>
                <w:b/>
                <w:bCs/>
                <w:color w:val="A8730F"/>
                <w:sz w:val="16"/>
                <w:szCs w:val="16"/>
              </w:rPr>
              <w:t xml:space="preserve">EXHIBIT 4B   </w:t>
            </w:r>
            <w:r>
              <w:rPr>
                <w:b/>
                <w:bCs/>
                <w:color w:val="0F2A4A"/>
                <w:sz w:val="20"/>
                <w:szCs w:val="20"/>
              </w:rPr>
              <w:t xml:space="preserve">Previous MDSAP audit, nonconformity 3 (grade 2) and CAPA closure</w:t>
            </w:r>
          </w:p>
          <w:p>
            <w:pPr>
              <w:spacing w:after="40"/>
            </w:pPr>
            <w:r>
              <w:rPr>
                <w:rFonts w:ascii="Courier New" w:cs="Courier New" w:eastAsia="Courier New" w:hAnsi="Courier New"/>
                <w:b w:val="false"/>
                <w:bCs w:val="false"/>
                <w:i w:val="false"/>
                <w:iCs w:val="false"/>
                <w:sz w:val="19"/>
                <w:szCs w:val="19"/>
              </w:rPr>
              <w:t xml:space="preserve">Finding: complaint intake forms differ between sites and do not consistently capture the country in which the event occurred.</w:t>
            </w:r>
          </w:p>
          <w:p>
            <w:pPr>
              <w:spacing w:after="40"/>
            </w:pPr>
            <w:r>
              <w:rPr>
                <w:rFonts w:ascii="Courier New" w:cs="Courier New" w:eastAsia="Courier New" w:hAnsi="Courier New"/>
                <w:b w:val="false"/>
                <w:bCs w:val="false"/>
                <w:i w:val="false"/>
                <w:iCs w:val="false"/>
                <w:sz w:val="19"/>
                <w:szCs w:val="19"/>
              </w:rPr>
              <w:t xml:space="preserve">Corrective action: complaint handling training delivered to the German site team (attendance 18/18).</w:t>
            </w:r>
          </w:p>
          <w:p>
            <w:pPr>
              <w:spacing w:after="40"/>
            </w:pPr>
            <w:r>
              <w:rPr>
                <w:rFonts w:ascii="Courier New" w:cs="Courier New" w:eastAsia="Courier New" w:hAnsi="Courier New"/>
                <w:b w:val="false"/>
                <w:bCs w:val="false"/>
                <w:i w:val="false"/>
                <w:iCs w:val="false"/>
                <w:sz w:val="19"/>
                <w:szCs w:val="19"/>
              </w:rPr>
              <w:t xml:space="preserve">Effectiveness: training records verified. Status: CLOSED.</w:t>
            </w:r>
          </w:p>
        </w:tc>
      </w:tr>
    </w:tbl>
    <w:p>
      <w:pPr>
        <w:spacing w:after="100"/>
      </w:pPr>
      <w:r>
        <w:t xml:space="preserve"/>
      </w:r>
    </w:p>
    <w:tbl>
      <w:tblPr>
        <w:tblW w:type="dxa" w:w="10080"/>
        <w:tblBorders>
          <w:top w:val="single" w:color="A8730F" w:sz="6"/>
          <w:left w:val="single" w:color="A8730F" w:sz="6"/>
          <w:bottom w:val="single" w:color="A8730F" w:sz="6"/>
          <w:right w:val="single" w:color="A8730F" w:sz="6"/>
          <w:insideH w:val="single" w:color="A8730F" w:sz="6"/>
          <w:insideV w:val="single" w:color="A8730F" w:sz="6"/>
        </w:tblBorders>
      </w:tblPr>
      <w:tblGrid>
        <w:gridCol w:w="10080"/>
      </w:tblGrid>
      <w:tr>
        <w:trPr>
          <w:cantSplit/>
        </w:trPr>
        <w:tc>
          <w:tcPr>
            <w:tcW w:type="dxa" w:w="10080"/>
            <w:shd w:fill="FFFFFF" w:color="auto" w:val="clear"/>
            <w:tcMar>
              <w:top w:type="dxa" w:w="120"/>
              <w:left w:type="dxa" w:w="200"/>
              <w:bottom w:type="dxa" w:w="120"/>
              <w:right w:type="dxa" w:w="200"/>
            </w:tcMar>
          </w:tcPr>
          <w:p>
            <w:pPr>
              <w:spacing w:after="40"/>
            </w:pPr>
            <w:r>
              <w:rPr>
                <w:b/>
                <w:bCs/>
                <w:color w:val="A8730F"/>
                <w:sz w:val="16"/>
                <w:szCs w:val="16"/>
              </w:rPr>
              <w:t xml:space="preserve">EXHIBIT 4C   </w:t>
            </w:r>
            <w:r>
              <w:rPr>
                <w:b/>
                <w:bCs/>
                <w:color w:val="0F2A4A"/>
                <w:sz w:val="20"/>
                <w:szCs w:val="20"/>
              </w:rPr>
              <w:t xml:space="preserve">Global complaint KPI dashboard (Q2)</w:t>
            </w:r>
          </w:p>
          <w:p>
            <w:pPr>
              <w:spacing w:after="40"/>
            </w:pPr>
            <w:r>
              <w:rPr>
                <w:rFonts w:ascii="Courier New" w:cs="Courier New" w:eastAsia="Courier New" w:hAnsi="Courier New"/>
                <w:b w:val="false"/>
                <w:bCs w:val="false"/>
                <w:i w:val="false"/>
                <w:iCs w:val="false"/>
                <w:sz w:val="19"/>
                <w:szCs w:val="19"/>
              </w:rPr>
              <w:t xml:space="preserve">On-time reportability decisions (within 48 h):</w:t>
            </w:r>
          </w:p>
          <w:p>
            <w:pPr>
              <w:spacing w:after="40"/>
            </w:pPr>
            <w:r>
              <w:rPr>
                <w:rFonts w:ascii="Courier New" w:cs="Courier New" w:eastAsia="Courier New" w:hAnsi="Courier New"/>
                <w:b w:val="false"/>
                <w:bCs w:val="false"/>
                <w:i w:val="false"/>
                <w:iCs w:val="false"/>
                <w:sz w:val="19"/>
                <w:szCs w:val="19"/>
              </w:rPr>
              <w:t xml:space="preserve">  Headquarters (US): 97%</w:t>
            </w:r>
          </w:p>
          <w:p>
            <w:pPr>
              <w:spacing w:after="40"/>
            </w:pPr>
            <w:r>
              <w:rPr>
                <w:rFonts w:ascii="Courier New" w:cs="Courier New" w:eastAsia="Courier New" w:hAnsi="Courier New"/>
                <w:b w:val="false"/>
                <w:bCs w:val="false"/>
                <w:i w:val="false"/>
                <w:iCs w:val="false"/>
                <w:sz w:val="19"/>
                <w:szCs w:val="19"/>
              </w:rPr>
              <w:t xml:space="preserve">  Costa Rica: 95%</w:t>
            </w:r>
          </w:p>
          <w:p>
            <w:pPr>
              <w:spacing w:after="40"/>
            </w:pPr>
            <w:r>
              <w:rPr>
                <w:rFonts w:ascii="Courier New" w:cs="Courier New" w:eastAsia="Courier New" w:hAnsi="Courier New"/>
                <w:b w:val="false"/>
                <w:bCs w:val="false"/>
                <w:i w:val="false"/>
                <w:iCs w:val="false"/>
                <w:sz w:val="19"/>
                <w:szCs w:val="19"/>
              </w:rPr>
              <w:t xml:space="preserve">  Germany: n/a - not tracked</w:t>
            </w:r>
          </w:p>
        </w:tc>
      </w:tr>
    </w:tbl>
    <w:p>
      <w:r>
        <w:br w:type="page"/>
      </w:r>
    </w:p>
    <w:p>
      <w:pPr>
        <w:pStyle w:val="Heading2"/>
      </w:pPr>
      <w:r>
        <w:t xml:space="preserve">Discuss at your table</w:t>
      </w:r>
    </w:p>
    <w:p>
      <w:pPr>
        <w:pStyle w:val="ListParagraph"/>
        <w:numPr>
          <w:ilvl w:val="0"/>
          <w:numId w:val="6"/>
        </w:numPr>
        <w:spacing w:after="80"/>
      </w:pPr>
      <w:r>
        <w:rPr>
          <w:b w:val="false"/>
          <w:bCs w:val="false"/>
          <w:i w:val="false"/>
          <w:iCs w:val="false"/>
          <w:sz w:val="21"/>
          <w:szCs w:val="21"/>
        </w:rPr>
        <w:t xml:space="preserve">Why did "training" fail as a corrective action? What was the actual root cause?</w:t>
      </w:r>
    </w:p>
    <w:p>
      <w:pPr>
        <w:pStyle w:val="ListParagraph"/>
        <w:numPr>
          <w:ilvl w:val="0"/>
          <w:numId w:val="6"/>
        </w:numPr>
        <w:spacing w:after="80"/>
      </w:pPr>
      <w:r>
        <w:rPr>
          <w:b w:val="false"/>
          <w:bCs w:val="false"/>
          <w:i w:val="false"/>
          <w:iCs w:val="false"/>
          <w:sz w:val="21"/>
          <w:szCs w:val="21"/>
        </w:rPr>
        <w:t xml:space="preserve">What must a single global complaint process contain to work in Germany, Costa Rica and the US at the same time?</w:t>
      </w:r>
    </w:p>
    <w:p>
      <w:pPr>
        <w:pStyle w:val="ListParagraph"/>
        <w:numPr>
          <w:ilvl w:val="0"/>
          <w:numId w:val="6"/>
        </w:numPr>
        <w:spacing w:after="80"/>
      </w:pPr>
      <w:r>
        <w:rPr>
          <w:b w:val="false"/>
          <w:bCs w:val="false"/>
          <w:i w:val="false"/>
          <w:iCs w:val="false"/>
          <w:sz w:val="21"/>
          <w:szCs w:val="21"/>
        </w:rPr>
        <w:t xml:space="preserve">Exhibit 4A: identify every element of this clause that is incompatible with a multi-market QMS in 2026.</w:t>
      </w:r>
    </w:p>
    <w:p>
      <w:pPr>
        <w:pStyle w:val="ListParagraph"/>
        <w:numPr>
          <w:ilvl w:val="0"/>
          <w:numId w:val="6"/>
        </w:numPr>
        <w:spacing w:after="80"/>
      </w:pPr>
      <w:r>
        <w:rPr>
          <w:b w:val="false"/>
          <w:bCs w:val="false"/>
          <w:i w:val="false"/>
          <w:iCs w:val="false"/>
          <w:sz w:val="21"/>
          <w:szCs w:val="21"/>
        </w:rPr>
        <w:t xml:space="preserve">Who should own the regulatory requirements matrix, and who should own keeping it current? What is the change-control link?</w:t>
      </w:r>
    </w:p>
    <w:p>
      <w:pPr>
        <w:pStyle w:val="ListParagraph"/>
        <w:numPr>
          <w:ilvl w:val="0"/>
          <w:numId w:val="6"/>
        </w:numPr>
        <w:spacing w:after="80"/>
      </w:pPr>
      <w:r>
        <w:rPr>
          <w:b w:val="false"/>
          <w:bCs w:val="false"/>
          <w:i w:val="false"/>
          <w:iCs w:val="false"/>
          <w:sz w:val="21"/>
          <w:szCs w:val="21"/>
        </w:rPr>
        <w:t xml:space="preserve">Work out the MDSAP grade for the reporting nonconformity using the rules on page 1, and explain who hears about it and when.</w:t>
      </w:r>
    </w:p>
    <w:p>
      <w:pPr>
        <w:pStyle w:val="Heading3"/>
      </w:pPr>
      <w:r>
        <w:t xml:space="preserve">Table notes</w:t>
      </w:r>
    </w:p>
    <w:tbl>
      <w:tblPr>
        <w:tblW w:type="dxa" w:w="10080"/>
        <w:tblBorders>
          <w:top w:val="none" w:color="FFFFFF" w:sz="0"/>
          <w:left w:val="none" w:color="FFFFFF" w:sz="0"/>
          <w:bottom w:val="single" w:color="CBD2D9" w:sz="4"/>
          <w:right w:val="none" w:color="FFFFFF" w:sz="0"/>
          <w:insideH w:val="single" w:color="CBD2D9" w:sz="4"/>
          <w:insideV w:val="none" w:color="FFFFFF" w:sz="0"/>
        </w:tblBorders>
      </w:tblPr>
      <w:tblGrid>
        <w:gridCol w:w="10080"/>
      </w:tblGrid>
      <w:tr>
        <w:trPr>
          <w:trHeight w:val="420" w:hRule="atLeast"/>
        </w:trPr>
        <w:tc>
          <w:tcPr>
            <w:tcW w:type="dxa" w:w="10080"/>
            <w:tcMar>
              <w:top w:type="dxa" w:w="0"/>
              <w:left w:type="dxa" w:w="0"/>
              <w:bottom w:type="dxa" w:w="0"/>
              <w:right w:type="dxa" w:w="0"/>
            </w:tcMar>
          </w:tcPr>
          <w:p>
            <w:r>
              <w:rPr>
                <w:sz w:val="18"/>
                <w:szCs w:val="18"/>
              </w:rPr>
              <w:t xml:space="preserve"/>
            </w:r>
          </w:p>
        </w:tc>
      </w:tr>
      <w:tr>
        <w:trPr>
          <w:trHeight w:val="420" w:hRule="atLeast"/>
        </w:trPr>
        <w:tc>
          <w:tcPr>
            <w:tcW w:type="dxa" w:w="10080"/>
            <w:tcMar>
              <w:top w:type="dxa" w:w="0"/>
              <w:left w:type="dxa" w:w="0"/>
              <w:bottom w:type="dxa" w:w="0"/>
              <w:right w:type="dxa" w:w="0"/>
            </w:tcMar>
          </w:tcPr>
          <w:p>
            <w:r>
              <w:rPr>
                <w:sz w:val="18"/>
                <w:szCs w:val="18"/>
              </w:rPr>
              <w:t xml:space="preserve"/>
            </w:r>
          </w:p>
        </w:tc>
      </w:tr>
      <w:tr>
        <w:trPr>
          <w:trHeight w:val="420" w:hRule="atLeast"/>
        </w:trPr>
        <w:tc>
          <w:tcPr>
            <w:tcW w:type="dxa" w:w="10080"/>
            <w:tcMar>
              <w:top w:type="dxa" w:w="0"/>
              <w:left w:type="dxa" w:w="0"/>
              <w:bottom w:type="dxa" w:w="0"/>
              <w:right w:type="dxa" w:w="0"/>
            </w:tcMar>
          </w:tcPr>
          <w:p>
            <w:r>
              <w:rPr>
                <w:sz w:val="18"/>
                <w:szCs w:val="18"/>
              </w:rPr>
              <w:t xml:space="preserve"/>
            </w:r>
          </w:p>
        </w:tc>
      </w:tr>
      <w:tr>
        <w:trPr>
          <w:trHeight w:val="420" w:hRule="atLeast"/>
        </w:trPr>
        <w:tc>
          <w:tcPr>
            <w:tcW w:type="dxa" w:w="10080"/>
            <w:tcMar>
              <w:top w:type="dxa" w:w="0"/>
              <w:left w:type="dxa" w:w="0"/>
              <w:bottom w:type="dxa" w:w="0"/>
              <w:right w:type="dxa" w:w="0"/>
            </w:tcMar>
          </w:tcPr>
          <w:p>
            <w:r>
              <w:rPr>
                <w:sz w:val="18"/>
                <w:szCs w:val="18"/>
              </w:rPr>
              <w:t xml:space="preserve"/>
            </w:r>
          </w:p>
        </w:tc>
      </w:tr>
      <w:tr>
        <w:trPr>
          <w:trHeight w:val="420" w:hRule="atLeast"/>
        </w:trPr>
        <w:tc>
          <w:tcPr>
            <w:tcW w:type="dxa" w:w="10080"/>
            <w:tcMar>
              <w:top w:type="dxa" w:w="0"/>
              <w:left w:type="dxa" w:w="0"/>
              <w:bottom w:type="dxa" w:w="0"/>
              <w:right w:type="dxa" w:w="0"/>
            </w:tcMar>
          </w:tcPr>
          <w:p>
            <w:r>
              <w:rPr>
                <w:sz w:val="18"/>
                <w:szCs w:val="18"/>
              </w:rPr>
              <w:t xml:space="preserve"/>
            </w:r>
          </w:p>
        </w:tc>
      </w:tr>
    </w:tbl>
    <w:p>
      <w:pPr>
        <w:spacing w:after="60"/>
      </w:pPr>
      <w:r>
        <w:t xml:space="preserve"/>
      </w:r>
    </w:p>
    <w:p>
      <w:pPr>
        <w:pStyle w:val="Heading3"/>
      </w:pPr>
      <w:r>
        <w:t xml:space="preserve">One thing I will change at my site</w:t>
      </w:r>
    </w:p>
    <w:tbl>
      <w:tblPr>
        <w:tblW w:type="dxa" w:w="10080"/>
        <w:tblBorders>
          <w:top w:val="none" w:color="FFFFFF" w:sz="0"/>
          <w:left w:val="none" w:color="FFFFFF" w:sz="0"/>
          <w:bottom w:val="single" w:color="CBD2D9" w:sz="4"/>
          <w:right w:val="none" w:color="FFFFFF" w:sz="0"/>
          <w:insideH w:val="single" w:color="CBD2D9" w:sz="4"/>
          <w:insideV w:val="none" w:color="FFFFFF" w:sz="0"/>
        </w:tblBorders>
      </w:tblPr>
      <w:tblGrid>
        <w:gridCol w:w="10080"/>
      </w:tblGrid>
      <w:tr>
        <w:trPr>
          <w:trHeight w:val="420" w:hRule="atLeast"/>
        </w:trPr>
        <w:tc>
          <w:tcPr>
            <w:tcW w:type="dxa" w:w="10080"/>
            <w:tcMar>
              <w:top w:type="dxa" w:w="0"/>
              <w:left w:type="dxa" w:w="0"/>
              <w:bottom w:type="dxa" w:w="0"/>
              <w:right w:type="dxa" w:w="0"/>
            </w:tcMar>
          </w:tcPr>
          <w:p>
            <w:r>
              <w:rPr>
                <w:sz w:val="18"/>
                <w:szCs w:val="18"/>
              </w:rPr>
              <w:t xml:space="preserve"/>
            </w:r>
          </w:p>
        </w:tc>
      </w:tr>
      <w:tr>
        <w:trPr>
          <w:trHeight w:val="420" w:hRule="atLeast"/>
        </w:trPr>
        <w:tc>
          <w:tcPr>
            <w:tcW w:type="dxa" w:w="10080"/>
            <w:tcMar>
              <w:top w:type="dxa" w:w="0"/>
              <w:left w:type="dxa" w:w="0"/>
              <w:bottom w:type="dxa" w:w="0"/>
              <w:right w:type="dxa" w:w="0"/>
            </w:tcMar>
          </w:tcPr>
          <w:p>
            <w:r>
              <w:rPr>
                <w:sz w:val="18"/>
                <w:szCs w:val="18"/>
              </w:rPr>
              <w:t xml:space="preserve"/>
            </w:r>
          </w:p>
        </w:tc>
      </w:tr>
    </w:tbl>
    <w:p>
      <w:pPr>
        <w:spacing w:after="60"/>
      </w:pPr>
      <w:r>
        <w:t xml:space="preserve"/>
      </w:r>
    </w:p>
    <w:p>
      <w:r>
        <w:br w:type="page"/>
      </w:r>
    </w:p>
    <w:p>
      <w:pPr>
        <w:pStyle w:val="Heading1"/>
      </w:pPr>
      <w:r>
        <w:t xml:space="preserve">Across the four cases</w:t>
      </w:r>
    </w:p>
    <w:p>
      <w:pPr>
        <w:spacing w:after="120" w:before="0"/>
      </w:pPr>
      <w:r>
        <w:rPr>
          <w:b w:val="false"/>
          <w:bCs w:val="false"/>
          <w:i w:val="false"/>
          <w:iCs w:val="false"/>
          <w:sz w:val="21"/>
          <w:szCs w:val="21"/>
        </w:rPr>
        <w:t xml:space="preserve">Look back at all four cases before the closing section of the seminar.</w:t>
      </w:r>
    </w:p>
    <w:p>
      <w:pPr>
        <w:pStyle w:val="ListParagraph"/>
        <w:numPr>
          <w:ilvl w:val="0"/>
          <w:numId w:val="7"/>
        </w:numPr>
        <w:spacing w:after="80"/>
      </w:pPr>
      <w:r>
        <w:rPr>
          <w:b w:val="false"/>
          <w:bCs w:val="false"/>
          <w:i w:val="false"/>
          <w:iCs w:val="false"/>
          <w:sz w:val="21"/>
          <w:szCs w:val="21"/>
        </w:rPr>
        <w:t xml:space="preserve">Which failure appears, in some form, in every case?</w:t>
      </w:r>
    </w:p>
    <w:p>
      <w:pPr>
        <w:pStyle w:val="ListParagraph"/>
        <w:numPr>
          <w:ilvl w:val="0"/>
          <w:numId w:val="7"/>
        </w:numPr>
        <w:spacing w:after="80"/>
      </w:pPr>
      <w:r>
        <w:rPr>
          <w:b w:val="false"/>
          <w:bCs w:val="false"/>
          <w:i w:val="false"/>
          <w:iCs w:val="false"/>
          <w:sz w:val="21"/>
          <w:szCs w:val="21"/>
        </w:rPr>
        <w:t xml:space="preserve">In each case, where was the earliest moment the outcome could have been changed, and who had the authority to change it?</w:t>
      </w:r>
    </w:p>
    <w:p>
      <w:pPr>
        <w:pStyle w:val="ListParagraph"/>
        <w:numPr>
          <w:ilvl w:val="0"/>
          <w:numId w:val="7"/>
        </w:numPr>
        <w:spacing w:after="80"/>
      </w:pPr>
      <w:r>
        <w:rPr>
          <w:b w:val="false"/>
          <w:bCs w:val="false"/>
          <w:i w:val="false"/>
          <w:iCs w:val="false"/>
          <w:sz w:val="21"/>
          <w:szCs w:val="21"/>
        </w:rPr>
        <w:t xml:space="preserve">Which of the four companies would you least like to be, and why?</w:t>
      </w:r>
    </w:p>
    <w:p>
      <w:pPr>
        <w:pStyle w:val="ListParagraph"/>
        <w:numPr>
          <w:ilvl w:val="0"/>
          <w:numId w:val="7"/>
        </w:numPr>
        <w:spacing w:after="80"/>
      </w:pPr>
      <w:r>
        <w:rPr>
          <w:b w:val="false"/>
          <w:bCs w:val="false"/>
          <w:i w:val="false"/>
          <w:iCs w:val="false"/>
          <w:sz w:val="21"/>
          <w:szCs w:val="21"/>
        </w:rPr>
        <w:t xml:space="preserve">Rank your own site's exposure to each of the four scenarios: low, medium, high.</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4200"/>
        <w:gridCol w:w="2600"/>
        <w:gridCol w:w="3280"/>
      </w:tblGrid>
      <w:tr>
        <w:trPr>
          <w:tblHeader/>
        </w:trPr>
        <w:tc>
          <w:tcPr>
            <w:tcW w:type="dxa" w:w="42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Case</w:t>
            </w:r>
          </w:p>
        </w:tc>
        <w:tc>
          <w:tcPr>
            <w:tcW w:type="dxa" w:w="26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Exposure at my site (low / medium / high)</w:t>
            </w:r>
          </w:p>
        </w:tc>
        <w:tc>
          <w:tcPr>
            <w:tcW w:type="dxa" w:w="328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First action</w:t>
            </w:r>
          </w:p>
        </w:tc>
      </w:tr>
      <w:tr>
        <w:tc>
          <w:tcPr>
            <w:tcW w:type="dxa" w:w="42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1. Unannounced notified body audit at the main site</w:t>
            </w:r>
          </w:p>
        </w:tc>
        <w:tc>
          <w:tcPr>
            <w:tcW w:type="dxa" w:w="26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3280"/>
            <w:shd w:fill="F5F8FB" w:color="auto" w:val="clear"/>
            <w:tcMar>
              <w:top w:type="dxa" w:w="70"/>
              <w:left w:type="dxa" w:w="100"/>
              <w:bottom w:type="dxa" w:w="70"/>
              <w:right w:type="dxa" w:w="100"/>
            </w:tcMar>
            <w:vAlign w:val="top"/>
          </w:tcPr>
          <w:p>
            <w:pPr>
              <w:spacing w:after="40"/>
            </w:pPr>
            <w:r>
              <w:rPr>
                <w:sz w:val="19"/>
                <w:szCs w:val="19"/>
              </w:rPr>
              <w:t xml:space="preserve"/>
            </w:r>
          </w:p>
        </w:tc>
      </w:tr>
      <w:tr>
        <w:tc>
          <w:tcPr>
            <w:tcW w:type="dxa" w:w="42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2. Unannounced audit at a critical supplier or subcontractor</w:t>
            </w:r>
          </w:p>
        </w:tc>
        <w:tc>
          <w:tcPr>
            <w:tcW w:type="dxa" w:w="26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3280"/>
            <w:shd w:fill="FFFFFF" w:color="auto" w:val="clear"/>
            <w:tcMar>
              <w:top w:type="dxa" w:w="70"/>
              <w:left w:type="dxa" w:w="100"/>
              <w:bottom w:type="dxa" w:w="70"/>
              <w:right w:type="dxa" w:w="100"/>
            </w:tcMar>
            <w:vAlign w:val="top"/>
          </w:tcPr>
          <w:p>
            <w:pPr>
              <w:spacing w:after="40"/>
            </w:pPr>
            <w:r>
              <w:rPr>
                <w:sz w:val="19"/>
                <w:szCs w:val="19"/>
              </w:rPr>
              <w:t xml:space="preserve"/>
            </w:r>
          </w:p>
        </w:tc>
      </w:tr>
      <w:tr>
        <w:tc>
          <w:tcPr>
            <w:tcW w:type="dxa" w:w="42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3. First FDA inspection under the QMSR</w:t>
            </w:r>
          </w:p>
        </w:tc>
        <w:tc>
          <w:tcPr>
            <w:tcW w:type="dxa" w:w="26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3280"/>
            <w:shd w:fill="F5F8FB" w:color="auto" w:val="clear"/>
            <w:tcMar>
              <w:top w:type="dxa" w:w="70"/>
              <w:left w:type="dxa" w:w="100"/>
              <w:bottom w:type="dxa" w:w="70"/>
              <w:right w:type="dxa" w:w="100"/>
            </w:tcMar>
            <w:vAlign w:val="top"/>
          </w:tcPr>
          <w:p>
            <w:pPr>
              <w:spacing w:after="40"/>
            </w:pPr>
            <w:r>
              <w:rPr>
                <w:sz w:val="19"/>
                <w:szCs w:val="19"/>
              </w:rPr>
              <w:t xml:space="preserve"/>
            </w:r>
          </w:p>
        </w:tc>
      </w:tr>
      <w:tr>
        <w:tc>
          <w:tcPr>
            <w:tcW w:type="dxa" w:w="42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4. Multi-site complaint handling and reporting</w:t>
            </w:r>
          </w:p>
        </w:tc>
        <w:tc>
          <w:tcPr>
            <w:tcW w:type="dxa" w:w="26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3280"/>
            <w:shd w:fill="FFFFFF" w:color="auto" w:val="clear"/>
            <w:tcMar>
              <w:top w:type="dxa" w:w="70"/>
              <w:left w:type="dxa" w:w="100"/>
              <w:bottom w:type="dxa" w:w="70"/>
              <w:right w:type="dxa" w:w="100"/>
            </w:tcMar>
            <w:vAlign w:val="top"/>
          </w:tcPr>
          <w:p>
            <w:pPr>
              <w:spacing w:after="40"/>
            </w:pPr>
            <w:r>
              <w:rPr>
                <w:sz w:val="19"/>
                <w:szCs w:val="19"/>
              </w:rPr>
              <w:t xml:space="preserve"/>
            </w:r>
          </w:p>
        </w:tc>
      </w:tr>
    </w:tbl>
    <w:p>
      <w:pPr>
        <w:pStyle w:val="Heading3"/>
      </w:pPr>
      <w:r>
        <w:t xml:space="preserve">My list of things to change</w:t>
      </w:r>
    </w:p>
    <w:tbl>
      <w:tblPr>
        <w:tblW w:type="dxa" w:w="10080"/>
        <w:tblBorders>
          <w:top w:val="none" w:color="FFFFFF" w:sz="0"/>
          <w:left w:val="none" w:color="FFFFFF" w:sz="0"/>
          <w:bottom w:val="single" w:color="CBD2D9" w:sz="4"/>
          <w:right w:val="none" w:color="FFFFFF" w:sz="0"/>
          <w:insideH w:val="single" w:color="CBD2D9" w:sz="4"/>
          <w:insideV w:val="none" w:color="FFFFFF" w:sz="0"/>
        </w:tblBorders>
      </w:tblPr>
      <w:tblGrid>
        <w:gridCol w:w="10080"/>
      </w:tblGrid>
      <w:tr>
        <w:trPr>
          <w:trHeight w:val="420" w:hRule="atLeast"/>
        </w:trPr>
        <w:tc>
          <w:tcPr>
            <w:tcW w:type="dxa" w:w="10080"/>
            <w:tcMar>
              <w:top w:type="dxa" w:w="0"/>
              <w:left w:type="dxa" w:w="0"/>
              <w:bottom w:type="dxa" w:w="0"/>
              <w:right w:type="dxa" w:w="0"/>
            </w:tcMar>
          </w:tcPr>
          <w:p>
            <w:r>
              <w:rPr>
                <w:sz w:val="18"/>
                <w:szCs w:val="18"/>
              </w:rPr>
              <w:t xml:space="preserve"/>
            </w:r>
          </w:p>
        </w:tc>
      </w:tr>
      <w:tr>
        <w:trPr>
          <w:trHeight w:val="420" w:hRule="atLeast"/>
        </w:trPr>
        <w:tc>
          <w:tcPr>
            <w:tcW w:type="dxa" w:w="10080"/>
            <w:tcMar>
              <w:top w:type="dxa" w:w="0"/>
              <w:left w:type="dxa" w:w="0"/>
              <w:bottom w:type="dxa" w:w="0"/>
              <w:right w:type="dxa" w:w="0"/>
            </w:tcMar>
          </w:tcPr>
          <w:p>
            <w:r>
              <w:rPr>
                <w:sz w:val="18"/>
                <w:szCs w:val="18"/>
              </w:rPr>
              <w:t xml:space="preserve"/>
            </w:r>
          </w:p>
        </w:tc>
      </w:tr>
      <w:tr>
        <w:trPr>
          <w:trHeight w:val="420" w:hRule="atLeast"/>
        </w:trPr>
        <w:tc>
          <w:tcPr>
            <w:tcW w:type="dxa" w:w="10080"/>
            <w:tcMar>
              <w:top w:type="dxa" w:w="0"/>
              <w:left w:type="dxa" w:w="0"/>
              <w:bottom w:type="dxa" w:w="0"/>
              <w:right w:type="dxa" w:w="0"/>
            </w:tcMar>
          </w:tcPr>
          <w:p>
            <w:r>
              <w:rPr>
                <w:sz w:val="18"/>
                <w:szCs w:val="18"/>
              </w:rPr>
              <w:t xml:space="preserve"/>
            </w:r>
          </w:p>
        </w:tc>
      </w:tr>
      <w:tr>
        <w:trPr>
          <w:trHeight w:val="420" w:hRule="atLeast"/>
        </w:trPr>
        <w:tc>
          <w:tcPr>
            <w:tcW w:type="dxa" w:w="10080"/>
            <w:tcMar>
              <w:top w:type="dxa" w:w="0"/>
              <w:left w:type="dxa" w:w="0"/>
              <w:bottom w:type="dxa" w:w="0"/>
              <w:right w:type="dxa" w:w="0"/>
            </w:tcMar>
          </w:tcPr>
          <w:p>
            <w:r>
              <w:rPr>
                <w:sz w:val="18"/>
                <w:szCs w:val="18"/>
              </w:rPr>
              <w:t xml:space="preserve"/>
            </w:r>
          </w:p>
        </w:tc>
      </w:tr>
      <w:tr>
        <w:trPr>
          <w:trHeight w:val="420" w:hRule="atLeast"/>
        </w:trPr>
        <w:tc>
          <w:tcPr>
            <w:tcW w:type="dxa" w:w="10080"/>
            <w:tcMar>
              <w:top w:type="dxa" w:w="0"/>
              <w:left w:type="dxa" w:w="0"/>
              <w:bottom w:type="dxa" w:w="0"/>
              <w:right w:type="dxa" w:w="0"/>
            </w:tcMar>
          </w:tcPr>
          <w:p>
            <w:r>
              <w:rPr>
                <w:sz w:val="18"/>
                <w:szCs w:val="18"/>
              </w:rPr>
              <w:t xml:space="preserve"/>
            </w:r>
          </w:p>
        </w:tc>
      </w:tr>
      <w:tr>
        <w:trPr>
          <w:trHeight w:val="420" w:hRule="atLeast"/>
        </w:trPr>
        <w:tc>
          <w:tcPr>
            <w:tcW w:type="dxa" w:w="10080"/>
            <w:tcMar>
              <w:top w:type="dxa" w:w="0"/>
              <w:left w:type="dxa" w:w="0"/>
              <w:bottom w:type="dxa" w:w="0"/>
              <w:right w:type="dxa" w:w="0"/>
            </w:tcMar>
          </w:tcPr>
          <w:p>
            <w:r>
              <w:rPr>
                <w:sz w:val="18"/>
                <w:szCs w:val="18"/>
              </w:rPr>
              <w:t xml:space="preserve"/>
            </w:r>
          </w:p>
        </w:tc>
      </w:tr>
      <w:tr>
        <w:trPr>
          <w:trHeight w:val="420" w:hRule="atLeast"/>
        </w:trPr>
        <w:tc>
          <w:tcPr>
            <w:tcW w:type="dxa" w:w="10080"/>
            <w:tcMar>
              <w:top w:type="dxa" w:w="0"/>
              <w:left w:type="dxa" w:w="0"/>
              <w:bottom w:type="dxa" w:w="0"/>
              <w:right w:type="dxa" w:w="0"/>
            </w:tcMar>
          </w:tcPr>
          <w:p>
            <w:r>
              <w:rPr>
                <w:sz w:val="18"/>
                <w:szCs w:val="18"/>
              </w:rPr>
              <w:t xml:space="preserve"/>
            </w:r>
          </w:p>
        </w:tc>
      </w:tr>
      <w:tr>
        <w:trPr>
          <w:trHeight w:val="420" w:hRule="atLeast"/>
        </w:trPr>
        <w:tc>
          <w:tcPr>
            <w:tcW w:type="dxa" w:w="10080"/>
            <w:tcMar>
              <w:top w:type="dxa" w:w="0"/>
              <w:left w:type="dxa" w:w="0"/>
              <w:bottom w:type="dxa" w:w="0"/>
              <w:right w:type="dxa" w:w="0"/>
            </w:tcMar>
          </w:tcPr>
          <w:p>
            <w:r>
              <w:rPr>
                <w:sz w:val="18"/>
                <w:szCs w:val="18"/>
              </w:rPr>
              <w:t xml:space="preserve"/>
            </w:r>
          </w:p>
        </w:tc>
      </w:tr>
    </w:tbl>
    <w:p>
      <w:pPr>
        <w:spacing w:after="60"/>
      </w:pPr>
      <w:r>
        <w:t xml:space="preserve"/>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7B"/>
        <w:sz w:val="16"/>
        <w:szCs w:val="16"/>
      </w:rPr>
      <w:t xml:space="preserve">ISO 13485 &amp; Audit Readiness  ·  Case Study Workshop Pack  ·  Elder Consulting, LLC   |   Page </w:t>
    </w:r>
    <w:r>
      <w:rPr>
        <w:color w:val="5A6B7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bullet"/>
      <w:lvlText w:val="☐"/>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abstractNum w:abstractNumId="19" w15:restartNumberingAfterBreak="0">
    <w:multiLevelType w:val="hybridMultilevel"/>
    <w:lvl w:ilvl="0" w15:tentative="1">
      <w:start w:val="1"/>
      <w:numFmt w:val="decimal"/>
      <w:lvlText w:val="%1."/>
      <w:lvlJc w:val="left"/>
      <w:pPr>
        <w:ind w:left="540" w:hanging="360"/>
      </w:pPr>
    </w:lvl>
  </w:abstractNum>
  <w:abstractNum w:abstractNumId="20" w15:restartNumberingAfterBreak="0">
    <w:multiLevelType w:val="hybridMultilevel"/>
    <w:lvl w:ilvl="0" w15:tentative="1">
      <w:start w:val="1"/>
      <w:numFmt w:val="decimal"/>
      <w:lvlText w:val="%1."/>
      <w:lvlJc w:val="left"/>
      <w:pPr>
        <w:ind w:left="540" w:hanging="360"/>
      </w:pPr>
    </w:lvl>
  </w:abstractNum>
  <w:abstractNum w:abstractNumId="21" w15:restartNumberingAfterBreak="0">
    <w:multiLevelType w:val="hybridMultilevel"/>
    <w:lvl w:ilvl="0" w15:tentative="1">
      <w:start w:val="1"/>
      <w:numFmt w:val="decimal"/>
      <w:lvlText w:val="%1."/>
      <w:lvlJc w:val="left"/>
      <w:pPr>
        <w:ind w:left="540" w:hanging="360"/>
      </w:pPr>
    </w:lvl>
  </w:abstractNum>
  <w:abstractNum w:abstractNumId="22" w15:restartNumberingAfterBreak="0">
    <w:multiLevelType w:val="hybridMultilevel"/>
    <w:lvl w:ilvl="0" w15:tentative="1">
      <w:start w:val="1"/>
      <w:numFmt w:val="decimal"/>
      <w:lvlText w:val="%1."/>
      <w:lvlJc w:val="left"/>
      <w:pPr>
        <w:ind w:left="540" w:hanging="360"/>
      </w:pPr>
    </w:lvl>
  </w:abstractNum>
  <w:abstractNum w:abstractNumId="23" w15:restartNumberingAfterBreak="0">
    <w:multiLevelType w:val="hybridMultilevel"/>
    <w:lvl w:ilvl="0" w15:tentative="1">
      <w:start w:val="1"/>
      <w:numFmt w:val="decimal"/>
      <w:lvlText w:val="%1."/>
      <w:lvlJc w:val="left"/>
      <w:pPr>
        <w:ind w:left="540" w:hanging="360"/>
      </w:pPr>
    </w:lvl>
  </w:abstractNum>
  <w:abstractNum w:abstractNumId="24" w15:restartNumberingAfterBreak="0">
    <w:multiLevelType w:val="hybridMultilevel"/>
    <w:lvl w:ilvl="0" w15:tentative="1">
      <w:start w:val="1"/>
      <w:numFmt w:val="decimal"/>
      <w:lvlText w:val="%1."/>
      <w:lvlJc w:val="left"/>
      <w:pPr>
        <w:ind w:left="540" w:hanging="360"/>
      </w:pPr>
    </w:lvl>
  </w:abstractNum>
  <w:abstractNum w:abstractNumId="25" w15:restartNumberingAfterBreak="0">
    <w:multiLevelType w:val="hybridMultilevel"/>
    <w:lvl w:ilvl="0" w15:tentative="1">
      <w:start w:val="1"/>
      <w:numFmt w:val="decimal"/>
      <w:lvlText w:val="%1."/>
      <w:lvlJc w:val="left"/>
      <w:pPr>
        <w:ind w:left="540" w:hanging="360"/>
      </w:pPr>
    </w:lvl>
  </w:abstractNum>
  <w:abstractNum w:abstractNumId="26" w15:restartNumberingAfterBreak="0">
    <w:multiLevelType w:val="hybridMultilevel"/>
    <w:lvl w:ilvl="0" w15:tentative="1">
      <w:start w:val="1"/>
      <w:numFmt w:val="decimal"/>
      <w:lvlText w:val="%1."/>
      <w:lvlJc w:val="left"/>
      <w:pPr>
        <w:ind w:left="540" w:hanging="360"/>
      </w:pPr>
    </w:lvl>
  </w:abstractNum>
  <w:abstractNum w:abstractNumId="27" w15:restartNumberingAfterBreak="0">
    <w:multiLevelType w:val="hybridMultilevel"/>
    <w:lvl w:ilvl="0" w15:tentative="1">
      <w:start w:val="1"/>
      <w:numFmt w:val="decimal"/>
      <w:lvlText w:val="%1."/>
      <w:lvlJc w:val="left"/>
      <w:pPr>
        <w:ind w:left="540" w:hanging="360"/>
      </w:pPr>
    </w:lvl>
  </w:abstractNum>
  <w:abstractNum w:abstractNumId="28" w15:restartNumberingAfterBreak="0">
    <w:multiLevelType w:val="hybridMultilevel"/>
    <w:lvl w:ilvl="0" w15:tentative="1">
      <w:start w:val="1"/>
      <w:numFmt w:val="decimal"/>
      <w:lvlText w:val="%1."/>
      <w:lvlJc w:val="left"/>
      <w:pPr>
        <w:ind w:left="540" w:hanging="360"/>
      </w:pPr>
    </w:lvl>
  </w:abstractNum>
  <w:abstractNum w:abstractNumId="29" w15:restartNumberingAfterBreak="0">
    <w:multiLevelType w:val="hybridMultilevel"/>
    <w:lvl w:ilvl="0" w15:tentative="1">
      <w:start w:val="1"/>
      <w:numFmt w:val="decimal"/>
      <w:lvlText w:val="%1."/>
      <w:lvlJc w:val="left"/>
      <w:pPr>
        <w:ind w:left="540" w:hanging="360"/>
      </w:pPr>
    </w:lvl>
  </w:abstractNum>
  <w:abstractNum w:abstractNumId="30" w15:restartNumberingAfterBreak="0">
    <w:multiLevelType w:val="hybridMultilevel"/>
    <w:lvl w:ilvl="0" w15:tentative="1">
      <w:start w:val="1"/>
      <w:numFmt w:val="decimal"/>
      <w:lvlText w:val="%1."/>
      <w:lvlJc w:val="left"/>
      <w:pPr>
        <w:ind w:left="540" w:hanging="360"/>
      </w:pPr>
    </w:lvl>
  </w:abstractNum>
  <w:abstractNum w:abstractNumId="31" w15:restartNumberingAfterBreak="0">
    <w:multiLevelType w:val="hybridMultilevel"/>
    <w:lvl w:ilvl="0" w15:tentative="1">
      <w:start w:val="1"/>
      <w:numFmt w:val="decimal"/>
      <w:lvlText w:val="%1."/>
      <w:lvlJc w:val="left"/>
      <w:pPr>
        <w:ind w:left="540" w:hanging="360"/>
      </w:pPr>
    </w:lvl>
  </w:abstractNum>
  <w:abstractNum w:abstractNumId="32" w15:restartNumberingAfterBreak="0">
    <w:multiLevelType w:val="hybridMultilevel"/>
    <w:lvl w:ilvl="0" w15:tentative="1">
      <w:start w:val="1"/>
      <w:numFmt w:val="decimal"/>
      <w:lvlText w:val="%1."/>
      <w:lvlJc w:val="left"/>
      <w:pPr>
        <w:ind w:left="540" w:hanging="360"/>
      </w:pPr>
    </w:lvl>
  </w:abstractNum>
  <w:abstractNum w:abstractNumId="33" w15:restartNumberingAfterBreak="0">
    <w:multiLevelType w:val="hybridMultilevel"/>
    <w:lvl w:ilvl="0" w15:tentative="1">
      <w:start w:val="1"/>
      <w:numFmt w:val="decimal"/>
      <w:lvlText w:val="%1."/>
      <w:lvlJc w:val="left"/>
      <w:pPr>
        <w:ind w:left="540" w:hanging="360"/>
      </w:pPr>
    </w:lvl>
  </w:abstractNum>
  <w:abstractNum w:abstractNumId="34" w15:restartNumberingAfterBreak="0">
    <w:multiLevelType w:val="hybridMultilevel"/>
    <w:lvl w:ilvl="0" w15:tentative="1">
      <w:start w:val="1"/>
      <w:numFmt w:val="decimal"/>
      <w:lvlText w:val="%1."/>
      <w:lvlJc w:val="left"/>
      <w:pPr>
        <w:ind w:left="540" w:hanging="360"/>
      </w:pPr>
    </w:lvl>
  </w:abstractNum>
  <w:abstractNum w:abstractNumId="35" w15:restartNumberingAfterBreak="0">
    <w:multiLevelType w:val="hybridMultilevel"/>
    <w:lvl w:ilvl="0" w15:tentative="1">
      <w:start w:val="1"/>
      <w:numFmt w:val="decimal"/>
      <w:lvlText w:val="%1."/>
      <w:lvlJc w:val="left"/>
      <w:pPr>
        <w:ind w:left="540" w:hanging="360"/>
      </w:pPr>
    </w:lvl>
  </w:abstractNum>
  <w:abstractNum w:abstractNumId="36" w15:restartNumberingAfterBreak="0">
    <w:multiLevelType w:val="hybridMultilevel"/>
    <w:lvl w:ilvl="0" w15:tentative="1">
      <w:start w:val="1"/>
      <w:numFmt w:val="decimal"/>
      <w:lvlText w:val="%1."/>
      <w:lvlJc w:val="left"/>
      <w:pPr>
        <w:ind w:left="540" w:hanging="360"/>
      </w:pPr>
    </w:lvl>
  </w:abstractNum>
  <w:abstractNum w:abstractNumId="37" w15:restartNumberingAfterBreak="0">
    <w:multiLevelType w:val="hybridMultilevel"/>
    <w:lvl w:ilvl="0" w15:tentative="1">
      <w:start w:val="1"/>
      <w:numFmt w:val="decimal"/>
      <w:lvlText w:val="%1."/>
      <w:lvlJc w:val="left"/>
      <w:pPr>
        <w:ind w:left="540" w:hanging="360"/>
      </w:pPr>
    </w:lvl>
  </w:abstractNum>
  <w:abstractNum w:abstractNumId="38" w15:restartNumberingAfterBreak="0">
    <w:multiLevelType w:val="hybridMultilevel"/>
    <w:lvl w:ilvl="0" w15:tentative="1">
      <w:start w:val="1"/>
      <w:numFmt w:val="decimal"/>
      <w:lvlText w:val="%1."/>
      <w:lvlJc w:val="left"/>
      <w:pPr>
        <w:ind w:left="540" w:hanging="360"/>
      </w:pPr>
    </w:lvl>
  </w:abstractNum>
  <w:abstractNum w:abstractNumId="39" w15:restartNumberingAfterBreak="0">
    <w:multiLevelType w:val="hybridMultilevel"/>
    <w:lvl w:ilvl="0" w15:tentative="1">
      <w:start w:val="1"/>
      <w:numFmt w:val="decimal"/>
      <w:lvlText w:val="%1."/>
      <w:lvlJc w:val="left"/>
      <w:pPr>
        <w:ind w:left="540" w:hanging="360"/>
      </w:pPr>
    </w:lvl>
  </w:abstractNum>
  <w:abstractNum w:abstractNumId="40" w15:restartNumberingAfterBreak="0">
    <w:multiLevelType w:val="hybridMultilevel"/>
    <w:lvl w:ilvl="0" w15:tentative="1">
      <w:start w:val="1"/>
      <w:numFmt w:val="decimal"/>
      <w:lvlText w:val="%1."/>
      <w:lvlJc w:val="left"/>
      <w:pPr>
        <w:ind w:left="540" w:hanging="360"/>
      </w:pPr>
    </w:lvl>
  </w:abstractNum>
  <w:abstractNum w:abstractNumId="41" w15:restartNumberingAfterBreak="0">
    <w:multiLevelType w:val="hybridMultilevel"/>
    <w:lvl w:ilvl="0" w15:tentative="1">
      <w:start w:val="1"/>
      <w:numFmt w:val="decimal"/>
      <w:lvlText w:val="%1."/>
      <w:lvlJc w:val="left"/>
      <w:pPr>
        <w:ind w:left="540" w:hanging="360"/>
      </w:pPr>
    </w:lvl>
  </w:abstractNum>
  <w:abstractNum w:abstractNumId="42" w15:restartNumberingAfterBreak="0">
    <w:multiLevelType w:val="hybridMultilevel"/>
    <w:lvl w:ilvl="0" w15:tentative="1">
      <w:start w:val="1"/>
      <w:numFmt w:val="decimal"/>
      <w:lvlText w:val="%1."/>
      <w:lvlJc w:val="left"/>
      <w:pPr>
        <w:ind w:left="540" w:hanging="360"/>
      </w:pPr>
    </w:lvl>
  </w:abstractNum>
  <w:abstractNum w:abstractNumId="43" w15:restartNumberingAfterBreak="0">
    <w:multiLevelType w:val="hybridMultilevel"/>
    <w:lvl w:ilvl="0" w15:tentative="1">
      <w:start w:val="1"/>
      <w:numFmt w:val="decimal"/>
      <w:lvlText w:val="%1."/>
      <w:lvlJc w:val="left"/>
      <w:pPr>
        <w:ind w:left="540" w:hanging="360"/>
      </w:pPr>
    </w:lvl>
  </w:abstractNum>
  <w:abstractNum w:abstractNumId="44" w15:restartNumberingAfterBreak="0">
    <w:multiLevelType w:val="hybridMultilevel"/>
    <w:lvl w:ilvl="0" w15:tentative="1">
      <w:start w:val="1"/>
      <w:numFmt w:val="decimal"/>
      <w:lvlText w:val="%1."/>
      <w:lvlJc w:val="left"/>
      <w:pPr>
        <w:ind w:left="540" w:hanging="360"/>
      </w:pPr>
    </w:lvl>
  </w:abstractNum>
  <w:abstractNum w:abstractNumId="45" w15:restartNumberingAfterBreak="0">
    <w:multiLevelType w:val="hybridMultilevel"/>
    <w:lvl w:ilvl="0" w15:tentative="1">
      <w:start w:val="1"/>
      <w:numFmt w:val="decimal"/>
      <w:lvlText w:val="%1."/>
      <w:lvlJc w:val="left"/>
      <w:pPr>
        <w:ind w:left="540" w:hanging="360"/>
      </w:pPr>
    </w:lvl>
  </w:abstractNum>
  <w:abstractNum w:abstractNumId="46" w15:restartNumberingAfterBreak="0">
    <w:multiLevelType w:val="hybridMultilevel"/>
    <w:lvl w:ilvl="0" w15:tentative="1">
      <w:start w:val="1"/>
      <w:numFmt w:val="decimal"/>
      <w:lvlText w:val="%1."/>
      <w:lvlJc w:val="left"/>
      <w:pPr>
        <w:ind w:left="540" w:hanging="360"/>
      </w:pPr>
    </w:lvl>
  </w:abstractNum>
  <w:abstractNum w:abstractNumId="47" w15:restartNumberingAfterBreak="0">
    <w:multiLevelType w:val="hybridMultilevel"/>
    <w:lvl w:ilvl="0" w15:tentative="1">
      <w:start w:val="1"/>
      <w:numFmt w:val="decimal"/>
      <w:lvlText w:val="%1."/>
      <w:lvlJc w:val="left"/>
      <w:pPr>
        <w:ind w:left="540" w:hanging="360"/>
      </w:pPr>
    </w:lvl>
  </w:abstractNum>
  <w:abstractNum w:abstractNumId="48" w15:restartNumberingAfterBreak="0">
    <w:multiLevelType w:val="hybridMultilevel"/>
    <w:lvl w:ilvl="0" w15:tentative="1">
      <w:start w:val="1"/>
      <w:numFmt w:val="decimal"/>
      <w:lvlText w:val="%1."/>
      <w:lvlJc w:val="left"/>
      <w:pPr>
        <w:ind w:left="540" w:hanging="360"/>
      </w:pPr>
    </w:lvl>
  </w:abstractNum>
  <w:abstractNum w:abstractNumId="49" w15:restartNumberingAfterBreak="0">
    <w:multiLevelType w:val="hybridMultilevel"/>
    <w:lvl w:ilvl="0" w15:tentative="1">
      <w:start w:val="1"/>
      <w:numFmt w:val="decimal"/>
      <w:lvlText w:val="%1."/>
      <w:lvlJc w:val="left"/>
      <w:pPr>
        <w:ind w:left="540" w:hanging="360"/>
      </w:pPr>
    </w:lvl>
  </w:abstractNum>
  <w:abstractNum w:abstractNumId="50" w15:restartNumberingAfterBreak="0">
    <w:multiLevelType w:val="hybridMultilevel"/>
    <w:lvl w:ilvl="0" w15:tentative="1">
      <w:start w:val="1"/>
      <w:numFmt w:val="decimal"/>
      <w:lvlText w:val="%1."/>
      <w:lvlJc w:val="left"/>
      <w:pPr>
        <w:ind w:left="540" w:hanging="360"/>
      </w:pPr>
    </w:lvl>
  </w:abstractNum>
  <w:abstractNum w:abstractNumId="51" w15:restartNumberingAfterBreak="0">
    <w:multiLevelType w:val="hybridMultilevel"/>
    <w:lvl w:ilvl="0" w15:tentative="1">
      <w:start w:val="1"/>
      <w:numFmt w:val="decimal"/>
      <w:lvlText w:val="%1."/>
      <w:lvlJc w:val="left"/>
      <w:pPr>
        <w:ind w:left="540" w:hanging="360"/>
      </w:pPr>
    </w:lvl>
  </w:abstractNum>
  <w:abstractNum w:abstractNumId="52" w15:restartNumberingAfterBreak="0">
    <w:multiLevelType w:val="hybridMultilevel"/>
    <w:lvl w:ilvl="0" w15:tentative="1">
      <w:start w:val="1"/>
      <w:numFmt w:val="decimal"/>
      <w:lvlText w:val="%1."/>
      <w:lvlJc w:val="left"/>
      <w:pPr>
        <w:ind w:left="540" w:hanging="360"/>
      </w:pPr>
    </w:lvl>
  </w:abstractNum>
  <w:abstractNum w:abstractNumId="53" w15:restartNumberingAfterBreak="0">
    <w:multiLevelType w:val="hybridMultilevel"/>
    <w:lvl w:ilvl="0" w15:tentative="1">
      <w:start w:val="1"/>
      <w:numFmt w:val="decimal"/>
      <w:lvlText w:val="%1."/>
      <w:lvlJc w:val="left"/>
      <w:pPr>
        <w:ind w:left="540" w:hanging="360"/>
      </w:pPr>
    </w:lvl>
  </w:abstractNum>
  <w:abstractNum w:abstractNumId="54" w15:restartNumberingAfterBreak="0">
    <w:multiLevelType w:val="hybridMultilevel"/>
    <w:lvl w:ilvl="0" w15:tentative="1">
      <w:start w:val="1"/>
      <w:numFmt w:val="decimal"/>
      <w:lvlText w:val="%1."/>
      <w:lvlJc w:val="left"/>
      <w:pPr>
        <w:ind w:left="540" w:hanging="360"/>
      </w:pPr>
    </w:lvl>
  </w:abstractNum>
  <w:abstractNum w:abstractNumId="55" w15:restartNumberingAfterBreak="0">
    <w:multiLevelType w:val="hybridMultilevel"/>
    <w:lvl w:ilvl="0" w15:tentative="1">
      <w:start w:val="1"/>
      <w:numFmt w:val="decimal"/>
      <w:lvlText w:val="%1."/>
      <w:lvlJc w:val="left"/>
      <w:pPr>
        <w:ind w:left="540" w:hanging="360"/>
      </w:pPr>
    </w:lvl>
  </w:abstractNum>
  <w:abstractNum w:abstractNumId="56" w15:restartNumberingAfterBreak="0">
    <w:multiLevelType w:val="hybridMultilevel"/>
    <w:lvl w:ilvl="0" w15:tentative="1">
      <w:start w:val="1"/>
      <w:numFmt w:val="decimal"/>
      <w:lvlText w:val="%1."/>
      <w:lvlJc w:val="left"/>
      <w:pPr>
        <w:ind w:left="540" w:hanging="360"/>
      </w:pPr>
    </w:lvl>
  </w:abstractNum>
  <w:abstractNum w:abstractNumId="57" w15:restartNumberingAfterBreak="0">
    <w:multiLevelType w:val="hybridMultilevel"/>
    <w:lvl w:ilvl="0" w15:tentative="1">
      <w:start w:val="1"/>
      <w:numFmt w:val="decimal"/>
      <w:lvlText w:val="%1."/>
      <w:lvlJc w:val="left"/>
      <w:pPr>
        <w:ind w:left="540" w:hanging="360"/>
      </w:pPr>
    </w:lvl>
  </w:abstractNum>
  <w:abstractNum w:abstractNumId="58" w15:restartNumberingAfterBreak="0">
    <w:multiLevelType w:val="hybridMultilevel"/>
    <w:lvl w:ilvl="0" w15:tentative="1">
      <w:start w:val="1"/>
      <w:numFmt w:val="decimal"/>
      <w:lvlText w:val="%1."/>
      <w:lvlJc w:val="left"/>
      <w:pPr>
        <w:ind w:left="540" w:hanging="360"/>
      </w:pPr>
    </w:lvl>
  </w:abstractNum>
  <w:abstractNum w:abstractNumId="59" w15:restartNumberingAfterBreak="0">
    <w:multiLevelType w:val="hybridMultilevel"/>
    <w:lvl w:ilvl="0" w15:tentative="1">
      <w:start w:val="1"/>
      <w:numFmt w:val="decimal"/>
      <w:lvlText w:val="%1."/>
      <w:lvlJc w:val="left"/>
      <w:pPr>
        <w:ind w:left="540" w:hanging="360"/>
      </w:pPr>
    </w:lvl>
  </w:abstractNum>
  <w:abstractNum w:abstractNumId="60" w15:restartNumberingAfterBreak="0">
    <w:multiLevelType w:val="hybridMultilevel"/>
    <w:lvl w:ilvl="0" w15:tentative="1">
      <w:start w:val="1"/>
      <w:numFmt w:val="decimal"/>
      <w:lvlText w:val="%1."/>
      <w:lvlJc w:val="left"/>
      <w:pPr>
        <w:ind w:left="540" w:hanging="360"/>
      </w:pPr>
    </w:lvl>
  </w:abstractNum>
  <w:abstractNum w:abstractNumId="61" w15:restartNumberingAfterBreak="0">
    <w:multiLevelType w:val="hybridMultilevel"/>
    <w:lvl w:ilvl="0" w15:tentative="1">
      <w:start w:val="1"/>
      <w:numFmt w:val="decimal"/>
      <w:lvlText w:val="%1."/>
      <w:lvlJc w:val="left"/>
      <w:pPr>
        <w:ind w:left="540" w:hanging="360"/>
      </w:pPr>
    </w:lvl>
  </w:abstractNum>
  <w:abstractNum w:abstractNumId="62" w15:restartNumberingAfterBreak="0">
    <w:multiLevelType w:val="hybridMultilevel"/>
    <w:lvl w:ilvl="0" w15:tentative="1">
      <w:start w:val="1"/>
      <w:numFmt w:val="decimal"/>
      <w:lvlText w:val="%1."/>
      <w:lvlJc w:val="left"/>
      <w:pPr>
        <w:ind w:left="540" w:hanging="360"/>
      </w:pPr>
    </w:lvl>
  </w:abstractNum>
  <w:abstractNum w:abstractNumId="63" w15:restartNumberingAfterBreak="0">
    <w:multiLevelType w:val="hybridMultilevel"/>
    <w:lvl w:ilvl="0" w15:tentative="1">
      <w:start w:val="1"/>
      <w:numFmt w:val="decimal"/>
      <w:lvlText w:val="%1."/>
      <w:lvlJc w:val="left"/>
      <w:pPr>
        <w:ind w:left="540" w:hanging="360"/>
      </w:pPr>
    </w:lvl>
  </w:abstractNum>
  <w:abstractNum w:abstractNumId="64" w15:restartNumberingAfterBreak="0">
    <w:multiLevelType w:val="hybridMultilevel"/>
    <w:lvl w:ilvl="0" w15:tentative="1">
      <w:start w:val="1"/>
      <w:numFmt w:val="decimal"/>
      <w:lvlText w:val="%1."/>
      <w:lvlJc w:val="left"/>
      <w:pPr>
        <w:ind w:left="540" w:hanging="360"/>
      </w:pPr>
    </w:lvl>
  </w:abstractNum>
  <w:abstractNum w:abstractNumId="65" w15:restartNumberingAfterBreak="0">
    <w:multiLevelType w:val="hybridMultilevel"/>
    <w:lvl w:ilvl="0" w15:tentative="1">
      <w:start w:val="1"/>
      <w:numFmt w:val="decimal"/>
      <w:lvlText w:val="%1."/>
      <w:lvlJc w:val="left"/>
      <w:pPr>
        <w:ind w:left="540" w:hanging="360"/>
      </w:pPr>
    </w:lvl>
  </w:abstractNum>
  <w:abstractNum w:abstractNumId="66" w15:restartNumberingAfterBreak="0">
    <w:multiLevelType w:val="hybridMultilevel"/>
    <w:lvl w:ilvl="0" w15:tentative="1">
      <w:start w:val="1"/>
      <w:numFmt w:val="decimal"/>
      <w:lvlText w:val="%1."/>
      <w:lvlJc w:val="left"/>
      <w:pPr>
        <w:ind w:left="540" w:hanging="360"/>
      </w:pPr>
    </w:lvl>
  </w:abstractNum>
  <w:abstractNum w:abstractNumId="67" w15:restartNumberingAfterBreak="0">
    <w:multiLevelType w:val="hybridMultilevel"/>
    <w:lvl w:ilvl="0" w15:tentative="1">
      <w:start w:val="1"/>
      <w:numFmt w:val="decimal"/>
      <w:lvlText w:val="%1."/>
      <w:lvlJc w:val="left"/>
      <w:pPr>
        <w:ind w:left="540" w:hanging="360"/>
      </w:pPr>
    </w:lvl>
  </w:abstractNum>
  <w:abstractNum w:abstractNumId="68" w15:restartNumberingAfterBreak="0">
    <w:multiLevelType w:val="hybridMultilevel"/>
    <w:lvl w:ilvl="0" w15:tentative="1">
      <w:start w:val="1"/>
      <w:numFmt w:val="decimal"/>
      <w:lvlText w:val="%1."/>
      <w:lvlJc w:val="left"/>
      <w:pPr>
        <w:ind w:left="540" w:hanging="360"/>
      </w:pPr>
    </w:lvl>
  </w:abstractNum>
  <w:abstractNum w:abstractNumId="69" w15:restartNumberingAfterBreak="0">
    <w:multiLevelType w:val="hybridMultilevel"/>
    <w:lvl w:ilvl="0" w15:tentative="1">
      <w:start w:val="1"/>
      <w:numFmt w:val="decimal"/>
      <w:lvlText w:val="%1."/>
      <w:lvlJc w:val="left"/>
      <w:pPr>
        <w:ind w:left="540" w:hanging="360"/>
      </w:pPr>
    </w:lvl>
  </w:abstractNum>
  <w:abstractNum w:abstractNumId="70" w15:restartNumberingAfterBreak="0">
    <w:multiLevelType w:val="hybridMultilevel"/>
    <w:lvl w:ilvl="0" w15:tentative="1">
      <w:start w:val="1"/>
      <w:numFmt w:val="decimal"/>
      <w:lvlText w:val="%1."/>
      <w:lvlJc w:val="left"/>
      <w:pPr>
        <w:ind w:left="540" w:hanging="360"/>
      </w:pPr>
    </w:lvl>
  </w:abstractNum>
  <w:abstractNum w:abstractNumId="71" w15:restartNumberingAfterBreak="0">
    <w:multiLevelType w:val="hybridMultilevel"/>
    <w:lvl w:ilvl="0" w15:tentative="1">
      <w:start w:val="1"/>
      <w:numFmt w:val="decimal"/>
      <w:lvlText w:val="%1."/>
      <w:lvlJc w:val="left"/>
      <w:pPr>
        <w:ind w:left="540" w:hanging="360"/>
      </w:pPr>
    </w:lvl>
  </w:abstractNum>
  <w:abstractNum w:abstractNumId="72" w15:restartNumberingAfterBreak="0">
    <w:multiLevelType w:val="hybridMultilevel"/>
    <w:lvl w:ilvl="0" w15:tentative="1">
      <w:start w:val="1"/>
      <w:numFmt w:val="decimal"/>
      <w:lvlText w:val="%1."/>
      <w:lvlJc w:val="left"/>
      <w:pPr>
        <w:ind w:left="540" w:hanging="360"/>
      </w:pPr>
    </w:lvl>
  </w:abstractNum>
  <w:abstractNum w:abstractNumId="73" w15:restartNumberingAfterBreak="0">
    <w:multiLevelType w:val="hybridMultilevel"/>
    <w:lvl w:ilvl="0" w15:tentative="1">
      <w:start w:val="1"/>
      <w:numFmt w:val="decimal"/>
      <w:lvlText w:val="%1."/>
      <w:lvlJc w:val="left"/>
      <w:pPr>
        <w:ind w:left="540" w:hanging="360"/>
      </w:pPr>
    </w:lvl>
  </w:abstractNum>
  <w:abstractNum w:abstractNumId="74" w15:restartNumberingAfterBreak="0">
    <w:multiLevelType w:val="hybridMultilevel"/>
    <w:lvl w:ilvl="0" w15:tentative="1">
      <w:start w:val="1"/>
      <w:numFmt w:val="decimal"/>
      <w:lvlText w:val="%1."/>
      <w:lvlJc w:val="left"/>
      <w:pPr>
        <w:ind w:left="540" w:hanging="360"/>
      </w:pPr>
    </w:lvl>
  </w:abstractNum>
  <w:abstractNum w:abstractNumId="75" w15:restartNumberingAfterBreak="0">
    <w:multiLevelType w:val="hybridMultilevel"/>
    <w:lvl w:ilvl="0" w15:tentative="1">
      <w:start w:val="1"/>
      <w:numFmt w:val="decimal"/>
      <w:lvlText w:val="%1."/>
      <w:lvlJc w:val="left"/>
      <w:pPr>
        <w:ind w:left="540" w:hanging="360"/>
      </w:pPr>
    </w:lvl>
  </w:abstractNum>
  <w:abstractNum w:abstractNumId="76" w15:restartNumberingAfterBreak="0">
    <w:multiLevelType w:val="hybridMultilevel"/>
    <w:lvl w:ilvl="0" w15:tentative="1">
      <w:start w:val="1"/>
      <w:numFmt w:val="decimal"/>
      <w:lvlText w:val="%1."/>
      <w:lvlJc w:val="left"/>
      <w:pPr>
        <w:ind w:left="540" w:hanging="360"/>
      </w:pPr>
    </w:lvl>
  </w:abstractNum>
  <w:abstractNum w:abstractNumId="77" w15:restartNumberingAfterBreak="0">
    <w:multiLevelType w:val="hybridMultilevel"/>
    <w:lvl w:ilvl="0" w15:tentative="1">
      <w:start w:val="1"/>
      <w:numFmt w:val="decimal"/>
      <w:lvlText w:val="%1."/>
      <w:lvlJc w:val="left"/>
      <w:pPr>
        <w:ind w:left="540" w:hanging="360"/>
      </w:pPr>
    </w:lvl>
  </w:abstractNum>
  <w:abstractNum w:abstractNumId="78" w15:restartNumberingAfterBreak="0">
    <w:multiLevelType w:val="hybridMultilevel"/>
    <w:lvl w:ilvl="0" w15:tentative="1">
      <w:start w:val="1"/>
      <w:numFmt w:val="decimal"/>
      <w:lvlText w:val="%1."/>
      <w:lvlJc w:val="left"/>
      <w:pPr>
        <w:ind w:left="540" w:hanging="360"/>
      </w:pPr>
    </w:lvl>
  </w:abstractNum>
  <w:abstractNum w:abstractNumId="79" w15:restartNumberingAfterBreak="0">
    <w:multiLevelType w:val="hybridMultilevel"/>
    <w:lvl w:ilvl="0" w15:tentative="1">
      <w:start w:val="1"/>
      <w:numFmt w:val="decimal"/>
      <w:lvlText w:val="%1."/>
      <w:lvlJc w:val="left"/>
      <w:pPr>
        <w:ind w:left="540" w:hanging="360"/>
      </w:pPr>
    </w:lvl>
  </w:abstractNum>
  <w:abstractNum w:abstractNumId="80" w15:restartNumberingAfterBreak="0">
    <w:multiLevelType w:val="hybridMultilevel"/>
    <w:lvl w:ilvl="0" w15:tentative="1">
      <w:start w:val="1"/>
      <w:numFmt w:val="decimal"/>
      <w:lvlText w:val="%1."/>
      <w:lvlJc w:val="left"/>
      <w:pPr>
        <w:ind w:left="540" w:hanging="360"/>
      </w:pPr>
    </w:lvl>
  </w:abstractNum>
  <w:abstractNum w:abstractNumId="81" w15:restartNumberingAfterBreak="0">
    <w:multiLevelType w:val="hybridMultilevel"/>
    <w:lvl w:ilvl="0" w15:tentative="1">
      <w:start w:val="1"/>
      <w:numFmt w:val="decimal"/>
      <w:lvlText w:val="%1."/>
      <w:lvlJc w:val="left"/>
      <w:pPr>
        <w:ind w:left="540" w:hanging="360"/>
      </w:pPr>
    </w:lvl>
  </w:abstractNum>
  <w:abstractNum w:abstractNumId="82" w15:restartNumberingAfterBreak="0">
    <w:multiLevelType w:val="hybridMultilevel"/>
    <w:lvl w:ilvl="0" w15:tentative="1">
      <w:start w:val="1"/>
      <w:numFmt w:val="decimal"/>
      <w:lvlText w:val="%1."/>
      <w:lvlJc w:val="left"/>
      <w:pPr>
        <w:ind w:left="540" w:hanging="360"/>
      </w:pPr>
    </w:lvl>
  </w:abstractNum>
  <w:abstractNum w:abstractNumId="8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400"/>
      <w:outlineLvl w:val="0"/>
    </w:pPr>
    <w:rPr>
      <w:rFonts w:ascii="Cambria" w:cs="Cambria" w:eastAsia="Cambria" w:hAnsi="Cambria"/>
      <w:b/>
      <w:bCs/>
      <w:color w:val="0F2A4A"/>
      <w:sz w:val="32"/>
      <w:szCs w:val="32"/>
    </w:rPr>
  </w:style>
  <w:style w:type="paragraph" w:styleId="Heading2">
    <w:name w:val="Heading 2"/>
    <w:basedOn w:val="Normal"/>
    <w:next w:val="Normal"/>
    <w:qFormat/>
    <w:pPr>
      <w:keepNext/>
      <w:spacing w:after="100" w:before="280"/>
      <w:outlineLvl w:val="1"/>
    </w:pPr>
    <w:rPr>
      <w:rFonts w:ascii="Cambria" w:cs="Cambria" w:eastAsia="Cambria" w:hAnsi="Cambria"/>
      <w:b/>
      <w:bCs/>
      <w:color w:val="0F2A4A"/>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A8730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 13485 &amp; Audit Readiness: Case Study Workshop Pack</dc:title>
  <dc:creator>Elder Consulting, LLC</dc:creator>
  <dc:description>ISO 13485 &amp; Audit Readiness seminar material</dc:description>
  <cp:lastModifiedBy>Un-named</cp:lastModifiedBy>
  <cp:revision>1</cp:revision>
  <dcterms:created xsi:type="dcterms:W3CDTF">2026-09-16T10:03:15.542Z</dcterms:created>
  <dcterms:modified xsi:type="dcterms:W3CDTF">2026-09-16T10:03:15.542Z</dcterms:modified>
</cp:coreProperties>
</file>

<file path=docProps/custom.xml><?xml version="1.0" encoding="utf-8"?>
<Properties xmlns="http://schemas.openxmlformats.org/officeDocument/2006/custom-properties" xmlns:vt="http://schemas.openxmlformats.org/officeDocument/2006/docPropsVTypes"/>
</file>