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A8730F"/>
          <w:spacing w:val="40"/>
          <w:sz w:val="20"/>
          <w:szCs w:val="20"/>
        </w:rPr>
        <w:t xml:space="preserve">MEDICAL DEVICE SEMINAR  ·  FACILITATOR GUIDE</w:t>
      </w:r>
    </w:p>
    <w:p>
      <w:pPr>
        <w:spacing w:after="120"/>
      </w:pPr>
      <w:r>
        <w:rPr>
          <w:rFonts w:ascii="Cambria" w:cs="Cambria" w:eastAsia="Cambria" w:hAnsi="Cambria"/>
          <w:b/>
          <w:bCs/>
          <w:color w:val="0F2A4A"/>
          <w:sz w:val="52"/>
          <w:szCs w:val="52"/>
        </w:rPr>
        <w:t xml:space="preserve">ISO 13485 &amp; Audit Readiness</w:t>
      </w:r>
    </w:p>
    <w:p>
      <w:pPr>
        <w:spacing w:after="240"/>
      </w:pPr>
      <w:r>
        <w:rPr>
          <w:color w:val="5A6B7B"/>
          <w:sz w:val="26"/>
          <w:szCs w:val="26"/>
        </w:rPr>
        <w:t xml:space="preserve">Run-of-show, delivery notes, case study model answers and Q&amp;A preparation</w:t>
      </w:r>
    </w:p>
    <w:p>
      <w:pPr>
        <w:spacing w:after="60"/>
      </w:pPr>
      <w:r>
        <w:rPr>
          <w:b/>
          <w:bCs/>
          <w:i w:val="false"/>
          <w:iCs w:val="false"/>
          <w:sz w:val="21"/>
          <w:szCs w:val="21"/>
        </w:rPr>
        <w:t xml:space="preserve">For the speaker only.</w:t>
      </w:r>
      <w:r>
        <w:rPr>
          <w:b w:val="false"/>
          <w:bCs w:val="false"/>
          <w:i w:val="false"/>
          <w:iCs w:val="false"/>
          <w:sz w:val="21"/>
          <w:szCs w:val="21"/>
        </w:rPr>
        <w:t xml:space="preserve"> Do not distribute to participants.</w:t>
      </w:r>
    </w:p>
    <w:p>
      <w:pPr>
        <w:spacing w:after="60"/>
      </w:pPr>
      <w:r>
        <w:rPr>
          <w:b/>
          <w:bCs/>
          <w:i w:val="false"/>
          <w:iCs w:val="false"/>
          <w:sz w:val="21"/>
          <w:szCs w:val="21"/>
        </w:rPr>
        <w:t xml:space="preserve">Materials:</w:t>
      </w:r>
      <w:r>
        <w:rPr>
          <w:b w:val="false"/>
          <w:bCs w:val="false"/>
          <w:i w:val="false"/>
          <w:iCs w:val="false"/>
          <w:sz w:val="21"/>
          <w:szCs w:val="21"/>
        </w:rPr>
        <w:t xml:space="preserve"> Speaker deck (40 slides with notes), Participant Handout, Case Study Workshop Pack</w:t>
      </w:r>
    </w:p>
    <w:p>
      <w:pPr>
        <w:pBdr>
          <w:bottom w:val="single" w:color="A8730F" w:sz="8" w:space="8"/>
        </w:pBdr>
        <w:spacing w:after="240"/>
      </w:pPr>
      <w:r>
        <w:t xml:space="preserve"/>
      </w:r>
    </w:p>
    <w:p>
      <w:pPr>
        <w:pStyle w:val="Heading1"/>
      </w:pPr>
      <w:r>
        <w:t xml:space="preserve">1. Purpose and learning objectives</w:t>
      </w:r>
    </w:p>
    <w:p>
      <w:pPr>
        <w:spacing w:after="120" w:before="0"/>
      </w:pPr>
      <w:r>
        <w:rPr>
          <w:b w:val="false"/>
          <w:bCs w:val="false"/>
          <w:i w:val="false"/>
          <w:iCs w:val="false"/>
          <w:sz w:val="21"/>
          <w:szCs w:val="21"/>
        </w:rPr>
        <w:t xml:space="preserve">A 90-minute seminar for medical device quality and regulatory professionals. Assume a mixed room: some have lived through unannounced audits and FDA inspections; others have never been in the front room. The design keeps experts engaged through the case studies while giving newcomers the vocabulary and a protocol they can install.</w:t>
      </w:r>
    </w:p>
    <w:p>
      <w:pPr>
        <w:pStyle w:val="ListParagraph"/>
        <w:numPr>
          <w:ilvl w:val="0"/>
          <w:numId w:val="2"/>
        </w:numPr>
        <w:spacing w:after="60"/>
      </w:pPr>
      <w:r>
        <w:rPr>
          <w:b w:val="false"/>
          <w:bCs w:val="false"/>
          <w:i w:val="false"/>
          <w:iCs w:val="false"/>
          <w:sz w:val="21"/>
          <w:szCs w:val="21"/>
        </w:rPr>
        <w:t xml:space="preserve">Explain who can audit without notice and on what legal basis (EU MDR Annex IX §3.4; FDA; MDSAP).</w:t>
      </w:r>
    </w:p>
    <w:p>
      <w:pPr>
        <w:pStyle w:val="ListParagraph"/>
        <w:numPr>
          <w:ilvl w:val="0"/>
          <w:numId w:val="2"/>
        </w:numPr>
        <w:spacing w:after="60"/>
      </w:pPr>
      <w:r>
        <w:rPr>
          <w:b w:val="false"/>
          <w:bCs w:val="false"/>
          <w:i w:val="false"/>
          <w:iCs w:val="false"/>
          <w:sz w:val="21"/>
          <w:szCs w:val="21"/>
        </w:rPr>
        <w:t xml:space="preserve">Run the first 60 minutes with a written protocol, named roles and deputies.</w:t>
      </w:r>
    </w:p>
    <w:p>
      <w:pPr>
        <w:pStyle w:val="ListParagraph"/>
        <w:numPr>
          <w:ilvl w:val="0"/>
          <w:numId w:val="2"/>
        </w:numPr>
        <w:spacing w:after="60"/>
      </w:pPr>
      <w:r>
        <w:rPr>
          <w:b w:val="false"/>
          <w:bCs w:val="false"/>
          <w:i w:val="false"/>
          <w:iCs w:val="false"/>
          <w:sz w:val="21"/>
          <w:szCs w:val="21"/>
        </w:rPr>
        <w:t xml:space="preserve">Map audit-critical ISO 13485 clauses to evidence and reconstruct a lot end-to-end.</w:t>
      </w:r>
    </w:p>
    <w:p>
      <w:pPr>
        <w:pStyle w:val="ListParagraph"/>
        <w:numPr>
          <w:ilvl w:val="0"/>
          <w:numId w:val="2"/>
        </w:numPr>
        <w:spacing w:after="60"/>
      </w:pPr>
      <w:r>
        <w:rPr>
          <w:b w:val="false"/>
          <w:bCs w:val="false"/>
          <w:i w:val="false"/>
          <w:iCs w:val="false"/>
          <w:sz w:val="21"/>
          <w:szCs w:val="21"/>
        </w:rPr>
        <w:t xml:space="preserve">Apply a 72-hour post-audit plan focused on root cause.</w:t>
      </w:r>
    </w:p>
    <w:p>
      <w:pPr>
        <w:pStyle w:val="ListParagraph"/>
        <w:numPr>
          <w:ilvl w:val="0"/>
          <w:numId w:val="2"/>
        </w:numPr>
        <w:spacing w:after="60"/>
      </w:pPr>
      <w:r>
        <w:rPr>
          <w:b w:val="false"/>
          <w:bCs w:val="false"/>
          <w:i w:val="false"/>
          <w:iCs w:val="false"/>
          <w:sz w:val="21"/>
          <w:szCs w:val="21"/>
        </w:rPr>
        <w:t xml:space="preserve">Describe the core-plus-annex global QMS model and the regulatory requirements matrix.</w:t>
      </w:r>
    </w:p>
    <w:p>
      <w:pPr>
        <w:pStyle w:val="ListParagraph"/>
        <w:numPr>
          <w:ilvl w:val="0"/>
          <w:numId w:val="2"/>
        </w:numPr>
        <w:spacing w:after="60"/>
      </w:pPr>
      <w:r>
        <w:rPr>
          <w:b w:val="false"/>
          <w:bCs w:val="false"/>
          <w:i w:val="false"/>
          <w:iCs w:val="false"/>
          <w:sz w:val="21"/>
          <w:szCs w:val="21"/>
        </w:rPr>
        <w:t xml:space="preserve">Score their site with the ten-question self-test and leave with a 30-60-90 plan.</w:t>
      </w:r>
    </w:p>
    <w:p>
      <w:pPr>
        <w:pStyle w:val="Heading1"/>
      </w:pPr>
      <w:r>
        <w:t xml:space="preserve">2. Room, materials and set-up</w:t>
      </w:r>
    </w:p>
    <w:p>
      <w:pPr>
        <w:pStyle w:val="ListParagraph"/>
        <w:numPr>
          <w:ilvl w:val="0"/>
          <w:numId w:val="2"/>
        </w:numPr>
        <w:spacing w:after="60"/>
      </w:pPr>
      <w:r>
        <w:rPr>
          <w:b w:val="false"/>
          <w:bCs w:val="false"/>
          <w:i w:val="false"/>
          <w:iCs w:val="false"/>
          <w:sz w:val="21"/>
          <w:szCs w:val="21"/>
        </w:rPr>
        <w:t xml:space="preserve">Tables of four to six; cabaret style. The case studies do not work in theatre seating. If the room is fixed, pair rows and shorten discussion to two minutes.</w:t>
      </w:r>
    </w:p>
    <w:p>
      <w:pPr>
        <w:pStyle w:val="ListParagraph"/>
        <w:numPr>
          <w:ilvl w:val="0"/>
          <w:numId w:val="2"/>
        </w:numPr>
        <w:spacing w:after="60"/>
      </w:pPr>
      <w:r>
        <w:rPr>
          <w:b w:val="false"/>
          <w:bCs w:val="false"/>
          <w:i w:val="false"/>
          <w:iCs w:val="false"/>
          <w:sz w:val="21"/>
          <w:szCs w:val="21"/>
        </w:rPr>
        <w:t xml:space="preserve">One Participant Handout and one Case Study Workshop Pack per person; pens; a flipchart or whiteboard for the opening poll counts and parked questions.</w:t>
      </w:r>
    </w:p>
    <w:p>
      <w:pPr>
        <w:pStyle w:val="ListParagraph"/>
        <w:numPr>
          <w:ilvl w:val="0"/>
          <w:numId w:val="2"/>
        </w:numPr>
        <w:spacing w:after="60"/>
      </w:pPr>
      <w:r>
        <w:rPr>
          <w:b w:val="false"/>
          <w:bCs w:val="false"/>
          <w:i w:val="false"/>
          <w:iCs w:val="false"/>
          <w:sz w:val="21"/>
          <w:szCs w:val="21"/>
        </w:rPr>
        <w:t xml:space="preserve">Visible timer (phone or slide clock) for the case study rounds.</w:t>
      </w:r>
    </w:p>
    <w:p>
      <w:pPr>
        <w:pStyle w:val="ListParagraph"/>
        <w:numPr>
          <w:ilvl w:val="0"/>
          <w:numId w:val="2"/>
        </w:numPr>
        <w:spacing w:after="60"/>
      </w:pPr>
      <w:r>
        <w:rPr>
          <w:b w:val="false"/>
          <w:bCs w:val="false"/>
          <w:i w:val="false"/>
          <w:iCs w:val="false"/>
          <w:sz w:val="21"/>
          <w:szCs w:val="21"/>
        </w:rPr>
        <w:t xml:space="preserve">Fill in the title slide and the closing slide placeholders (speaker, date, venue, contact, handout link or QR code) before the session.</w:t>
      </w:r>
    </w:p>
    <w:p>
      <w:pPr>
        <w:pStyle w:val="ListParagraph"/>
        <w:numPr>
          <w:ilvl w:val="0"/>
          <w:numId w:val="2"/>
        </w:numPr>
        <w:spacing w:after="60"/>
      </w:pPr>
      <w:r>
        <w:rPr>
          <w:b w:val="false"/>
          <w:bCs w:val="false"/>
          <w:i w:val="false"/>
          <w:iCs w:val="false"/>
          <w:sz w:val="21"/>
          <w:szCs w:val="21"/>
        </w:rPr>
        <w:t xml:space="preserve">Verify the dates on slide 6 and the vigilance table on slide 32 the week before; see Section 8.</w:t>
      </w:r>
    </w:p>
    <w:p>
      <w:pPr>
        <w:pStyle w:val="Heading1"/>
      </w:pPr>
      <w:r>
        <w:t xml:space="preserve">3. Run-of-show</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800"/>
        <w:gridCol w:w="900"/>
        <w:gridCol w:w="2600"/>
        <w:gridCol w:w="5780"/>
      </w:tblGrid>
      <w:tr>
        <w:trPr>
          <w:tblHeader/>
        </w:trPr>
        <w:tc>
          <w:tcPr>
            <w:tcW w:type="dxa" w:w="800"/>
            <w:shd w:fill="0F2A4A" w:color="auto" w:val="clear"/>
            <w:tcMar>
              <w:top w:type="dxa" w:w="70"/>
              <w:left w:type="dxa" w:w="100"/>
              <w:bottom w:type="dxa" w:w="70"/>
              <w:right w:type="dxa" w:w="100"/>
            </w:tcMar>
            <w:vAlign w:val="top"/>
          </w:tcPr>
          <w:p>
            <w:pPr>
              <w:spacing w:after="40"/>
            </w:pPr>
            <w:r>
              <w:rPr>
                <w:b/>
                <w:bCs/>
                <w:i w:val="false"/>
                <w:iCs w:val="false"/>
                <w:color w:val="FFFFFF"/>
                <w:sz w:val="18"/>
                <w:szCs w:val="18"/>
              </w:rPr>
              <w:t xml:space="preserve">Clock</w:t>
            </w:r>
          </w:p>
        </w:tc>
        <w:tc>
          <w:tcPr>
            <w:tcW w:type="dxa" w:w="900"/>
            <w:shd w:fill="0F2A4A" w:color="auto" w:val="clear"/>
            <w:tcMar>
              <w:top w:type="dxa" w:w="70"/>
              <w:left w:type="dxa" w:w="100"/>
              <w:bottom w:type="dxa" w:w="70"/>
              <w:right w:type="dxa" w:w="100"/>
            </w:tcMar>
            <w:vAlign w:val="top"/>
          </w:tcPr>
          <w:p>
            <w:pPr>
              <w:spacing w:after="40"/>
            </w:pPr>
            <w:r>
              <w:rPr>
                <w:b/>
                <w:bCs/>
                <w:i w:val="false"/>
                <w:iCs w:val="false"/>
                <w:color w:val="FFFFFF"/>
                <w:sz w:val="18"/>
                <w:szCs w:val="18"/>
              </w:rPr>
              <w:t xml:space="preserve">Slides</w:t>
            </w:r>
          </w:p>
        </w:tc>
        <w:tc>
          <w:tcPr>
            <w:tcW w:type="dxa" w:w="2600"/>
            <w:shd w:fill="0F2A4A" w:color="auto" w:val="clear"/>
            <w:tcMar>
              <w:top w:type="dxa" w:w="70"/>
              <w:left w:type="dxa" w:w="100"/>
              <w:bottom w:type="dxa" w:w="70"/>
              <w:right w:type="dxa" w:w="100"/>
            </w:tcMar>
            <w:vAlign w:val="top"/>
          </w:tcPr>
          <w:p>
            <w:pPr>
              <w:spacing w:after="40"/>
            </w:pPr>
            <w:r>
              <w:rPr>
                <w:b/>
                <w:bCs/>
                <w:i w:val="false"/>
                <w:iCs w:val="false"/>
                <w:color w:val="FFFFFF"/>
                <w:sz w:val="18"/>
                <w:szCs w:val="18"/>
              </w:rPr>
              <w:t xml:space="preserve">Segment</w:t>
            </w:r>
          </w:p>
        </w:tc>
        <w:tc>
          <w:tcPr>
            <w:tcW w:type="dxa" w:w="5780"/>
            <w:shd w:fill="0F2A4A" w:color="auto" w:val="clear"/>
            <w:tcMar>
              <w:top w:type="dxa" w:w="70"/>
              <w:left w:type="dxa" w:w="100"/>
              <w:bottom w:type="dxa" w:w="70"/>
              <w:right w:type="dxa" w:w="100"/>
            </w:tcMar>
            <w:vAlign w:val="top"/>
          </w:tcPr>
          <w:p>
            <w:pPr>
              <w:spacing w:after="40"/>
            </w:pPr>
            <w:r>
              <w:rPr>
                <w:b/>
                <w:bCs/>
                <w:i w:val="false"/>
                <w:iCs w:val="false"/>
                <w:color w:val="FFFFFF"/>
                <w:sz w:val="18"/>
                <w:szCs w:val="18"/>
              </w:rPr>
              <w:t xml:space="preserve">Facilitation notes</w:t>
            </w:r>
          </w:p>
        </w:tc>
      </w:tr>
      <w:tr>
        <w:tc>
          <w:tcPr>
            <w:tcW w:type="dxa" w:w="8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0:00</w:t>
            </w:r>
          </w:p>
        </w:tc>
        <w:tc>
          <w:tcPr>
            <w:tcW w:type="dxa" w:w="9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1</w:t>
            </w:r>
          </w:p>
        </w:tc>
        <w:tc>
          <w:tcPr>
            <w:tcW w:type="dxa" w:w="26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Welcome</w:t>
            </w:r>
          </w:p>
        </w:tc>
        <w:tc>
          <w:tcPr>
            <w:tcW w:type="dxa" w:w="57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Introduce yourself in one minute; state the four things people leave with. Point to the two handouts.</w:t>
            </w:r>
          </w:p>
        </w:tc>
      </w:tr>
      <w:tr>
        <w:tc>
          <w:tcPr>
            <w:tcW w:type="dxa" w:w="8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0:02</w:t>
            </w:r>
          </w:p>
        </w:tc>
        <w:tc>
          <w:tcPr>
            <w:tcW w:type="dxa" w:w="9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2</w:t>
            </w:r>
          </w:p>
        </w:tc>
        <w:tc>
          <w:tcPr>
            <w:tcW w:type="dxa" w:w="26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Agenda</w:t>
            </w:r>
          </w:p>
        </w:tc>
        <w:tc>
          <w:tcPr>
            <w:tcW w:type="dxa" w:w="57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Ask people to sit in tables of 4–6 now. Case pack stays closed until Section 4.</w:t>
            </w:r>
          </w:p>
        </w:tc>
      </w:tr>
      <w:tr>
        <w:tc>
          <w:tcPr>
            <w:tcW w:type="dxa" w:w="8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0:04</w:t>
            </w:r>
          </w:p>
        </w:tc>
        <w:tc>
          <w:tcPr>
            <w:tcW w:type="dxa" w:w="9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3</w:t>
            </w:r>
          </w:p>
        </w:tc>
        <w:tc>
          <w:tcPr>
            <w:tcW w:type="dxa" w:w="26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Poll</w:t>
            </w:r>
          </w:p>
        </w:tc>
        <w:tc>
          <w:tcPr>
            <w:tcW w:type="dxa" w:w="57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Three shows of hands; write the counts on the flipchart. Question 3 is the hook.</w:t>
            </w:r>
          </w:p>
        </w:tc>
      </w:tr>
      <w:tr>
        <w:tc>
          <w:tcPr>
            <w:tcW w:type="dxa" w:w="8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0:08</w:t>
            </w:r>
          </w:p>
        </w:tc>
        <w:tc>
          <w:tcPr>
            <w:tcW w:type="dxa" w:w="9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4–7</w:t>
            </w:r>
          </w:p>
        </w:tc>
        <w:tc>
          <w:tcPr>
            <w:tcW w:type="dxa" w:w="26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Section 1: why readiness is permanent</w:t>
            </w:r>
          </w:p>
        </w:tc>
        <w:tc>
          <w:tcPr>
            <w:tcW w:type="dxa" w:w="57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Slide 5 table: who arrives unannounced. Slide 6: the 2026 snapshot, spend most time on QMSR and MDR. Slide 7: three auditor questions; the finding clusters.</w:t>
            </w:r>
          </w:p>
        </w:tc>
      </w:tr>
      <w:tr>
        <w:tc>
          <w:tcPr>
            <w:tcW w:type="dxa" w:w="8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0:20</w:t>
            </w:r>
          </w:p>
        </w:tc>
        <w:tc>
          <w:tcPr>
            <w:tcW w:type="dxa" w:w="9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8–13</w:t>
            </w:r>
          </w:p>
        </w:tc>
        <w:tc>
          <w:tcPr>
            <w:tcW w:type="dxa" w:w="26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Section 2: ISO 13485 backbone</w:t>
            </w:r>
          </w:p>
        </w:tc>
        <w:tc>
          <w:tcPr>
            <w:tcW w:type="dxa" w:w="57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Slide 9 fast orientation. Slides 10–11 read the middle column as the request list. Slide 12 evidence chain is the mental model for the whole session. Slide 13 headlines only.</w:t>
            </w:r>
          </w:p>
        </w:tc>
      </w:tr>
      <w:tr>
        <w:tc>
          <w:tcPr>
            <w:tcW w:type="dxa" w:w="8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0:32</w:t>
            </w:r>
          </w:p>
        </w:tc>
        <w:tc>
          <w:tcPr>
            <w:tcW w:type="dxa" w:w="9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14–20</w:t>
            </w:r>
          </w:p>
        </w:tc>
        <w:tc>
          <w:tcPr>
            <w:tcW w:type="dxa" w:w="26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Section 3: anatomy of an unannounced audit</w:t>
            </w:r>
          </w:p>
        </w:tc>
        <w:tc>
          <w:tcPr>
            <w:tcW w:type="dxa" w:w="57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Slide 16 is the protocol; walk it left to right. Slide 17 roles and deputies. Slide 18 stress: never alter records; "I don't know, I will find out". Slides 19–20 the 72-hour plan and grading vocabulary.</w:t>
            </w:r>
          </w:p>
        </w:tc>
      </w:tr>
      <w:tr>
        <w:tc>
          <w:tcPr>
            <w:tcW w:type="dxa" w:w="8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0:47</w:t>
            </w:r>
          </w:p>
        </w:tc>
        <w:tc>
          <w:tcPr>
            <w:tcW w:type="dxa" w:w="9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21</w:t>
            </w:r>
          </w:p>
        </w:tc>
        <w:tc>
          <w:tcPr>
            <w:tcW w:type="dxa" w:w="26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Case study divider</w:t>
            </w:r>
          </w:p>
        </w:tc>
        <w:tc>
          <w:tcPr>
            <w:tcW w:type="dxa" w:w="57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Open the case pack. Explain the rhythm: 2 read, 3 discuss, 2 debrief. Start the timer visibly.</w:t>
            </w:r>
          </w:p>
        </w:tc>
      </w:tr>
      <w:tr>
        <w:tc>
          <w:tcPr>
            <w:tcW w:type="dxa" w:w="8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0:48</w:t>
            </w:r>
          </w:p>
        </w:tc>
        <w:tc>
          <w:tcPr>
            <w:tcW w:type="dxa" w:w="9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22–23</w:t>
            </w:r>
          </w:p>
        </w:tc>
        <w:tc>
          <w:tcPr>
            <w:tcW w:type="dxa" w:w="26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Case 1</w:t>
            </w:r>
          </w:p>
        </w:tc>
        <w:tc>
          <w:tcPr>
            <w:tcW w:type="dxa" w:w="57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Debrief: ranking of findings; the lobby set the tone.</w:t>
            </w:r>
          </w:p>
        </w:tc>
      </w:tr>
      <w:tr>
        <w:tc>
          <w:tcPr>
            <w:tcW w:type="dxa" w:w="8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0:55</w:t>
            </w:r>
          </w:p>
        </w:tc>
        <w:tc>
          <w:tcPr>
            <w:tcW w:type="dxa" w:w="9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24–25</w:t>
            </w:r>
          </w:p>
        </w:tc>
        <w:tc>
          <w:tcPr>
            <w:tcW w:type="dxa" w:w="26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Case 2</w:t>
            </w:r>
          </w:p>
        </w:tc>
        <w:tc>
          <w:tcPr>
            <w:tcW w:type="dxa" w:w="57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Debrief: the major went to the legal manufacturer; quality agreement clause.</w:t>
            </w:r>
          </w:p>
        </w:tc>
      </w:tr>
      <w:tr>
        <w:tc>
          <w:tcPr>
            <w:tcW w:type="dxa" w:w="8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1:02</w:t>
            </w:r>
          </w:p>
        </w:tc>
        <w:tc>
          <w:tcPr>
            <w:tcW w:type="dxa" w:w="9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26–27</w:t>
            </w:r>
          </w:p>
        </w:tc>
        <w:tc>
          <w:tcPr>
            <w:tcW w:type="dxa" w:w="26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Case 3</w:t>
            </w:r>
          </w:p>
        </w:tc>
        <w:tc>
          <w:tcPr>
            <w:tcW w:type="dxa" w:w="57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Debrief: hear one table's 483 response paragraph.</w:t>
            </w:r>
          </w:p>
        </w:tc>
      </w:tr>
      <w:tr>
        <w:tc>
          <w:tcPr>
            <w:tcW w:type="dxa" w:w="8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1:09</w:t>
            </w:r>
          </w:p>
        </w:tc>
        <w:tc>
          <w:tcPr>
            <w:tcW w:type="dxa" w:w="9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28–29</w:t>
            </w:r>
          </w:p>
        </w:tc>
        <w:tc>
          <w:tcPr>
            <w:tcW w:type="dxa" w:w="26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Case 4</w:t>
            </w:r>
          </w:p>
        </w:tc>
        <w:tc>
          <w:tcPr>
            <w:tcW w:type="dxa" w:w="57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Debrief: grade 4 mechanics; the three-part lesson frames Section 5.</w:t>
            </w:r>
          </w:p>
        </w:tc>
      </w:tr>
      <w:tr>
        <w:tc>
          <w:tcPr>
            <w:tcW w:type="dxa" w:w="8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1:16</w:t>
            </w:r>
          </w:p>
        </w:tc>
        <w:tc>
          <w:tcPr>
            <w:tcW w:type="dxa" w:w="9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30–36</w:t>
            </w:r>
          </w:p>
        </w:tc>
        <w:tc>
          <w:tcPr>
            <w:tcW w:type="dxa" w:w="26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Section 5: maintaining a global QMS</w:t>
            </w:r>
          </w:p>
        </w:tc>
        <w:tc>
          <w:tcPr>
            <w:tcW w:type="dxa" w:w="57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Architecture, vigilance timelines, matrix, rhythm and KPIs, self-test (compare with poll counts), mock audits. Compress here if behind.</w:t>
            </w:r>
          </w:p>
        </w:tc>
      </w:tr>
      <w:tr>
        <w:tc>
          <w:tcPr>
            <w:tcW w:type="dxa" w:w="8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1:26</w:t>
            </w:r>
          </w:p>
        </w:tc>
        <w:tc>
          <w:tcPr>
            <w:tcW w:type="dxa" w:w="9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37–39</w:t>
            </w:r>
          </w:p>
        </w:tc>
        <w:tc>
          <w:tcPr>
            <w:tcW w:type="dxa" w:w="26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Close</w:t>
            </w:r>
          </w:p>
        </w:tc>
        <w:tc>
          <w:tcPr>
            <w:tcW w:type="dxa" w:w="57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Five takeaways slowly; 30-60-90 plan; point to references without reading them.</w:t>
            </w:r>
          </w:p>
        </w:tc>
      </w:tr>
      <w:tr>
        <w:tc>
          <w:tcPr>
            <w:tcW w:type="dxa" w:w="8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1:28</w:t>
            </w:r>
          </w:p>
        </w:tc>
        <w:tc>
          <w:tcPr>
            <w:tcW w:type="dxa" w:w="9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40</w:t>
            </w:r>
          </w:p>
        </w:tc>
        <w:tc>
          <w:tcPr>
            <w:tcW w:type="dxa" w:w="26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Q&amp;A</w:t>
            </w:r>
          </w:p>
        </w:tc>
        <w:tc>
          <w:tcPr>
            <w:tcW w:type="dxa" w:w="57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Open with the question on the slide. Seed questions in Section 7.</w:t>
            </w:r>
          </w:p>
        </w:tc>
      </w:tr>
    </w:tbl>
    <w:p>
      <w:pPr>
        <w:pStyle w:val="Heading3"/>
      </w:pPr>
      <w:r>
        <w:t xml:space="preserve">If you are running behind</w:t>
      </w:r>
    </w:p>
    <w:p>
      <w:pPr>
        <w:pStyle w:val="ListParagraph"/>
        <w:numPr>
          <w:ilvl w:val="0"/>
          <w:numId w:val="2"/>
        </w:numPr>
        <w:spacing w:after="60"/>
      </w:pPr>
      <w:r>
        <w:rPr>
          <w:b w:val="false"/>
          <w:bCs w:val="false"/>
          <w:i w:val="false"/>
          <w:iCs w:val="false"/>
          <w:sz w:val="21"/>
          <w:szCs w:val="21"/>
        </w:rPr>
        <w:t xml:space="preserve">Skip slide 13 (overlays) and slide 33 (matrix); both are in the handout.</w:t>
      </w:r>
    </w:p>
    <w:p>
      <w:pPr>
        <w:pStyle w:val="ListParagraph"/>
        <w:numPr>
          <w:ilvl w:val="0"/>
          <w:numId w:val="2"/>
        </w:numPr>
        <w:spacing w:after="60"/>
      </w:pPr>
      <w:r>
        <w:rPr>
          <w:b w:val="false"/>
          <w:bCs w:val="false"/>
          <w:i w:val="false"/>
          <w:iCs w:val="false"/>
          <w:sz w:val="21"/>
          <w:szCs w:val="21"/>
        </w:rPr>
        <w:t xml:space="preserve">Run Cases 1, 3 and 4 and assign Case 2 as homework; or cut each debrief to 60 seconds: grade, escalation, lesson.</w:t>
      </w:r>
    </w:p>
    <w:p>
      <w:pPr>
        <w:pStyle w:val="ListParagraph"/>
        <w:numPr>
          <w:ilvl w:val="0"/>
          <w:numId w:val="2"/>
        </w:numPr>
        <w:spacing w:after="60"/>
      </w:pPr>
      <w:r>
        <w:rPr>
          <w:b w:val="false"/>
          <w:bCs w:val="false"/>
          <w:i w:val="false"/>
          <w:iCs w:val="false"/>
          <w:sz w:val="21"/>
          <w:szCs w:val="21"/>
        </w:rPr>
        <w:t xml:space="preserve">The self-test (slide 35) can be done silently in 60 seconds: ask only for the 9–10 hands.</w:t>
      </w:r>
    </w:p>
    <w:p>
      <w:pPr>
        <w:pStyle w:val="Heading3"/>
      </w:pPr>
      <w:r>
        <w:t xml:space="preserve">If you have extra time</w:t>
      </w:r>
    </w:p>
    <w:p>
      <w:pPr>
        <w:pStyle w:val="ListParagraph"/>
        <w:numPr>
          <w:ilvl w:val="0"/>
          <w:numId w:val="2"/>
        </w:numPr>
        <w:spacing w:after="60"/>
      </w:pPr>
      <w:r>
        <w:rPr>
          <w:b w:val="false"/>
          <w:bCs w:val="false"/>
          <w:i w:val="false"/>
          <w:iCs w:val="false"/>
          <w:sz w:val="21"/>
          <w:szCs w:val="21"/>
        </w:rPr>
        <w:t xml:space="preserve">Let the Case 4 question on matrix ownership run; it exposes real organizational debates.</w:t>
      </w:r>
    </w:p>
    <w:p>
      <w:pPr>
        <w:pStyle w:val="ListParagraph"/>
        <w:numPr>
          <w:ilvl w:val="0"/>
          <w:numId w:val="2"/>
        </w:numPr>
        <w:spacing w:after="60"/>
      </w:pPr>
      <w:r>
        <w:rPr>
          <w:b w:val="false"/>
          <w:bCs w:val="false"/>
          <w:i w:val="false"/>
          <w:iCs w:val="false"/>
          <w:sz w:val="21"/>
          <w:szCs w:val="21"/>
        </w:rPr>
        <w:t xml:space="preserve">Ask a volunteer to walk through their own site's first 30 minutes against slide 16.</w:t>
      </w:r>
    </w:p>
    <w:p>
      <w:pPr>
        <w:pStyle w:val="Heading1"/>
      </w:pPr>
      <w:r>
        <w:t xml:space="preserve">4. Delivery notes by section</w:t>
      </w:r>
    </w:p>
    <w:p>
      <w:pPr>
        <w:pStyle w:val="Heading2"/>
      </w:pPr>
      <w:r>
        <w:t xml:space="preserve">Section 1: Why readiness is permanent (slides 4–7)</w:t>
      </w:r>
    </w:p>
    <w:p>
      <w:pPr>
        <w:pStyle w:val="ListParagraph"/>
        <w:numPr>
          <w:ilvl w:val="0"/>
          <w:numId w:val="2"/>
        </w:numPr>
        <w:spacing w:after="60"/>
      </w:pPr>
      <w:r>
        <w:rPr>
          <w:b w:val="false"/>
          <w:bCs w:val="false"/>
          <w:i w:val="false"/>
          <w:iCs w:val="false"/>
          <w:sz w:val="21"/>
          <w:szCs w:val="21"/>
        </w:rPr>
        <w:t xml:space="preserve">History in one breath: PIP exposed the limits of scheduled surveillance; Recommendation 2013/473/EU introduced unannounced audits at least every three years; the MDR wrote them into law with a five-year minimum and explicit reach to critical suppliers and subcontractors. The notified body must keep its plan secret.</w:t>
      </w:r>
    </w:p>
    <w:p>
      <w:pPr>
        <w:pStyle w:val="ListParagraph"/>
        <w:numPr>
          <w:ilvl w:val="0"/>
          <w:numId w:val="2"/>
        </w:numPr>
        <w:spacing w:after="60"/>
      </w:pPr>
      <w:r>
        <w:rPr>
          <w:b w:val="false"/>
          <w:bCs w:val="false"/>
          <w:i w:val="false"/>
          <w:iCs w:val="false"/>
          <w:sz w:val="21"/>
          <w:szCs w:val="21"/>
        </w:rPr>
        <w:t xml:space="preserve">FDA: domestic inspections were always unannounced; the 2025 expansion of unannounced foreign inspections removed the last comfortable assumption.</w:t>
      </w:r>
    </w:p>
    <w:p>
      <w:pPr>
        <w:pStyle w:val="ListParagraph"/>
        <w:numPr>
          <w:ilvl w:val="0"/>
          <w:numId w:val="2"/>
        </w:numPr>
        <w:spacing w:after="60"/>
      </w:pPr>
      <w:r>
        <w:rPr>
          <w:b w:val="false"/>
          <w:bCs w:val="false"/>
          <w:i w:val="false"/>
          <w:iCs w:val="false"/>
          <w:sz w:val="21"/>
          <w:szCs w:val="21"/>
        </w:rPr>
        <w:t xml:space="preserve">The QMSR change most rooms have not internalized: management review, internal audit and supplier audit records are now reviewable in routine inspections. This is Case 3.</w:t>
      </w:r>
    </w:p>
    <w:p>
      <w:pPr>
        <w:pStyle w:val="ListParagraph"/>
        <w:numPr>
          <w:ilvl w:val="0"/>
          <w:numId w:val="2"/>
        </w:numPr>
        <w:spacing w:after="60"/>
      </w:pPr>
      <w:r>
        <w:rPr>
          <w:b w:val="false"/>
          <w:bCs w:val="false"/>
          <w:i w:val="false"/>
          <w:iCs w:val="false"/>
          <w:sz w:val="21"/>
          <w:szCs w:val="21"/>
        </w:rPr>
        <w:t xml:space="preserve">Do not quote 483 statistics unless you have pulled the current FDA data; the pattern of clusters is the point.</w:t>
      </w:r>
    </w:p>
    <w:p>
      <w:pPr>
        <w:pStyle w:val="Heading2"/>
      </w:pPr>
      <w:r>
        <w:t xml:space="preserve">Section 2: ISO 13485 backbone (slides 8–13)</w:t>
      </w:r>
    </w:p>
    <w:p>
      <w:pPr>
        <w:pStyle w:val="ListParagraph"/>
        <w:numPr>
          <w:ilvl w:val="0"/>
          <w:numId w:val="2"/>
        </w:numPr>
        <w:spacing w:after="60"/>
      </w:pPr>
      <w:r>
        <w:rPr>
          <w:b w:val="false"/>
          <w:bCs w:val="false"/>
          <w:i w:val="false"/>
          <w:iCs w:val="false"/>
          <w:sz w:val="21"/>
          <w:szCs w:val="21"/>
        </w:rPr>
        <w:t xml:space="preserve">Slide 12 (evidence chain) is the one slide to make the room remember. Say it as a story: the auditor picks up a unit and pulls the thread.</w:t>
      </w:r>
    </w:p>
    <w:p>
      <w:pPr>
        <w:pStyle w:val="ListParagraph"/>
        <w:numPr>
          <w:ilvl w:val="0"/>
          <w:numId w:val="2"/>
        </w:numPr>
        <w:spacing w:after="60"/>
      </w:pPr>
      <w:r>
        <w:rPr>
          <w:b w:val="false"/>
          <w:bCs w:val="false"/>
          <w:i w:val="false"/>
          <w:iCs w:val="false"/>
          <w:sz w:val="21"/>
          <w:szCs w:val="21"/>
        </w:rPr>
        <w:t xml:space="preserve">Traceability (7.5.9) decides unannounced audits because the auditor has product in hand.</w:t>
      </w:r>
    </w:p>
    <w:p>
      <w:pPr>
        <w:pStyle w:val="ListParagraph"/>
        <w:numPr>
          <w:ilvl w:val="0"/>
          <w:numId w:val="2"/>
        </w:numPr>
        <w:spacing w:after="60"/>
      </w:pPr>
      <w:r>
        <w:rPr>
          <w:b w:val="false"/>
          <w:bCs w:val="false"/>
          <w:i w:val="false"/>
          <w:iCs w:val="false"/>
          <w:sz w:val="21"/>
          <w:szCs w:val="21"/>
        </w:rPr>
        <w:t xml:space="preserve">Complaints and CAPA fail through undocumented decisions, not absent systems: no rationale for "not reportable", no data behind "effective".</w:t>
      </w:r>
    </w:p>
    <w:p>
      <w:pPr>
        <w:pStyle w:val="Heading2"/>
      </w:pPr>
      <w:r>
        <w:t xml:space="preserve">Section 3: Anatomy of an unannounced audit (slides 14–20)</w:t>
      </w:r>
    </w:p>
    <w:p>
      <w:pPr>
        <w:pStyle w:val="ListParagraph"/>
        <w:numPr>
          <w:ilvl w:val="0"/>
          <w:numId w:val="2"/>
        </w:numPr>
        <w:spacing w:after="60"/>
      </w:pPr>
      <w:r>
        <w:rPr>
          <w:b w:val="false"/>
          <w:bCs w:val="false"/>
          <w:i w:val="false"/>
          <w:iCs w:val="false"/>
          <w:sz w:val="21"/>
          <w:szCs w:val="21"/>
        </w:rPr>
        <w:t xml:space="preserve">Mechanics: typically two auditors, at least one day, at the site or a critical supplier; you are expected to have told the notified body about shutdowns and campaign calendars.</w:t>
      </w:r>
    </w:p>
    <w:p>
      <w:pPr>
        <w:pStyle w:val="ListParagraph"/>
        <w:numPr>
          <w:ilvl w:val="0"/>
          <w:numId w:val="2"/>
        </w:numPr>
        <w:spacing w:after="60"/>
      </w:pPr>
      <w:r>
        <w:rPr>
          <w:b w:val="false"/>
          <w:bCs w:val="false"/>
          <w:i w:val="false"/>
          <w:iCs w:val="false"/>
          <w:sz w:val="21"/>
          <w:szCs w:val="21"/>
        </w:rPr>
        <w:t xml:space="preserve">The protocol on slide 16 is reproduced in the handout (4.1) with an owner column. Point to it.</w:t>
      </w:r>
    </w:p>
    <w:p>
      <w:pPr>
        <w:pStyle w:val="ListParagraph"/>
        <w:numPr>
          <w:ilvl w:val="0"/>
          <w:numId w:val="2"/>
        </w:numPr>
        <w:spacing w:after="60"/>
      </w:pPr>
      <w:r>
        <w:rPr>
          <w:b w:val="false"/>
          <w:bCs w:val="false"/>
          <w:i w:val="false"/>
          <w:iCs w:val="false"/>
          <w:sz w:val="21"/>
          <w:szCs w:val="21"/>
        </w:rPr>
        <w:t xml:space="preserve">Roles: the scribe is under-rated; a verbatim log is what lets you contest a finding accurately at the closing meeting.</w:t>
      </w:r>
    </w:p>
    <w:p>
      <w:pPr>
        <w:pStyle w:val="ListParagraph"/>
        <w:numPr>
          <w:ilvl w:val="0"/>
          <w:numId w:val="2"/>
        </w:numPr>
        <w:spacing w:after="60"/>
      </w:pPr>
      <w:r>
        <w:rPr>
          <w:b w:val="false"/>
          <w:bCs w:val="false"/>
          <w:i w:val="false"/>
          <w:iCs w:val="false"/>
          <w:sz w:val="21"/>
          <w:szCs w:val="21"/>
        </w:rPr>
        <w:t xml:space="preserve">Do and don't: stress the two absolutes: never alter, backdate or create records during an audit; and "I don't know, I will find out" is a complete answer that must be followed through.</w:t>
      </w:r>
    </w:p>
    <w:p>
      <w:pPr>
        <w:pStyle w:val="ListParagraph"/>
        <w:numPr>
          <w:ilvl w:val="0"/>
          <w:numId w:val="2"/>
        </w:numPr>
        <w:spacing w:after="60"/>
      </w:pPr>
      <w:r>
        <w:rPr>
          <w:b w:val="false"/>
          <w:bCs w:val="false"/>
          <w:i w:val="false"/>
          <w:iCs w:val="false"/>
          <w:sz w:val="21"/>
          <w:szCs w:val="21"/>
        </w:rPr>
        <w:t xml:space="preserve">Signatures and affidavits: policy must be agreed with RA and legal before the day.</w:t>
      </w:r>
    </w:p>
    <w:p>
      <w:pPr>
        <w:pStyle w:val="Heading2"/>
      </w:pPr>
      <w:r>
        <w:t xml:space="preserve">Section 5: Maintaining a global QMS (slides 30–36)</w:t>
      </w:r>
    </w:p>
    <w:p>
      <w:pPr>
        <w:pStyle w:val="ListParagraph"/>
        <w:numPr>
          <w:ilvl w:val="0"/>
          <w:numId w:val="2"/>
        </w:numPr>
        <w:spacing w:after="60"/>
      </w:pPr>
      <w:r>
        <w:rPr>
          <w:b w:val="false"/>
          <w:bCs w:val="false"/>
          <w:i w:val="false"/>
          <w:iCs w:val="false"/>
          <w:sz w:val="21"/>
          <w:szCs w:val="21"/>
        </w:rPr>
        <w:t xml:space="preserve">Architecture: one process, local annexes, governed interfaces. Tier 3 is where locality lives.</w:t>
      </w:r>
    </w:p>
    <w:p>
      <w:pPr>
        <w:pStyle w:val="ListParagraph"/>
        <w:numPr>
          <w:ilvl w:val="0"/>
          <w:numId w:val="2"/>
        </w:numPr>
        <w:spacing w:after="60"/>
      </w:pPr>
      <w:r>
        <w:rPr>
          <w:b w:val="false"/>
          <w:bCs w:val="false"/>
          <w:i w:val="false"/>
          <w:iCs w:val="false"/>
          <w:sz w:val="21"/>
          <w:szCs w:val="21"/>
        </w:rPr>
        <w:t xml:space="preserve">Vigilance table: read one row across to show the same event triggers different clocks; the shortest clock wins for triage, hence 48-hour triage. State the caveat aloud: teaching aid, verify against current text.</w:t>
      </w:r>
    </w:p>
    <w:p>
      <w:pPr>
        <w:pStyle w:val="ListParagraph"/>
        <w:numPr>
          <w:ilvl w:val="0"/>
          <w:numId w:val="2"/>
        </w:numPr>
        <w:spacing w:after="60"/>
      </w:pPr>
      <w:r>
        <w:rPr>
          <w:b w:val="false"/>
          <w:bCs w:val="false"/>
          <w:i w:val="false"/>
          <w:iCs w:val="false"/>
          <w:sz w:val="21"/>
          <w:szCs w:val="21"/>
        </w:rPr>
        <w:t xml:space="preserve">Readiness KPIs: the first row is the opening poll question. Ask who would add it to management review.</w:t>
      </w:r>
    </w:p>
    <w:p>
      <w:pPr>
        <w:pStyle w:val="ListParagraph"/>
        <w:numPr>
          <w:ilvl w:val="0"/>
          <w:numId w:val="2"/>
        </w:numPr>
        <w:spacing w:after="60"/>
      </w:pPr>
      <w:r>
        <w:rPr>
          <w:b w:val="false"/>
          <w:bCs w:val="false"/>
          <w:i w:val="false"/>
          <w:iCs w:val="false"/>
          <w:sz w:val="21"/>
          <w:szCs w:val="21"/>
        </w:rPr>
        <w:t xml:space="preserve">Self-test: compare the 9–10 hands with the flipchart counts from the poll.</w:t>
      </w:r>
    </w:p>
    <w:p>
      <w:pPr>
        <w:pStyle w:val="Heading1"/>
      </w:pPr>
      <w:r>
        <w:t xml:space="preserve">5. Case study facilitation and model answers</w:t>
      </w:r>
    </w:p>
    <w:p>
      <w:pPr>
        <w:spacing w:after="120" w:before="0"/>
      </w:pPr>
      <w:r>
        <w:rPr>
          <w:b w:val="false"/>
          <w:bCs w:val="false"/>
          <w:i w:val="false"/>
          <w:iCs w:val="false"/>
          <w:sz w:val="21"/>
          <w:szCs w:val="21"/>
        </w:rPr>
        <w:t xml:space="preserve">Timing per case: 2 minutes reading, 3 minutes discussion, 2 minutes debrief. Show the situation slide during reading and discussion; switch to the outcome slide only after you have heard at least two tables. Model answers below are for you; the participant pack does not contain them.</w:t>
      </w:r>
    </w:p>
    <w:p>
      <w:pPr>
        <w:pStyle w:val="Heading2"/>
      </w:pPr>
      <w:r>
        <w:t xml:space="preserve">Case 1: The Tuesday morning knock</w:t>
      </w:r>
    </w:p>
    <w:p>
      <w:pPr>
        <w:spacing w:after="120" w:before="0"/>
      </w:pPr>
      <w:r>
        <w:rPr>
          <w:b/>
          <w:bCs/>
          <w:i w:val="false"/>
          <w:iCs w:val="false"/>
          <w:sz w:val="21"/>
          <w:szCs w:val="21"/>
        </w:rPr>
        <w:t xml:space="preserve">Set-up line.</w:t>
      </w:r>
      <w:r>
        <w:rPr>
          <w:b w:val="false"/>
          <w:bCs w:val="false"/>
          <w:i w:val="false"/>
          <w:iCs w:val="false"/>
          <w:sz w:val="21"/>
          <w:szCs w:val="21"/>
        </w:rPr>
        <w:t xml:space="preserve"> "It is 08:10 on a Tuesday. Two people you have never met are standing at reception, and the only name on the reception card is on holiday."</w:t>
      </w:r>
    </w:p>
    <w:p>
      <w:pPr>
        <w:pStyle w:val="Heading3"/>
      </w:pPr>
      <w:r>
        <w:t xml:space="preserve">Model answers</w:t>
      </w:r>
    </w:p>
    <w:p>
      <w:pPr>
        <w:pStyle w:val="ListParagraph"/>
        <w:numPr>
          <w:ilvl w:val="0"/>
          <w:numId w:val="3"/>
        </w:numPr>
        <w:spacing w:after="80"/>
      </w:pPr>
      <w:r>
        <w:rPr>
          <w:b/>
          <w:bCs/>
          <w:i w:val="false"/>
          <w:iCs w:val="false"/>
          <w:sz w:val="21"/>
          <w:szCs w:val="21"/>
        </w:rPr>
        <w:t xml:space="preserve">First 30 minutes.</w:t>
      </w:r>
      <w:r>
        <w:rPr>
          <w:b w:val="false"/>
          <w:bCs w:val="false"/>
          <w:i w:val="false"/>
          <w:iCs w:val="false"/>
          <w:sz w:val="21"/>
          <w:szCs w:val="21"/>
        </w:rPr>
        <w:t xml:space="preserve"> Reception verifies credentials, calls the Audit Response Lead, then the deputy, then the Site Head, and stays with the auditors. Within 15 minutes: audit room, notifications (site head, QA/RA, corporate, legal), request log open, scribe and runner assigned, back room stood up. Opening meeting by minute 30. In the case, none of this existed because the reception instruction (Exhibit 1A) named one person and no deputy.</w:t>
      </w:r>
    </w:p>
    <w:p>
      <w:pPr>
        <w:pStyle w:val="ListParagraph"/>
        <w:numPr>
          <w:ilvl w:val="0"/>
          <w:numId w:val="3"/>
        </w:numPr>
        <w:spacing w:after="80"/>
      </w:pPr>
      <w:r>
        <w:rPr>
          <w:b/>
          <w:bCs/>
          <w:i w:val="false"/>
          <w:iCs w:val="false"/>
          <w:sz w:val="21"/>
          <w:szCs w:val="21"/>
        </w:rPr>
        <w:t xml:space="preserve">Ranking.</w:t>
      </w:r>
      <w:r>
        <w:rPr>
          <w:b w:val="false"/>
          <w:bCs w:val="false"/>
          <w:i w:val="false"/>
          <w:iCs w:val="false"/>
          <w:sz w:val="21"/>
          <w:szCs w:val="21"/>
        </w:rPr>
        <w:t xml:space="preserve"> The notified body graded calibration (7.6) as major because product had shipped after the due date with no assessment of what an out-of-tolerance torque could mean for patients. The change-control gap (7.3.9 / 7.5.6) and the supplier gap (7.4.1) were minors, but both trace to the same root: change without assessment. A table that ranks the supplier agreement first is defensible; steer to why the notified body chose calibration: shipped product.</w:t>
      </w:r>
    </w:p>
    <w:p>
      <w:pPr>
        <w:pStyle w:val="ListParagraph"/>
        <w:numPr>
          <w:ilvl w:val="0"/>
          <w:numId w:val="3"/>
        </w:numPr>
        <w:spacing w:after="80"/>
      </w:pPr>
      <w:r>
        <w:rPr>
          <w:b/>
          <w:bCs/>
          <w:i w:val="false"/>
          <w:iCs w:val="false"/>
          <w:sz w:val="21"/>
          <w:szCs w:val="21"/>
        </w:rPr>
        <w:t xml:space="preserve">The delay.</w:t>
      </w:r>
      <w:r>
        <w:rPr>
          <w:b w:val="false"/>
          <w:bCs w:val="false"/>
          <w:i w:val="false"/>
          <w:iCs w:val="false"/>
          <w:sz w:val="21"/>
          <w:szCs w:val="21"/>
        </w:rPr>
        <w:t xml:space="preserve"> It told the auditors the QMS depends on individuals, not a system; that the site had never rehearsed; and that reception was not part of the QMS. The report recorded the delay and reminded the firm that refusal is grounds for suspension. Fifty minutes was not refusal, but it framed everything that followed.</w:t>
      </w:r>
    </w:p>
    <w:p>
      <w:pPr>
        <w:pStyle w:val="ListParagraph"/>
        <w:numPr>
          <w:ilvl w:val="0"/>
          <w:numId w:val="3"/>
        </w:numPr>
        <w:spacing w:after="80"/>
      </w:pPr>
      <w:r>
        <w:rPr>
          <w:b/>
          <w:bCs/>
          <w:i w:val="false"/>
          <w:iCs w:val="false"/>
          <w:sz w:val="21"/>
          <w:szCs w:val="21"/>
        </w:rPr>
        <w:t xml:space="preserve">Exhibit 1C.</w:t>
      </w:r>
      <w:r>
        <w:rPr>
          <w:b w:val="false"/>
          <w:bCs w:val="false"/>
          <w:i w:val="false"/>
          <w:iCs w:val="false"/>
          <w:sz w:val="21"/>
          <w:szCs w:val="21"/>
        </w:rPr>
        <w:t xml:space="preserve"> The design authority (or design owner) and the risk management owner should have been mandatory signatures; the RA function should have assessed whether the change was significant under the notified body agreement. With those signatures required, the change could not have been closed with blank fields, and the dispensing process would have been assessed for design and risk impact before release.</w:t>
      </w:r>
    </w:p>
    <w:p>
      <w:pPr>
        <w:spacing w:after="120" w:before="0"/>
      </w:pPr>
      <w:r>
        <w:rPr>
          <w:b/>
          <w:bCs/>
          <w:i w:val="false"/>
          <w:iCs w:val="false"/>
          <w:sz w:val="21"/>
          <w:szCs w:val="21"/>
        </w:rPr>
        <w:t xml:space="preserve">Actual outcome.</w:t>
      </w:r>
      <w:r>
        <w:rPr>
          <w:b w:val="false"/>
          <w:bCs w:val="false"/>
          <w:i w:val="false"/>
          <w:iCs w:val="false"/>
          <w:sz w:val="21"/>
          <w:szCs w:val="21"/>
        </w:rPr>
        <w:t xml:space="preserve"> Major: 7.6. Minor: 7.3.9 / 7.5.6. Minor: 7.4.1. Observation on delayed access. Corrective actions: reception script and 24/7 roster with deputies; calibration recall with quarantine at due date; change-control form with mandatory design and risk impact section; supplier agreement template with access, change notification and deviation reporting clauses; annual mock unannounced audit.</w:t>
      </w:r>
    </w:p>
    <w:p>
      <w:pPr>
        <w:spacing w:after="120" w:before="0"/>
      </w:pPr>
      <w:r>
        <w:rPr>
          <w:b/>
          <w:bCs/>
          <w:i w:val="false"/>
          <w:iCs w:val="false"/>
          <w:sz w:val="21"/>
          <w:szCs w:val="21"/>
        </w:rPr>
        <w:t xml:space="preserve">Lesson to land.</w:t>
      </w:r>
      <w:r>
        <w:rPr>
          <w:b w:val="false"/>
          <w:bCs w:val="false"/>
          <w:i w:val="false"/>
          <w:iCs w:val="false"/>
          <w:sz w:val="21"/>
          <w:szCs w:val="21"/>
        </w:rPr>
        <w:t xml:space="preserve"> The auditors formed their view of the QMS in the lobby. Everything after that confirmed it.</w:t>
      </w:r>
    </w:p>
    <w:p>
      <w:pPr>
        <w:spacing w:after="120" w:before="0"/>
      </w:pPr>
      <w:r>
        <w:rPr>
          <w:b/>
          <w:bCs/>
          <w:i w:val="false"/>
          <w:iCs w:val="false"/>
          <w:sz w:val="21"/>
          <w:szCs w:val="21"/>
        </w:rPr>
        <w:t xml:space="preserve">If the room is quiet.</w:t>
      </w:r>
      <w:r>
        <w:rPr>
          <w:b w:val="false"/>
          <w:bCs w:val="false"/>
          <w:i w:val="false"/>
          <w:iCs w:val="false"/>
          <w:sz w:val="21"/>
          <w:szCs w:val="21"/>
        </w:rPr>
        <w:t xml:space="preserve"> Ask: "Who has a deputy named at reception today? Who has checked it since the last holiday shutdown?"</w:t>
      </w:r>
    </w:p>
    <w:p>
      <w:pPr>
        <w:pStyle w:val="Heading2"/>
      </w:pPr>
      <w:r>
        <w:t xml:space="preserve">Case 2: The supplier they visited first</w:t>
      </w:r>
    </w:p>
    <w:p>
      <w:pPr>
        <w:spacing w:after="120" w:before="0"/>
      </w:pPr>
      <w:r>
        <w:rPr>
          <w:b/>
          <w:bCs/>
          <w:i w:val="false"/>
          <w:iCs w:val="false"/>
          <w:sz w:val="21"/>
          <w:szCs w:val="21"/>
        </w:rPr>
        <w:t xml:space="preserve">Set-up line.</w:t>
      </w:r>
      <w:r>
        <w:rPr>
          <w:b w:val="false"/>
          <w:bCs w:val="false"/>
          <w:i w:val="false"/>
          <w:iCs w:val="false"/>
          <w:sz w:val="21"/>
          <w:szCs w:val="21"/>
        </w:rPr>
        <w:t xml:space="preserve"> "Annex IX §3.4 says the notified body may audit your suppliers and subcontractors unannounced. This company had read that sentence. Its subcontractor had not."</w:t>
      </w:r>
    </w:p>
    <w:p>
      <w:pPr>
        <w:pStyle w:val="Heading3"/>
      </w:pPr>
      <w:r>
        <w:t xml:space="preserve">Model answers</w:t>
      </w:r>
    </w:p>
    <w:p>
      <w:pPr>
        <w:pStyle w:val="ListParagraph"/>
        <w:numPr>
          <w:ilvl w:val="0"/>
          <w:numId w:val="4"/>
        </w:numPr>
        <w:spacing w:after="80"/>
      </w:pPr>
      <w:r>
        <w:rPr>
          <w:b/>
          <w:bCs/>
          <w:i w:val="false"/>
          <w:iCs w:val="false"/>
          <w:sz w:val="21"/>
          <w:szCs w:val="21"/>
        </w:rPr>
        <w:t xml:space="preserve">Whose audit.</w:t>
      </w:r>
      <w:r>
        <w:rPr>
          <w:b w:val="false"/>
          <w:bCs w:val="false"/>
          <w:i w:val="false"/>
          <w:iCs w:val="false"/>
          <w:sz w:val="21"/>
          <w:szCs w:val="21"/>
        </w:rPr>
        <w:t xml:space="preserve"> The legal manufacturer's. The certificate holder is audited wherever its device is made; the findings were issued to the manufacturer, not the subcontractor. Tables that blame the subcontractor need to be steered: the subcontractor behaved exactly as its contract (Exhibit 2A) told it to.</w:t>
      </w:r>
    </w:p>
    <w:p>
      <w:pPr>
        <w:pStyle w:val="ListParagraph"/>
        <w:numPr>
          <w:ilvl w:val="0"/>
          <w:numId w:val="4"/>
        </w:numPr>
        <w:spacing w:after="80"/>
      </w:pPr>
      <w:r>
        <w:rPr>
          <w:b/>
          <w:bCs/>
          <w:i w:val="false"/>
          <w:iCs w:val="false"/>
          <w:sz w:val="21"/>
          <w:szCs w:val="21"/>
        </w:rPr>
        <w:t xml:space="preserve">4.1.5.</w:t>
      </w:r>
      <w:r>
        <w:rPr>
          <w:b w:val="false"/>
          <w:bCs w:val="false"/>
          <w:i w:val="false"/>
          <w:iCs w:val="false"/>
          <w:sz w:val="21"/>
          <w:szCs w:val="21"/>
        </w:rPr>
        <w:t xml:space="preserve"> The manufacturer must control outsourced processes in proportion to risk and retain responsibility for conformity; the controls are documented in quality agreements and verified. Control failed at three points: the agreement did not require unannounced access or prompt deviation reporting in practice; the manufacturer never verified the deviation logs; and the manufacturer had not arranged notified body access or informed the notified body of the campaign calendar.</w:t>
      </w:r>
    </w:p>
    <w:p>
      <w:pPr>
        <w:pStyle w:val="ListParagraph"/>
        <w:numPr>
          <w:ilvl w:val="0"/>
          <w:numId w:val="4"/>
        </w:numPr>
        <w:spacing w:after="80"/>
      </w:pPr>
      <w:r>
        <w:rPr>
          <w:b/>
          <w:bCs/>
          <w:i w:val="false"/>
          <w:iCs w:val="false"/>
          <w:sz w:val="21"/>
          <w:szCs w:val="21"/>
        </w:rPr>
        <w:t xml:space="preserve">Exhibit 2B.</w:t>
      </w:r>
      <w:r>
        <w:rPr>
          <w:b w:val="false"/>
          <w:bCs w:val="false"/>
          <w:i w:val="false"/>
          <w:iCs w:val="false"/>
          <w:sz w:val="21"/>
          <w:szCs w:val="21"/>
        </w:rPr>
        <w:t xml:space="preserve"> "Deviations reported: 0" was read as good news when it was an absence of data. A scorecard only measures what the supplier sends. Measure instead: deviations raised at the supplier (from their log, sampled quarterly), time from deviation to manufacturer notification, DHR review findings, and audit findings, with the manufacturer pulling the data rather than receiving it.</w:t>
      </w:r>
    </w:p>
    <w:p>
      <w:pPr>
        <w:pStyle w:val="ListParagraph"/>
        <w:numPr>
          <w:ilvl w:val="0"/>
          <w:numId w:val="4"/>
        </w:numPr>
        <w:spacing w:after="80"/>
      </w:pPr>
      <w:r>
        <w:rPr>
          <w:b/>
          <w:bCs/>
          <w:i w:val="false"/>
          <w:iCs w:val="false"/>
          <w:sz w:val="21"/>
          <w:szCs w:val="21"/>
        </w:rPr>
        <w:t xml:space="preserve">Calendars and access.</w:t>
      </w:r>
      <w:r>
        <w:rPr>
          <w:b w:val="false"/>
          <w:bCs w:val="false"/>
          <w:i w:val="false"/>
          <w:iCs w:val="false"/>
          <w:sz w:val="21"/>
          <w:szCs w:val="21"/>
        </w:rPr>
        <w:t xml:space="preserve"> Inform the notified body of the campaign calendar and shutdown periods for each named site; ensure the subcontractor's gate protocol names the notified body and the manufacturer's 24/7 contacts in both time zones; agree in the quality agreement that the subcontractor admits the notified body and regulators without notice.</w:t>
      </w:r>
    </w:p>
    <w:p>
      <w:pPr>
        <w:pStyle w:val="ListParagraph"/>
        <w:numPr>
          <w:ilvl w:val="0"/>
          <w:numId w:val="4"/>
        </w:numPr>
        <w:spacing w:after="80"/>
      </w:pPr>
      <w:r>
        <w:rPr>
          <w:b/>
          <w:bCs/>
          <w:i w:val="false"/>
          <w:iCs w:val="false"/>
          <w:sz w:val="21"/>
          <w:szCs w:val="21"/>
        </w:rPr>
        <w:t xml:space="preserve">Rewritten clause 7.2.</w:t>
      </w:r>
      <w:r>
        <w:rPr>
          <w:b w:val="false"/>
          <w:bCs w:val="false"/>
          <w:i w:val="false"/>
          <w:iCs w:val="false"/>
          <w:sz w:val="21"/>
          <w:szCs w:val="21"/>
        </w:rPr>
        <w:t xml:space="preserve"> Something like: "The Supplier shall grant the Manufacturer, the Manufacturer's notified body and any competent regulatory authority access to its facilities, records and personnel relating to the Products at any time during operating hours, with or without notice. The Supplier shall notify the Manufacturer of any deviation, nonconformity or change affecting the Products within 24 hours of identification and shall not disposition affected product without the Manufacturer's written approval."</w:t>
      </w:r>
    </w:p>
    <w:p>
      <w:pPr>
        <w:spacing w:after="120" w:before="0"/>
      </w:pPr>
      <w:r>
        <w:rPr>
          <w:b/>
          <w:bCs/>
          <w:i w:val="false"/>
          <w:iCs w:val="false"/>
          <w:sz w:val="21"/>
          <w:szCs w:val="21"/>
        </w:rPr>
        <w:t xml:space="preserve">Actual outcome.</w:t>
      </w:r>
      <w:r>
        <w:rPr>
          <w:b w:val="false"/>
          <w:bCs w:val="false"/>
          <w:i w:val="false"/>
          <w:iCs w:val="false"/>
          <w:sz w:val="21"/>
          <w:szCs w:val="21"/>
        </w:rPr>
        <w:t xml:space="preserve"> Major to the manufacturer: 4.1.5 / 7.4. Minor: 7.5.6 (seal excursion not evaluated for revalidation, affected lots not assessed). Condition: retrospective review of all lots from the affected period before the certificate was maintained. Corrective actions: quality agreement rewritten; notified body informed of the production calendar; supplier oversight changed to quarterly data verification; joint mock unannounced audit at the subcontractor; subcontractor front-desk protocol names the notified body.</w:t>
      </w:r>
    </w:p>
    <w:p>
      <w:pPr>
        <w:spacing w:after="120" w:before="0"/>
      </w:pPr>
      <w:r>
        <w:rPr>
          <w:b/>
          <w:bCs/>
          <w:i w:val="false"/>
          <w:iCs w:val="false"/>
          <w:sz w:val="21"/>
          <w:szCs w:val="21"/>
        </w:rPr>
        <w:t xml:space="preserve">Lesson to land.</w:t>
      </w:r>
      <w:r>
        <w:rPr>
          <w:b w:val="false"/>
          <w:bCs w:val="false"/>
          <w:i w:val="false"/>
          <w:iCs w:val="false"/>
          <w:sz w:val="21"/>
          <w:szCs w:val="21"/>
        </w:rPr>
        <w:t xml:space="preserve"> Your certificate travels to your critical suppliers. So does your audit.</w:t>
      </w:r>
    </w:p>
    <w:p>
      <w:pPr>
        <w:spacing w:after="120" w:before="0"/>
      </w:pPr>
      <w:r>
        <w:rPr>
          <w:b/>
          <w:bCs/>
          <w:i w:val="false"/>
          <w:iCs w:val="false"/>
          <w:sz w:val="21"/>
          <w:szCs w:val="21"/>
        </w:rPr>
        <w:t xml:space="preserve">If the room is quiet.</w:t>
      </w:r>
      <w:r>
        <w:rPr>
          <w:b w:val="false"/>
          <w:bCs w:val="false"/>
          <w:i w:val="false"/>
          <w:iCs w:val="false"/>
          <w:sz w:val="21"/>
          <w:szCs w:val="21"/>
        </w:rPr>
        <w:t xml:space="preserve"> Ask: "Who has a quality agreement that lets your notified body walk into your supplier unannounced, and gives the supplier a name to call at 3 a.m.?"</w:t>
      </w:r>
    </w:p>
    <w:p>
      <w:pPr>
        <w:pStyle w:val="Heading2"/>
      </w:pPr>
      <w:r>
        <w:t xml:space="preserve">Case 3: The first inspection under the QMSR</w:t>
      </w:r>
    </w:p>
    <w:p>
      <w:pPr>
        <w:spacing w:after="120" w:before="0"/>
      </w:pPr>
      <w:r>
        <w:rPr>
          <w:b/>
          <w:bCs/>
          <w:i w:val="false"/>
          <w:iCs w:val="false"/>
          <w:sz w:val="21"/>
          <w:szCs w:val="21"/>
        </w:rPr>
        <w:t xml:space="preserve">Set-up line.</w:t>
      </w:r>
      <w:r>
        <w:rPr>
          <w:b w:val="false"/>
          <w:bCs w:val="false"/>
          <w:i w:val="false"/>
          <w:iCs w:val="false"/>
          <w:sz w:val="21"/>
          <w:szCs w:val="21"/>
        </w:rPr>
        <w:t xml:space="preserve"> "This is the inspection every US site will have between now and 2028. The company had a certificate, a clean 2021 inspection, and a gap assessment that said nothing changes."</w:t>
      </w:r>
    </w:p>
    <w:p>
      <w:pPr>
        <w:pStyle w:val="Heading3"/>
      </w:pPr>
      <w:r>
        <w:t xml:space="preserve">Model answers</w:t>
      </w:r>
    </w:p>
    <w:p>
      <w:pPr>
        <w:pStyle w:val="ListParagraph"/>
        <w:numPr>
          <w:ilvl w:val="0"/>
          <w:numId w:val="5"/>
        </w:numPr>
        <w:spacing w:after="80"/>
      </w:pPr>
      <w:r>
        <w:rPr>
          <w:b/>
          <w:bCs/>
          <w:i w:val="false"/>
          <w:iCs w:val="false"/>
          <w:sz w:val="21"/>
          <w:szCs w:val="21"/>
        </w:rPr>
        <w:t xml:space="preserve">The mindset.</w:t>
      </w:r>
      <w:r>
        <w:rPr>
          <w:b w:val="false"/>
          <w:bCs w:val="false"/>
          <w:i w:val="false"/>
          <w:iCs w:val="false"/>
          <w:sz w:val="21"/>
          <w:szCs w:val="21"/>
        </w:rPr>
        <w:t xml:space="preserve"> "We are certified, therefore we are compliant" plus a procedure frozen in 2019 (Exhibit 3A). The standoff cost forty minutes of goodwill and put the investigator on notice that the firm's procedures were out of date; it also meant the records were produced under pressure rather than presented with context.</w:t>
      </w:r>
    </w:p>
    <w:p>
      <w:pPr>
        <w:pStyle w:val="ListParagraph"/>
        <w:numPr>
          <w:ilvl w:val="0"/>
          <w:numId w:val="5"/>
        </w:numPr>
        <w:spacing w:after="80"/>
      </w:pPr>
      <w:r>
        <w:rPr>
          <w:b/>
          <w:bCs/>
          <w:i w:val="false"/>
          <w:iCs w:val="false"/>
          <w:sz w:val="21"/>
          <w:szCs w:val="21"/>
        </w:rPr>
        <w:t xml:space="preserve">QMSR-specific versus ISO.</w:t>
      </w:r>
      <w:r>
        <w:rPr>
          <w:b w:val="false"/>
          <w:bCs w:val="false"/>
          <w:i w:val="false"/>
          <w:iCs w:val="false"/>
          <w:sz w:val="21"/>
          <w:szCs w:val="21"/>
        </w:rPr>
        <w:t xml:space="preserve"> Genuinely QMSR-specific: the UDI field in complaint records (820.35(a)) and the labeling content verification record (820.45). Plain ISO 13485 failures the firm was already certified against: undocumented reportability decisions (8.2.2 / 8.2.3), CAPA effectiveness (8.5.2), management review inputs and overdue actions (5.6). The certificate did not make them true; the notified body had simply not sampled them.</w:t>
      </w:r>
    </w:p>
    <w:p>
      <w:pPr>
        <w:pStyle w:val="ListParagraph"/>
        <w:numPr>
          <w:ilvl w:val="0"/>
          <w:numId w:val="5"/>
        </w:numPr>
        <w:spacing w:after="80"/>
      </w:pPr>
      <w:r>
        <w:rPr>
          <w:b/>
          <w:bCs/>
          <w:i w:val="false"/>
          <w:iCs w:val="false"/>
          <w:sz w:val="21"/>
          <w:szCs w:val="21"/>
        </w:rPr>
        <w:t xml:space="preserve">Exhibit 3C.</w:t>
      </w:r>
      <w:r>
        <w:rPr>
          <w:b w:val="false"/>
          <w:bCs w:val="false"/>
          <w:i w:val="false"/>
          <w:iCs w:val="false"/>
          <w:sz w:val="21"/>
          <w:szCs w:val="21"/>
        </w:rPr>
        <w:t xml:space="preserve"> Root cause is a person, not a system ("operator did not follow"); no why. The corrective action is retraining alone. Effectiveness was declared three days after training with no data, no defined criteria and no observation period. An acceptable check: defined criteria (e.g., zero cleaning-validation deviations over 90 days and two consecutive successful audits of the process), a defined date, data attached, and independent sign-off by someone other than the CAPA owner.</w:t>
      </w:r>
    </w:p>
    <w:p>
      <w:pPr>
        <w:pStyle w:val="ListParagraph"/>
        <w:numPr>
          <w:ilvl w:val="0"/>
          <w:numId w:val="5"/>
        </w:numPr>
        <w:spacing w:after="80"/>
      </w:pPr>
      <w:r>
        <w:rPr>
          <w:b/>
          <w:bCs/>
          <w:i w:val="false"/>
          <w:iCs w:val="false"/>
          <w:sz w:val="21"/>
          <w:szCs w:val="21"/>
        </w:rPr>
        <w:t xml:space="preserve">483 response paragraph.</w:t>
      </w:r>
      <w:r>
        <w:rPr>
          <w:b w:val="false"/>
          <w:bCs w:val="false"/>
          <w:i w:val="false"/>
          <w:iCs w:val="false"/>
          <w:sz w:val="21"/>
          <w:szCs w:val="21"/>
        </w:rPr>
        <w:t xml:space="preserve"> Acceptable answers acknowledge the observation without argument; state the correction (reopen CAPA-24-031 and the second CAPA; perform a proper root cause analysis of the cleaning-validation failures); state the corrective action (revise the CAPA procedure so that effectiveness requires defined criteria, an observation period, data and independent verification); state the systemic check (review all CAPAs closed in the past 24 months against the new criteria, with a completion date); and commit to providing evidence by a date. Hear one table read theirs aloud.</w:t>
      </w:r>
    </w:p>
    <w:p>
      <w:pPr>
        <w:spacing w:after="120" w:before="0"/>
      </w:pPr>
      <w:r>
        <w:rPr>
          <w:b/>
          <w:bCs/>
          <w:i w:val="false"/>
          <w:iCs w:val="false"/>
          <w:sz w:val="21"/>
          <w:szCs w:val="21"/>
        </w:rPr>
        <w:t xml:space="preserve">Actual outcome.</w:t>
      </w:r>
      <w:r>
        <w:rPr>
          <w:b w:val="false"/>
          <w:bCs w:val="false"/>
          <w:i w:val="false"/>
          <w:iCs w:val="false"/>
          <w:sz w:val="21"/>
          <w:szCs w:val="21"/>
        </w:rPr>
        <w:t xml:space="preserve"> Form FDA 483 with four observations: complaint handling (reportability decisions not documented; records incomplete; 8.2.2 and 820.35(a)); CAPA effectiveness not verified (8.5.2); management review inputs incomplete and actions overdue (5.6); labeling content verification not documented (820.45). Response filed in 12 business days; inspection classified VAI. Corrective actions: proper QMSR crosswalk; inspection-readiness procedure rewritten so that management review, internal audit and supplier audit records are producible and written to be read; complaint form with UDI, decision tree and mandatory rationale; CAPA effectiveness with data and independent sign-off; mock FDA inspection structured around the QMSR.</w:t>
      </w:r>
    </w:p>
    <w:p>
      <w:pPr>
        <w:spacing w:after="120" w:before="0"/>
      </w:pPr>
      <w:r>
        <w:rPr>
          <w:b/>
          <w:bCs/>
          <w:i w:val="false"/>
          <w:iCs w:val="false"/>
          <w:sz w:val="21"/>
          <w:szCs w:val="21"/>
        </w:rPr>
        <w:t xml:space="preserve">Lesson to land.</w:t>
      </w:r>
      <w:r>
        <w:rPr>
          <w:b w:val="false"/>
          <w:bCs w:val="false"/>
          <w:i w:val="false"/>
          <w:iCs w:val="false"/>
          <w:sz w:val="21"/>
          <w:szCs w:val="21"/>
        </w:rPr>
        <w:t xml:space="preserve"> "We are ISO certified, nothing changes" was the most expensive sentence of the year. Add: "written to be read" does not mean sanitized; candid records with closed actions reassure an investigator, glossy empty ones do not.</w:t>
      </w:r>
    </w:p>
    <w:p>
      <w:pPr>
        <w:pStyle w:val="Heading2"/>
      </w:pPr>
      <w:r>
        <w:t xml:space="preserve">Case 4: Three sites, three QMSs, one certificate</w:t>
      </w:r>
    </w:p>
    <w:p>
      <w:pPr>
        <w:spacing w:after="120" w:before="0"/>
      </w:pPr>
      <w:r>
        <w:rPr>
          <w:b/>
          <w:bCs/>
          <w:i w:val="false"/>
          <w:iCs w:val="false"/>
          <w:sz w:val="21"/>
          <w:szCs w:val="21"/>
        </w:rPr>
        <w:t xml:space="preserve">Set-up line.</w:t>
      </w:r>
      <w:r>
        <w:rPr>
          <w:b w:val="false"/>
          <w:bCs w:val="false"/>
          <w:i w:val="false"/>
          <w:iCs w:val="false"/>
          <w:sz w:val="21"/>
          <w:szCs w:val="21"/>
        </w:rPr>
        <w:t xml:space="preserve"> "Three good sites, three honest procedures, one certificate. The gap was between them."</w:t>
      </w:r>
    </w:p>
    <w:p>
      <w:pPr>
        <w:pStyle w:val="Heading3"/>
      </w:pPr>
      <w:r>
        <w:t xml:space="preserve">Model answers</w:t>
      </w:r>
    </w:p>
    <w:p>
      <w:pPr>
        <w:pStyle w:val="ListParagraph"/>
        <w:numPr>
          <w:ilvl w:val="0"/>
          <w:numId w:val="6"/>
        </w:numPr>
        <w:spacing w:after="80"/>
      </w:pPr>
      <w:r>
        <w:rPr>
          <w:b/>
          <w:bCs/>
          <w:i w:val="false"/>
          <w:iCs w:val="false"/>
          <w:sz w:val="21"/>
          <w:szCs w:val="21"/>
        </w:rPr>
        <w:t xml:space="preserve">Why training failed.</w:t>
      </w:r>
      <w:r>
        <w:rPr>
          <w:b w:val="false"/>
          <w:bCs w:val="false"/>
          <w:i w:val="false"/>
          <w:iCs w:val="false"/>
          <w:sz w:val="21"/>
          <w:szCs w:val="21"/>
        </w:rPr>
        <w:t xml:space="preserve"> The root cause was structural: three procedures, no single reportability decision tree, no shared timelines, a monthly review meeting incompatible with 10-day clocks (Exhibit 4A), and no global KPI for the German site (Exhibit 4C). Training addressed individual knowledge; the system made the late report inevitable regardless of how well-trained the individuals were.</w:t>
      </w:r>
    </w:p>
    <w:p>
      <w:pPr>
        <w:pStyle w:val="ListParagraph"/>
        <w:numPr>
          <w:ilvl w:val="0"/>
          <w:numId w:val="6"/>
        </w:numPr>
        <w:spacing w:after="80"/>
      </w:pPr>
      <w:r>
        <w:rPr>
          <w:b/>
          <w:bCs/>
          <w:i w:val="false"/>
          <w:iCs w:val="false"/>
          <w:sz w:val="21"/>
          <w:szCs w:val="21"/>
        </w:rPr>
        <w:t xml:space="preserve">A single global complaint process needs:</w:t>
      </w:r>
      <w:r>
        <w:rPr>
          <w:b w:val="false"/>
          <w:bCs w:val="false"/>
          <w:i w:val="false"/>
          <w:iCs w:val="false"/>
          <w:sz w:val="21"/>
          <w:szCs w:val="21"/>
        </w:rPr>
        <w:t xml:space="preserve"> one intake channel and one form; a reportability decision tree that carries every market's definitions and clocks; 48-hour triage so the shortest clock is always met; a country annex per market for authority, form and portal; one complaint system of record with global KPIs; defined roles including who signs reportability decisions at each site; and translation handled as controlled translations, not local variants.</w:t>
      </w:r>
    </w:p>
    <w:p>
      <w:pPr>
        <w:pStyle w:val="ListParagraph"/>
        <w:numPr>
          <w:ilvl w:val="0"/>
          <w:numId w:val="6"/>
        </w:numPr>
        <w:spacing w:after="80"/>
      </w:pPr>
      <w:r>
        <w:rPr>
          <w:b/>
          <w:bCs/>
          <w:i w:val="false"/>
          <w:iCs w:val="false"/>
          <w:sz w:val="21"/>
          <w:szCs w:val="21"/>
        </w:rPr>
        <w:t xml:space="preserve">Exhibit 4A.</w:t>
      </w:r>
      <w:r>
        <w:rPr>
          <w:b w:val="false"/>
          <w:bCs w:val="false"/>
          <w:i w:val="false"/>
          <w:iCs w:val="false"/>
          <w:sz w:val="21"/>
          <w:szCs w:val="21"/>
        </w:rPr>
        <w:t xml:space="preserve"> Monthly assessment cadence (incompatible with 2-, 10- and 15-day clocks); reference to MEDDEV 2.12/1 (MDD-era guidance, superseded by MDR vigilance requirements and MDCG guidance); reference to the MPG (replaced in Germany by the MPDG in 2021); no mention of non-EU markets at all; no named decision authority.</w:t>
      </w:r>
    </w:p>
    <w:p>
      <w:pPr>
        <w:pStyle w:val="ListParagraph"/>
        <w:numPr>
          <w:ilvl w:val="0"/>
          <w:numId w:val="6"/>
        </w:numPr>
        <w:spacing w:after="80"/>
      </w:pPr>
      <w:r>
        <w:rPr>
          <w:b/>
          <w:bCs/>
          <w:i w:val="false"/>
          <w:iCs w:val="false"/>
          <w:sz w:val="21"/>
          <w:szCs w:val="21"/>
        </w:rPr>
        <w:t xml:space="preserve">Matrix ownership.</w:t>
      </w:r>
      <w:r>
        <w:rPr>
          <w:b w:val="false"/>
          <w:bCs w:val="false"/>
          <w:i w:val="false"/>
          <w:iCs w:val="false"/>
          <w:sz w:val="21"/>
          <w:szCs w:val="21"/>
        </w:rPr>
        <w:t xml:space="preserve"> Global RA owns the matrix and its annual review; each row has a named owner for the requirement itself; the link to change control is that every regulatory-intelligence item generates a change request whose impact assessment must be completed within 30 days and must update the matrix, the annex and the procedure together.</w:t>
      </w:r>
    </w:p>
    <w:p>
      <w:pPr>
        <w:pStyle w:val="ListParagraph"/>
        <w:numPr>
          <w:ilvl w:val="0"/>
          <w:numId w:val="6"/>
        </w:numPr>
        <w:spacing w:after="80"/>
      </w:pPr>
      <w:r>
        <w:rPr>
          <w:b/>
          <w:bCs/>
          <w:i w:val="false"/>
          <w:iCs w:val="false"/>
          <w:sz w:val="21"/>
          <w:szCs w:val="21"/>
        </w:rPr>
        <w:t xml:space="preserve">Grade.</w:t>
      </w:r>
      <w:r>
        <w:rPr>
          <w:b w:val="false"/>
          <w:bCs w:val="false"/>
          <w:i w:val="false"/>
          <w:iCs w:val="false"/>
          <w:sz w:val="21"/>
          <w:szCs w:val="21"/>
        </w:rPr>
        <w:t xml:space="preserve"> Reporting to regulatory authorities (8.2.3) is a direct-impact clause: grade 3. The previous audit had raised complaint intake as a nonconformity and the corrective action had not worked, so it is a repeat: +1 = grade 4. A documented process did exist, so no further escalation. Grade 4 means the auditing organization notifies all five MDSAP regulators within five business days, and each may act independently.</w:t>
      </w:r>
    </w:p>
    <w:p>
      <w:pPr>
        <w:spacing w:after="120" w:before="0"/>
      </w:pPr>
      <w:r>
        <w:rPr>
          <w:b/>
          <w:bCs/>
          <w:i w:val="false"/>
          <w:iCs w:val="false"/>
          <w:sz w:val="21"/>
          <w:szCs w:val="21"/>
        </w:rPr>
        <w:t xml:space="preserve">Actual outcome.</w:t>
      </w:r>
      <w:r>
        <w:rPr>
          <w:b w:val="false"/>
          <w:bCs w:val="false"/>
          <w:i w:val="false"/>
          <w:iCs w:val="false"/>
          <w:sz w:val="21"/>
          <w:szCs w:val="21"/>
        </w:rPr>
        <w:t xml:space="preserve"> Grade 4 nonconformity against 8.2.3; the auditing organization notified the MDSAP regulators within five business days; Health Canada requested a corrective action plan; the notified body asked for a 24-month retrospective review of German-site complaints. Corrective actions: core-plus-annex architecture; one complaint system with a global decision tree and 48-hour triage; regulatory requirements matrix owned by Global RA and linked to change control; global management review with site KPIs; internal audits testing the interfaces between sites; legacy procedures retired on a 12-month plan.</w:t>
      </w:r>
    </w:p>
    <w:p>
      <w:pPr>
        <w:spacing w:after="120" w:before="0"/>
      </w:pPr>
      <w:r>
        <w:rPr>
          <w:b/>
          <w:bCs/>
          <w:i w:val="false"/>
          <w:iCs w:val="false"/>
          <w:sz w:val="21"/>
          <w:szCs w:val="21"/>
        </w:rPr>
        <w:t xml:space="preserve">Lesson to land.</w:t>
      </w:r>
      <w:r>
        <w:rPr>
          <w:b w:val="false"/>
          <w:bCs w:val="false"/>
          <w:i w:val="false"/>
          <w:iCs w:val="false"/>
          <w:sz w:val="21"/>
          <w:szCs w:val="21"/>
        </w:rPr>
        <w:t xml:space="preserve"> Harmonize the process, localize the annex, govern the interfaces.</w:t>
      </w:r>
    </w:p>
    <w:p>
      <w:pPr>
        <w:pStyle w:val="Heading2"/>
      </w:pPr>
      <w:r>
        <w:t xml:space="preserve">Across the four cases (case pack, last page)</w:t>
      </w:r>
    </w:p>
    <w:p>
      <w:pPr>
        <w:pStyle w:val="ListParagraph"/>
        <w:numPr>
          <w:ilvl w:val="0"/>
          <w:numId w:val="2"/>
        </w:numPr>
        <w:spacing w:after="60"/>
      </w:pPr>
      <w:r>
        <w:rPr>
          <w:b w:val="false"/>
          <w:bCs w:val="false"/>
          <w:i w:val="false"/>
          <w:iCs w:val="false"/>
          <w:sz w:val="21"/>
          <w:szCs w:val="21"/>
        </w:rPr>
        <w:t xml:space="preserve">The failure in every case: a decision nobody documented or a control nobody verified, discovered when an auditor followed product or a complaint through the system.</w:t>
      </w:r>
    </w:p>
    <w:p>
      <w:pPr>
        <w:pStyle w:val="ListParagraph"/>
        <w:numPr>
          <w:ilvl w:val="0"/>
          <w:numId w:val="2"/>
        </w:numPr>
        <w:spacing w:after="60"/>
      </w:pPr>
      <w:r>
        <w:rPr>
          <w:b w:val="false"/>
          <w:bCs w:val="false"/>
          <w:i w:val="false"/>
          <w:iCs w:val="false"/>
          <w:sz w:val="21"/>
          <w:szCs w:val="21"/>
        </w:rPr>
        <w:t xml:space="preserve">The earliest moment: Case 1, writing the reception instruction; Case 2, signing clause 7.2; Case 3, the 2025 gap assessment; Case 4, closing the grade 2 finding with training.</w:t>
      </w:r>
    </w:p>
    <w:p>
      <w:pPr>
        <w:pStyle w:val="Heading1"/>
      </w:pPr>
      <w:r>
        <w:t xml:space="preserve">6. The poll and the self-test</w:t>
      </w:r>
    </w:p>
    <w:p>
      <w:pPr>
        <w:pStyle w:val="ListParagraph"/>
        <w:numPr>
          <w:ilvl w:val="0"/>
          <w:numId w:val="2"/>
        </w:numPr>
        <w:spacing w:after="60"/>
      </w:pPr>
      <w:r>
        <w:rPr>
          <w:b w:val="false"/>
          <w:bCs w:val="false"/>
          <w:i w:val="false"/>
          <w:iCs w:val="false"/>
          <w:sz w:val="21"/>
          <w:szCs w:val="21"/>
        </w:rPr>
        <w:t xml:space="preserve">Poll (slide 3): three shows of hands; write counts on the flipchart. After question 3 say: "That is the test an unannounced auditor runs in the first hour, whether or not they call it that."</w:t>
      </w:r>
    </w:p>
    <w:p>
      <w:pPr>
        <w:pStyle w:val="ListParagraph"/>
        <w:numPr>
          <w:ilvl w:val="0"/>
          <w:numId w:val="2"/>
        </w:numPr>
        <w:spacing w:after="60"/>
      </w:pPr>
      <w:r>
        <w:rPr>
          <w:b w:val="false"/>
          <w:bCs w:val="false"/>
          <w:i w:val="false"/>
          <w:iCs w:val="false"/>
          <w:sz w:val="21"/>
          <w:szCs w:val="21"/>
        </w:rPr>
        <w:t xml:space="preserve">Self-test (slide 35): silent scoring; ask for 9–10 hands only; compare to the poll. Do not ask for low scores publicly.</w:t>
      </w:r>
    </w:p>
    <w:p>
      <w:pPr>
        <w:pStyle w:val="ListParagraph"/>
        <w:numPr>
          <w:ilvl w:val="0"/>
          <w:numId w:val="2"/>
        </w:numPr>
        <w:spacing w:after="60"/>
      </w:pPr>
      <w:r>
        <w:rPr>
          <w:b w:val="false"/>
          <w:bCs w:val="false"/>
          <w:i w:val="false"/>
          <w:iCs w:val="false"/>
          <w:sz w:val="21"/>
          <w:szCs w:val="21"/>
        </w:rPr>
        <w:t xml:space="preserve">Close the loop: "Would anyone change their answer to question 3 now?"</w:t>
      </w:r>
    </w:p>
    <w:p>
      <w:pPr>
        <w:pStyle w:val="Heading1"/>
      </w:pPr>
      <w:r>
        <w:t xml:space="preserve">7. Q&amp;A preparation</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3600"/>
        <w:gridCol w:w="6480"/>
      </w:tblGrid>
      <w:tr>
        <w:trPr>
          <w:tblHeader/>
        </w:trPr>
        <w:tc>
          <w:tcPr>
            <w:tcW w:type="dxa" w:w="3600"/>
            <w:shd w:fill="0F2A4A" w:color="auto" w:val="clear"/>
            <w:tcMar>
              <w:top w:type="dxa" w:w="70"/>
              <w:left w:type="dxa" w:w="100"/>
              <w:bottom w:type="dxa" w:w="70"/>
              <w:right w:type="dxa" w:w="100"/>
            </w:tcMar>
            <w:vAlign w:val="top"/>
          </w:tcPr>
          <w:p>
            <w:pPr>
              <w:spacing w:after="40"/>
            </w:pPr>
            <w:r>
              <w:rPr>
                <w:b/>
                <w:bCs/>
                <w:i w:val="false"/>
                <w:iCs w:val="false"/>
                <w:color w:val="FFFFFF"/>
                <w:sz w:val="18"/>
                <w:szCs w:val="18"/>
              </w:rPr>
              <w:t xml:space="preserve">Likely question</w:t>
            </w:r>
          </w:p>
        </w:tc>
        <w:tc>
          <w:tcPr>
            <w:tcW w:type="dxa" w:w="6480"/>
            <w:shd w:fill="0F2A4A" w:color="auto" w:val="clear"/>
            <w:tcMar>
              <w:top w:type="dxa" w:w="70"/>
              <w:left w:type="dxa" w:w="100"/>
              <w:bottom w:type="dxa" w:w="70"/>
              <w:right w:type="dxa" w:w="100"/>
            </w:tcMar>
            <w:vAlign w:val="top"/>
          </w:tcPr>
          <w:p>
            <w:pPr>
              <w:spacing w:after="40"/>
            </w:pPr>
            <w:r>
              <w:rPr>
                <w:b/>
                <w:bCs/>
                <w:i w:val="false"/>
                <w:iCs w:val="false"/>
                <w:color w:val="FFFFFF"/>
                <w:sz w:val="18"/>
                <w:szCs w:val="18"/>
              </w:rPr>
              <w:t xml:space="preserve">Suggested answer</w:t>
            </w:r>
          </w:p>
        </w:tc>
      </w:tr>
      <w:tr>
        <w:tc>
          <w:tcPr>
            <w:tcW w:type="dxa" w:w="36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Can we refuse or postpone an unannounced notified body audit?</w:t>
            </w:r>
          </w:p>
        </w:tc>
        <w:tc>
          <w:tcPr>
            <w:tcW w:type="dxa" w:w="64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Refusal or obstruction is grounds for certificate suspension under the certification agreement and the MDR. Delay is recorded and read as concealment. You can and should insist on identity verification, EHS briefing and escort; you cannot insist on a different day.</w:t>
            </w:r>
          </w:p>
        </w:tc>
      </w:tr>
      <w:tr>
        <w:tc>
          <w:tcPr>
            <w:tcW w:type="dxa" w:w="36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Do we have to let FDA take photographs?</w:t>
            </w:r>
          </w:p>
        </w:tc>
        <w:tc>
          <w:tcPr>
            <w:tcW w:type="dxa" w:w="64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FDA asserts authority to take photographs during inspections and firms generally allow it, sometimes with agreed restrictions (e.g., no proprietary equipment). Agree your position with regulatory counsel before the day and record every photograph taken.</w:t>
            </w:r>
          </w:p>
        </w:tc>
      </w:tr>
      <w:tr>
        <w:tc>
          <w:tcPr>
            <w:tcW w:type="dxa" w:w="36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Should we show an auditor a record we know is deficient?</w:t>
            </w:r>
          </w:p>
        </w:tc>
        <w:tc>
          <w:tcPr>
            <w:tcW w:type="dxa" w:w="64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Yes, if it is requested. Provide it, note the deficiency yourself, and describe what you are doing about it. Withholding or altering records converts a finding into a data integrity issue, which is far worse.</w:t>
            </w:r>
          </w:p>
        </w:tc>
      </w:tr>
      <w:tr>
        <w:tc>
          <w:tcPr>
            <w:tcW w:type="dxa" w:w="36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How do we keep a global complaint process fast enough for 48-hour triage?</w:t>
            </w:r>
          </w:p>
        </w:tc>
        <w:tc>
          <w:tcPr>
            <w:tcW w:type="dxa" w:w="64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Single intake, a trained triage role on every site with a deputy, a decision tree with the shortest clock as the default, and a KPI for time to decision reviewed weekly.</w:t>
            </w:r>
          </w:p>
        </w:tc>
      </w:tr>
      <w:tr>
        <w:tc>
          <w:tcPr>
            <w:tcW w:type="dxa" w:w="36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Are management review records really open to FDA now?</w:t>
            </w:r>
          </w:p>
        </w:tc>
        <w:tc>
          <w:tcPr>
            <w:tcW w:type="dxa" w:w="64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The QMSR did not carry over the former 820.180(c) exemption; plan for investigators to request management review, internal audit and supplier audit records. Confirm current FDA inspection guidance before you present.</w:t>
            </w:r>
          </w:p>
        </w:tc>
      </w:tr>
      <w:tr>
        <w:tc>
          <w:tcPr>
            <w:tcW w:type="dxa" w:w="36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What does an unannounced MDSAP audit look like?</w:t>
            </w:r>
          </w:p>
        </w:tc>
        <w:tc>
          <w:tcPr>
            <w:tcW w:type="dxa" w:w="64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Rare, and normally for cause: a regulator request or serious signals. Announced surveillance is the norm. The readiness posture is the same either way.</w:t>
            </w:r>
          </w:p>
        </w:tc>
      </w:tr>
      <w:tr>
        <w:tc>
          <w:tcPr>
            <w:tcW w:type="dxa" w:w="36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When will the revised ISO 13485 be published?</w:t>
            </w:r>
          </w:p>
        </w:tc>
        <w:tc>
          <w:tcPr>
            <w:tcW w:type="dxa" w:w="64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The revision is under way in ISO/TC 210. Give the current draft stage and expected timeline only if you have checked it that month; otherwise say a transition period is expected and to watch the draft stages.</w:t>
            </w:r>
          </w:p>
        </w:tc>
      </w:tr>
    </w:tbl>
    <w:p>
      <w:pPr>
        <w:pStyle w:val="Heading1"/>
      </w:pPr>
      <w:r>
        <w:t xml:space="preserve">8. Accuracy checklist before each delivery</w:t>
      </w:r>
    </w:p>
    <w:p>
      <w:pPr>
        <w:spacing w:after="120" w:before="0"/>
      </w:pPr>
      <w:r>
        <w:rPr>
          <w:b w:val="false"/>
          <w:bCs w:val="false"/>
          <w:i w:val="false"/>
          <w:iCs w:val="false"/>
          <w:sz w:val="21"/>
          <w:szCs w:val="21"/>
        </w:rPr>
        <w:t xml:space="preserve">The deck and handout are current as of September 2026. Verify the following against primary sources the week before you present, and update slide 6, slide 32 and handout sections 2.2 and 5.3 if anything has moved.</w:t>
      </w:r>
    </w:p>
    <w:p>
      <w:pPr>
        <w:pStyle w:val="ListParagraph"/>
        <w:numPr>
          <w:ilvl w:val="0"/>
          <w:numId w:val="7"/>
        </w:numPr>
        <w:spacing w:after="80"/>
      </w:pPr>
      <w:r>
        <w:rPr>
          <w:b w:val="false"/>
          <w:bCs w:val="false"/>
          <w:i w:val="false"/>
          <w:iCs w:val="false"/>
          <w:sz w:val="21"/>
          <w:szCs w:val="21"/>
        </w:rPr>
        <w:t xml:space="preserve">FDA QMSR: effective date (2 Feb 2026) and any new FDA inspection guidance or compliance program revisions.</w:t>
      </w:r>
    </w:p>
    <w:p>
      <w:pPr>
        <w:pStyle w:val="ListParagraph"/>
        <w:numPr>
          <w:ilvl w:val="0"/>
          <w:numId w:val="7"/>
        </w:numPr>
        <w:spacing w:after="80"/>
      </w:pPr>
      <w:r>
        <w:rPr>
          <w:b w:val="false"/>
          <w:bCs w:val="false"/>
          <w:i w:val="false"/>
          <w:iCs w:val="false"/>
          <w:sz w:val="21"/>
          <w:szCs w:val="21"/>
        </w:rPr>
        <w:t xml:space="preserve">EU MDR/IVDR transition dates (Regulations 2023/607 and 2024/1860) and EUDAMED module status.</w:t>
      </w:r>
    </w:p>
    <w:p>
      <w:pPr>
        <w:pStyle w:val="ListParagraph"/>
        <w:numPr>
          <w:ilvl w:val="0"/>
          <w:numId w:val="7"/>
        </w:numPr>
        <w:spacing w:after="80"/>
      </w:pPr>
      <w:r>
        <w:rPr>
          <w:b w:val="false"/>
          <w:bCs w:val="false"/>
          <w:i w:val="false"/>
          <w:iCs w:val="false"/>
          <w:sz w:val="21"/>
          <w:szCs w:val="21"/>
        </w:rPr>
        <w:t xml:space="preserve">UK CE recognition dates (30 Jun 2028 / 30 Jun 2030) and post-market surveillance regulation status.</w:t>
      </w:r>
    </w:p>
    <w:p>
      <w:pPr>
        <w:pStyle w:val="ListParagraph"/>
        <w:numPr>
          <w:ilvl w:val="0"/>
          <w:numId w:val="7"/>
        </w:numPr>
        <w:spacing w:after="80"/>
      </w:pPr>
      <w:r>
        <w:rPr>
          <w:b w:val="false"/>
          <w:bCs w:val="false"/>
          <w:i w:val="false"/>
          <w:iCs w:val="false"/>
          <w:sz w:val="21"/>
          <w:szCs w:val="21"/>
        </w:rPr>
        <w:t xml:space="preserve">MDSAP participating and affiliate jurisdictions; grading and escalation rules (GHTF/SG3/N19; MDSAP procedures).</w:t>
      </w:r>
    </w:p>
    <w:p>
      <w:pPr>
        <w:pStyle w:val="ListParagraph"/>
        <w:numPr>
          <w:ilvl w:val="0"/>
          <w:numId w:val="7"/>
        </w:numPr>
        <w:spacing w:after="80"/>
      </w:pPr>
      <w:r>
        <w:rPr>
          <w:b w:val="false"/>
          <w:bCs w:val="false"/>
          <w:i w:val="false"/>
          <w:iCs w:val="false"/>
          <w:sz w:val="21"/>
          <w:szCs w:val="21"/>
        </w:rPr>
        <w:t xml:space="preserve">Vigilance timelines for each jurisdiction in the table (slide 32, handout 5.3), including calendar versus working days.</w:t>
      </w:r>
    </w:p>
    <w:p>
      <w:pPr>
        <w:pStyle w:val="ListParagraph"/>
        <w:numPr>
          <w:ilvl w:val="0"/>
          <w:numId w:val="7"/>
        </w:numPr>
        <w:spacing w:after="80"/>
      </w:pPr>
      <w:r>
        <w:rPr>
          <w:b w:val="false"/>
          <w:bCs w:val="false"/>
          <w:i w:val="false"/>
          <w:iCs w:val="false"/>
          <w:sz w:val="21"/>
          <w:szCs w:val="21"/>
        </w:rPr>
        <w:t xml:space="preserve">ISO 13485 revision status in ISO/TC 210 and the status of Amendment 1:2024.</w:t>
      </w:r>
    </w:p>
    <w:p>
      <w:pPr>
        <w:pStyle w:val="ListParagraph"/>
        <w:numPr>
          <w:ilvl w:val="0"/>
          <w:numId w:val="7"/>
        </w:numPr>
        <w:spacing w:after="80"/>
      </w:pPr>
      <w:r>
        <w:rPr>
          <w:b w:val="false"/>
          <w:bCs w:val="false"/>
          <w:i w:val="false"/>
          <w:iCs w:val="false"/>
          <w:sz w:val="21"/>
          <w:szCs w:val="21"/>
        </w:rPr>
        <w:t xml:space="preserve">Latest FDA 483 observation data if you intend to quote numbers on slide 7.</w:t>
      </w:r>
    </w:p>
    <w:p>
      <w:pPr>
        <w:pStyle w:val="ListParagraph"/>
        <w:numPr>
          <w:ilvl w:val="0"/>
          <w:numId w:val="7"/>
        </w:numPr>
        <w:spacing w:after="80"/>
      </w:pPr>
      <w:r>
        <w:rPr>
          <w:b w:val="false"/>
          <w:bCs w:val="false"/>
          <w:i w:val="false"/>
          <w:iCs w:val="false"/>
          <w:sz w:val="21"/>
          <w:szCs w:val="21"/>
        </w:rPr>
        <w:t xml:space="preserve">Brazil (RDC 665/2022, RDC 551/2021) and other market references named on slide 6.</w:t>
      </w:r>
    </w:p>
    <w:p>
      <w:pPr>
        <w:pStyle w:val="Heading1"/>
      </w:pPr>
      <w:r>
        <w:t xml:space="preserve">9. Variants</w:t>
      </w:r>
    </w:p>
    <w:p>
      <w:pPr>
        <w:pStyle w:val="Heading2"/>
      </w:pPr>
      <w:r>
        <w:t xml:space="preserve">60-minute version</w:t>
      </w:r>
    </w:p>
    <w:p>
      <w:pPr>
        <w:pStyle w:val="ListParagraph"/>
        <w:numPr>
          <w:ilvl w:val="0"/>
          <w:numId w:val="2"/>
        </w:numPr>
        <w:spacing w:after="60"/>
      </w:pPr>
      <w:r>
        <w:rPr>
          <w:b w:val="false"/>
          <w:bCs w:val="false"/>
          <w:i w:val="false"/>
          <w:iCs w:val="false"/>
          <w:sz w:val="21"/>
          <w:szCs w:val="21"/>
        </w:rPr>
        <w:t xml:space="preserve">Cut slides 9, 13, 20, 33 and 36. Run Cases 1 and 3 only (14 minutes). Section 5 becomes slides 31, 32 and 35 in six minutes.</w:t>
      </w:r>
    </w:p>
    <w:p>
      <w:pPr>
        <w:pStyle w:val="Heading2"/>
      </w:pPr>
      <w:r>
        <w:t xml:space="preserve">Half-day workshop (3 hours)</w:t>
      </w:r>
    </w:p>
    <w:p>
      <w:pPr>
        <w:pStyle w:val="ListParagraph"/>
        <w:numPr>
          <w:ilvl w:val="0"/>
          <w:numId w:val="2"/>
        </w:numPr>
        <w:spacing w:after="60"/>
      </w:pPr>
      <w:r>
        <w:rPr>
          <w:b w:val="false"/>
          <w:bCs w:val="false"/>
          <w:i w:val="false"/>
          <w:iCs w:val="false"/>
          <w:sz w:val="21"/>
          <w:szCs w:val="21"/>
        </w:rPr>
        <w:t xml:space="preserve">Add a 20-minute exercise after Section 3: tables write their own reception script and roster using handout Appendix A.</w:t>
      </w:r>
    </w:p>
    <w:p>
      <w:pPr>
        <w:pStyle w:val="ListParagraph"/>
        <w:numPr>
          <w:ilvl w:val="0"/>
          <w:numId w:val="2"/>
        </w:numPr>
        <w:spacing w:after="60"/>
      </w:pPr>
      <w:r>
        <w:rPr>
          <w:b w:val="false"/>
          <w:bCs w:val="false"/>
          <w:i w:val="false"/>
          <w:iCs w:val="false"/>
          <w:sz w:val="21"/>
          <w:szCs w:val="21"/>
        </w:rPr>
        <w:t xml:space="preserve">Run all four cases at 12 minutes each, with each table presenting one case.</w:t>
      </w:r>
    </w:p>
    <w:p>
      <w:pPr>
        <w:pStyle w:val="ListParagraph"/>
        <w:numPr>
          <w:ilvl w:val="0"/>
          <w:numId w:val="2"/>
        </w:numPr>
        <w:spacing w:after="60"/>
      </w:pPr>
      <w:r>
        <w:rPr>
          <w:b w:val="false"/>
          <w:bCs w:val="false"/>
          <w:i w:val="false"/>
          <w:iCs w:val="false"/>
          <w:sz w:val="21"/>
          <w:szCs w:val="21"/>
        </w:rPr>
        <w:t xml:space="preserve">Add a 30-minute exercise after Section 5: tables draft five rows of a regulatory requirements matrix for their own products.</w:t>
      </w:r>
    </w:p>
    <w:p>
      <w:pPr>
        <w:pStyle w:val="ListParagraph"/>
        <w:numPr>
          <w:ilvl w:val="0"/>
          <w:numId w:val="2"/>
        </w:numPr>
        <w:spacing w:after="60"/>
      </w:pPr>
      <w:r>
        <w:rPr>
          <w:b w:val="false"/>
          <w:bCs w:val="false"/>
          <w:i w:val="false"/>
          <w:iCs w:val="false"/>
          <w:sz w:val="21"/>
          <w:szCs w:val="21"/>
        </w:rPr>
        <w:t xml:space="preserve">Close with participants completing the 30-60-90 plan with owners and dates.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B"/>
        <w:sz w:val="16"/>
        <w:szCs w:val="16"/>
      </w:rPr>
      <w:t xml:space="preserve">ISO 13485 &amp; Audit Readiness  ·  Facilitator Guide (speaker only)  ·  Elder Consulting, LLC   |   Page </w:t>
    </w:r>
    <w:r>
      <w:rPr>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bullet"/>
      <w:lvlText w:val="☐"/>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abstractNum w:abstractNumId="43" w15:restartNumberingAfterBreak="0">
    <w:multiLevelType w:val="hybridMultilevel"/>
    <w:lvl w:ilvl="0" w15:tentative="1">
      <w:start w:val="1"/>
      <w:numFmt w:val="decimal"/>
      <w:lvlText w:val="%1."/>
      <w:lvlJc w:val="left"/>
      <w:pPr>
        <w:ind w:left="540" w:hanging="360"/>
      </w:pPr>
    </w:lvl>
  </w:abstractNum>
  <w:abstractNum w:abstractNumId="44" w15:restartNumberingAfterBreak="0">
    <w:multiLevelType w:val="hybridMultilevel"/>
    <w:lvl w:ilvl="0" w15:tentative="1">
      <w:start w:val="1"/>
      <w:numFmt w:val="decimal"/>
      <w:lvlText w:val="%1."/>
      <w:lvlJc w:val="left"/>
      <w:pPr>
        <w:ind w:left="540" w:hanging="360"/>
      </w:pPr>
    </w:lvl>
  </w:abstractNum>
  <w:abstractNum w:abstractNumId="45" w15:restartNumberingAfterBreak="0">
    <w:multiLevelType w:val="hybridMultilevel"/>
    <w:lvl w:ilvl="0" w15:tentative="1">
      <w:start w:val="1"/>
      <w:numFmt w:val="decimal"/>
      <w:lvlText w:val="%1."/>
      <w:lvlJc w:val="left"/>
      <w:pPr>
        <w:ind w:left="540" w:hanging="360"/>
      </w:pPr>
    </w:lvl>
  </w:abstractNum>
  <w:abstractNum w:abstractNumId="46" w15:restartNumberingAfterBreak="0">
    <w:multiLevelType w:val="hybridMultilevel"/>
    <w:lvl w:ilvl="0" w15:tentative="1">
      <w:start w:val="1"/>
      <w:numFmt w:val="decimal"/>
      <w:lvlText w:val="%1."/>
      <w:lvlJc w:val="left"/>
      <w:pPr>
        <w:ind w:left="540" w:hanging="360"/>
      </w:pPr>
    </w:lvl>
  </w:abstractNum>
  <w:abstractNum w:abstractNumId="47" w15:restartNumberingAfterBreak="0">
    <w:multiLevelType w:val="hybridMultilevel"/>
    <w:lvl w:ilvl="0" w15:tentative="1">
      <w:start w:val="1"/>
      <w:numFmt w:val="decimal"/>
      <w:lvlText w:val="%1."/>
      <w:lvlJc w:val="left"/>
      <w:pPr>
        <w:ind w:left="540" w:hanging="360"/>
      </w:pPr>
    </w:lvl>
  </w:abstractNum>
  <w:abstractNum w:abstractNumId="48" w15:restartNumberingAfterBreak="0">
    <w:multiLevelType w:val="hybridMultilevel"/>
    <w:lvl w:ilvl="0" w15:tentative="1">
      <w:start w:val="1"/>
      <w:numFmt w:val="decimal"/>
      <w:lvlText w:val="%1."/>
      <w:lvlJc w:val="left"/>
      <w:pPr>
        <w:ind w:left="540" w:hanging="360"/>
      </w:pPr>
    </w:lvl>
  </w:abstractNum>
  <w:abstractNum w:abstractNumId="49" w15:restartNumberingAfterBreak="0">
    <w:multiLevelType w:val="hybridMultilevel"/>
    <w:lvl w:ilvl="0" w15:tentative="1">
      <w:start w:val="1"/>
      <w:numFmt w:val="decimal"/>
      <w:lvlText w:val="%1."/>
      <w:lvlJc w:val="left"/>
      <w:pPr>
        <w:ind w:left="540" w:hanging="360"/>
      </w:pPr>
    </w:lvl>
  </w:abstractNum>
  <w:abstractNum w:abstractNumId="50" w15:restartNumberingAfterBreak="0">
    <w:multiLevelType w:val="hybridMultilevel"/>
    <w:lvl w:ilvl="0" w15:tentative="1">
      <w:start w:val="1"/>
      <w:numFmt w:val="decimal"/>
      <w:lvlText w:val="%1."/>
      <w:lvlJc w:val="left"/>
      <w:pPr>
        <w:ind w:left="540" w:hanging="360"/>
      </w:pPr>
    </w:lvl>
  </w:abstractNum>
  <w:abstractNum w:abstractNumId="51" w15:restartNumberingAfterBreak="0">
    <w:multiLevelType w:val="hybridMultilevel"/>
    <w:lvl w:ilvl="0" w15:tentative="1">
      <w:start w:val="1"/>
      <w:numFmt w:val="decimal"/>
      <w:lvlText w:val="%1."/>
      <w:lvlJc w:val="left"/>
      <w:pPr>
        <w:ind w:left="540" w:hanging="360"/>
      </w:pPr>
    </w:lvl>
  </w:abstractNum>
  <w:abstractNum w:abstractNumId="52" w15:restartNumberingAfterBreak="0">
    <w:multiLevelType w:val="hybridMultilevel"/>
    <w:lvl w:ilvl="0" w15:tentative="1">
      <w:start w:val="1"/>
      <w:numFmt w:val="decimal"/>
      <w:lvlText w:val="%1."/>
      <w:lvlJc w:val="left"/>
      <w:pPr>
        <w:ind w:left="540" w:hanging="360"/>
      </w:pPr>
    </w:lvl>
  </w:abstractNum>
  <w:abstractNum w:abstractNumId="53" w15:restartNumberingAfterBreak="0">
    <w:multiLevelType w:val="hybridMultilevel"/>
    <w:lvl w:ilvl="0" w15:tentative="1">
      <w:start w:val="1"/>
      <w:numFmt w:val="decimal"/>
      <w:lvlText w:val="%1."/>
      <w:lvlJc w:val="left"/>
      <w:pPr>
        <w:ind w:left="540" w:hanging="360"/>
      </w:pPr>
    </w:lvl>
  </w:abstractNum>
  <w:abstractNum w:abstractNumId="54" w15:restartNumberingAfterBreak="0">
    <w:multiLevelType w:val="hybridMultilevel"/>
    <w:lvl w:ilvl="0" w15:tentative="1">
      <w:start w:val="1"/>
      <w:numFmt w:val="decimal"/>
      <w:lvlText w:val="%1."/>
      <w:lvlJc w:val="left"/>
      <w:pPr>
        <w:ind w:left="540" w:hanging="360"/>
      </w:pPr>
    </w:lvl>
  </w:abstractNum>
  <w:abstractNum w:abstractNumId="55" w15:restartNumberingAfterBreak="0">
    <w:multiLevelType w:val="hybridMultilevel"/>
    <w:lvl w:ilvl="0" w15:tentative="1">
      <w:start w:val="1"/>
      <w:numFmt w:val="decimal"/>
      <w:lvlText w:val="%1."/>
      <w:lvlJc w:val="left"/>
      <w:pPr>
        <w:ind w:left="540" w:hanging="360"/>
      </w:pPr>
    </w:lvl>
  </w:abstractNum>
  <w:abstractNum w:abstractNumId="56" w15:restartNumberingAfterBreak="0">
    <w:multiLevelType w:val="hybridMultilevel"/>
    <w:lvl w:ilvl="0" w15:tentative="1">
      <w:start w:val="1"/>
      <w:numFmt w:val="decimal"/>
      <w:lvlText w:val="%1."/>
      <w:lvlJc w:val="left"/>
      <w:pPr>
        <w:ind w:left="540" w:hanging="360"/>
      </w:pPr>
    </w:lvl>
  </w:abstractNum>
  <w:abstractNum w:abstractNumId="57" w15:restartNumberingAfterBreak="0">
    <w:multiLevelType w:val="hybridMultilevel"/>
    <w:lvl w:ilvl="0" w15:tentative="1">
      <w:start w:val="1"/>
      <w:numFmt w:val="decimal"/>
      <w:lvlText w:val="%1."/>
      <w:lvlJc w:val="left"/>
      <w:pPr>
        <w:ind w:left="540" w:hanging="360"/>
      </w:pPr>
    </w:lvl>
  </w:abstractNum>
  <w:abstractNum w:abstractNumId="58" w15:restartNumberingAfterBreak="0">
    <w:multiLevelType w:val="hybridMultilevel"/>
    <w:lvl w:ilvl="0" w15:tentative="1">
      <w:start w:val="1"/>
      <w:numFmt w:val="decimal"/>
      <w:lvlText w:val="%1."/>
      <w:lvlJc w:val="left"/>
      <w:pPr>
        <w:ind w:left="540" w:hanging="360"/>
      </w:pPr>
    </w:lvl>
  </w:abstractNum>
  <w:abstractNum w:abstractNumId="59" w15:restartNumberingAfterBreak="0">
    <w:multiLevelType w:val="hybridMultilevel"/>
    <w:lvl w:ilvl="0" w15:tentative="1">
      <w:start w:val="1"/>
      <w:numFmt w:val="decimal"/>
      <w:lvlText w:val="%1."/>
      <w:lvlJc w:val="left"/>
      <w:pPr>
        <w:ind w:left="540" w:hanging="360"/>
      </w:pPr>
    </w:lvl>
  </w:abstractNum>
  <w:abstractNum w:abstractNumId="60" w15:restartNumberingAfterBreak="0">
    <w:multiLevelType w:val="hybridMultilevel"/>
    <w:lvl w:ilvl="0" w15:tentative="1">
      <w:start w:val="1"/>
      <w:numFmt w:val="decimal"/>
      <w:lvlText w:val="%1."/>
      <w:lvlJc w:val="left"/>
      <w:pPr>
        <w:ind w:left="540" w:hanging="360"/>
      </w:pPr>
    </w:lvl>
  </w:abstractNum>
  <w:abstractNum w:abstractNumId="61" w15:restartNumberingAfterBreak="0">
    <w:multiLevelType w:val="hybridMultilevel"/>
    <w:lvl w:ilvl="0" w15:tentative="1">
      <w:start w:val="1"/>
      <w:numFmt w:val="decimal"/>
      <w:lvlText w:val="%1."/>
      <w:lvlJc w:val="left"/>
      <w:pPr>
        <w:ind w:left="540" w:hanging="360"/>
      </w:pPr>
    </w:lvl>
  </w:abstractNum>
  <w:abstractNum w:abstractNumId="62" w15:restartNumberingAfterBreak="0">
    <w:multiLevelType w:val="hybridMultilevel"/>
    <w:lvl w:ilvl="0" w15:tentative="1">
      <w:start w:val="1"/>
      <w:numFmt w:val="decimal"/>
      <w:lvlText w:val="%1."/>
      <w:lvlJc w:val="left"/>
      <w:pPr>
        <w:ind w:left="540" w:hanging="360"/>
      </w:pPr>
    </w:lvl>
  </w:abstractNum>
  <w:abstractNum w:abstractNumId="63" w15:restartNumberingAfterBreak="0">
    <w:multiLevelType w:val="hybridMultilevel"/>
    <w:lvl w:ilvl="0" w15:tentative="1">
      <w:start w:val="1"/>
      <w:numFmt w:val="decimal"/>
      <w:lvlText w:val="%1."/>
      <w:lvlJc w:val="left"/>
      <w:pPr>
        <w:ind w:left="540" w:hanging="360"/>
      </w:pPr>
    </w:lvl>
  </w:abstractNum>
  <w:abstractNum w:abstractNumId="64" w15:restartNumberingAfterBreak="0">
    <w:multiLevelType w:val="hybridMultilevel"/>
    <w:lvl w:ilvl="0" w15:tentative="1">
      <w:start w:val="1"/>
      <w:numFmt w:val="decimal"/>
      <w:lvlText w:val="%1."/>
      <w:lvlJc w:val="left"/>
      <w:pPr>
        <w:ind w:left="540" w:hanging="360"/>
      </w:pPr>
    </w:lvl>
  </w:abstractNum>
  <w:abstractNum w:abstractNumId="65" w15:restartNumberingAfterBreak="0">
    <w:multiLevelType w:val="hybridMultilevel"/>
    <w:lvl w:ilvl="0" w15:tentative="1">
      <w:start w:val="1"/>
      <w:numFmt w:val="decimal"/>
      <w:lvlText w:val="%1."/>
      <w:lvlJc w:val="left"/>
      <w:pPr>
        <w:ind w:left="540" w:hanging="360"/>
      </w:pPr>
    </w:lvl>
  </w:abstractNum>
  <w:abstractNum w:abstractNumId="66" w15:restartNumberingAfterBreak="0">
    <w:multiLevelType w:val="hybridMultilevel"/>
    <w:lvl w:ilvl="0" w15:tentative="1">
      <w:start w:val="1"/>
      <w:numFmt w:val="decimal"/>
      <w:lvlText w:val="%1."/>
      <w:lvlJc w:val="left"/>
      <w:pPr>
        <w:ind w:left="540" w:hanging="360"/>
      </w:pPr>
    </w:lvl>
  </w:abstractNum>
  <w:abstractNum w:abstractNumId="67" w15:restartNumberingAfterBreak="0">
    <w:multiLevelType w:val="hybridMultilevel"/>
    <w:lvl w:ilvl="0" w15:tentative="1">
      <w:start w:val="1"/>
      <w:numFmt w:val="decimal"/>
      <w:lvlText w:val="%1."/>
      <w:lvlJc w:val="left"/>
      <w:pPr>
        <w:ind w:left="540" w:hanging="360"/>
      </w:pPr>
    </w:lvl>
  </w:abstractNum>
  <w:abstractNum w:abstractNumId="68" w15:restartNumberingAfterBreak="0">
    <w:multiLevelType w:val="hybridMultilevel"/>
    <w:lvl w:ilvl="0" w15:tentative="1">
      <w:start w:val="1"/>
      <w:numFmt w:val="decimal"/>
      <w:lvlText w:val="%1."/>
      <w:lvlJc w:val="left"/>
      <w:pPr>
        <w:ind w:left="540" w:hanging="360"/>
      </w:pPr>
    </w:lvl>
  </w:abstractNum>
  <w:abstractNum w:abstractNumId="69" w15:restartNumberingAfterBreak="0">
    <w:multiLevelType w:val="hybridMultilevel"/>
    <w:lvl w:ilvl="0" w15:tentative="1">
      <w:start w:val="1"/>
      <w:numFmt w:val="decimal"/>
      <w:lvlText w:val="%1."/>
      <w:lvlJc w:val="left"/>
      <w:pPr>
        <w:ind w:left="540" w:hanging="360"/>
      </w:pPr>
    </w:lvl>
  </w:abstractNum>
  <w:abstractNum w:abstractNumId="70" w15:restartNumberingAfterBreak="0">
    <w:multiLevelType w:val="hybridMultilevel"/>
    <w:lvl w:ilvl="0" w15:tentative="1">
      <w:start w:val="1"/>
      <w:numFmt w:val="decimal"/>
      <w:lvlText w:val="%1."/>
      <w:lvlJc w:val="left"/>
      <w:pPr>
        <w:ind w:left="540" w:hanging="360"/>
      </w:pPr>
    </w:lvl>
  </w:abstractNum>
  <w:abstractNum w:abstractNumId="71" w15:restartNumberingAfterBreak="0">
    <w:multiLevelType w:val="hybridMultilevel"/>
    <w:lvl w:ilvl="0" w15:tentative="1">
      <w:start w:val="1"/>
      <w:numFmt w:val="decimal"/>
      <w:lvlText w:val="%1."/>
      <w:lvlJc w:val="left"/>
      <w:pPr>
        <w:ind w:left="540" w:hanging="360"/>
      </w:pPr>
    </w:lvl>
  </w:abstractNum>
  <w:abstractNum w:abstractNumId="72" w15:restartNumberingAfterBreak="0">
    <w:multiLevelType w:val="hybridMultilevel"/>
    <w:lvl w:ilvl="0" w15:tentative="1">
      <w:start w:val="1"/>
      <w:numFmt w:val="decimal"/>
      <w:lvlText w:val="%1."/>
      <w:lvlJc w:val="left"/>
      <w:pPr>
        <w:ind w:left="540" w:hanging="360"/>
      </w:pPr>
    </w:lvl>
  </w:abstractNum>
  <w:abstractNum w:abstractNumId="73" w15:restartNumberingAfterBreak="0">
    <w:multiLevelType w:val="hybridMultilevel"/>
    <w:lvl w:ilvl="0" w15:tentative="1">
      <w:start w:val="1"/>
      <w:numFmt w:val="decimal"/>
      <w:lvlText w:val="%1."/>
      <w:lvlJc w:val="left"/>
      <w:pPr>
        <w:ind w:left="540" w:hanging="360"/>
      </w:pPr>
    </w:lvl>
  </w:abstractNum>
  <w:abstractNum w:abstractNumId="74" w15:restartNumberingAfterBreak="0">
    <w:multiLevelType w:val="hybridMultilevel"/>
    <w:lvl w:ilvl="0" w15:tentative="1">
      <w:start w:val="1"/>
      <w:numFmt w:val="decimal"/>
      <w:lvlText w:val="%1."/>
      <w:lvlJc w:val="left"/>
      <w:pPr>
        <w:ind w:left="540" w:hanging="360"/>
      </w:pPr>
    </w:lvl>
  </w:abstractNum>
  <w:abstractNum w:abstractNumId="75" w15:restartNumberingAfterBreak="0">
    <w:multiLevelType w:val="hybridMultilevel"/>
    <w:lvl w:ilvl="0" w15:tentative="1">
      <w:start w:val="1"/>
      <w:numFmt w:val="decimal"/>
      <w:lvlText w:val="%1."/>
      <w:lvlJc w:val="left"/>
      <w:pPr>
        <w:ind w:left="540" w:hanging="360"/>
      </w:pPr>
    </w:lvl>
  </w:abstractNum>
  <w:abstractNum w:abstractNumId="76" w15:restartNumberingAfterBreak="0">
    <w:multiLevelType w:val="hybridMultilevel"/>
    <w:lvl w:ilvl="0" w15:tentative="1">
      <w:start w:val="1"/>
      <w:numFmt w:val="decimal"/>
      <w:lvlText w:val="%1."/>
      <w:lvlJc w:val="left"/>
      <w:pPr>
        <w:ind w:left="540" w:hanging="360"/>
      </w:pPr>
    </w:lvl>
  </w:abstractNum>
  <w:abstractNum w:abstractNumId="77" w15:restartNumberingAfterBreak="0">
    <w:multiLevelType w:val="hybridMultilevel"/>
    <w:lvl w:ilvl="0" w15:tentative="1">
      <w:start w:val="1"/>
      <w:numFmt w:val="decimal"/>
      <w:lvlText w:val="%1."/>
      <w:lvlJc w:val="left"/>
      <w:pPr>
        <w:ind w:left="540" w:hanging="360"/>
      </w:pPr>
    </w:lvl>
  </w:abstractNum>
  <w:abstractNum w:abstractNumId="78" w15:restartNumberingAfterBreak="0">
    <w:multiLevelType w:val="hybridMultilevel"/>
    <w:lvl w:ilvl="0" w15:tentative="1">
      <w:start w:val="1"/>
      <w:numFmt w:val="decimal"/>
      <w:lvlText w:val="%1."/>
      <w:lvlJc w:val="left"/>
      <w:pPr>
        <w:ind w:left="540" w:hanging="360"/>
      </w:pPr>
    </w:lvl>
  </w:abstractNum>
  <w:abstractNum w:abstractNumId="79" w15:restartNumberingAfterBreak="0">
    <w:multiLevelType w:val="hybridMultilevel"/>
    <w:lvl w:ilvl="0" w15:tentative="1">
      <w:start w:val="1"/>
      <w:numFmt w:val="decimal"/>
      <w:lvlText w:val="%1."/>
      <w:lvlJc w:val="left"/>
      <w:pPr>
        <w:ind w:left="540" w:hanging="360"/>
      </w:pPr>
    </w:lvl>
  </w:abstractNum>
  <w:abstractNum w:abstractNumId="80" w15:restartNumberingAfterBreak="0">
    <w:multiLevelType w:val="hybridMultilevel"/>
    <w:lvl w:ilvl="0" w15:tentative="1">
      <w:start w:val="1"/>
      <w:numFmt w:val="decimal"/>
      <w:lvlText w:val="%1."/>
      <w:lvlJc w:val="left"/>
      <w:pPr>
        <w:ind w:left="540" w:hanging="360"/>
      </w:pPr>
    </w:lvl>
  </w:abstractNum>
  <w:abstractNum w:abstractNumId="81" w15:restartNumberingAfterBreak="0">
    <w:multiLevelType w:val="hybridMultilevel"/>
    <w:lvl w:ilvl="0" w15:tentative="1">
      <w:start w:val="1"/>
      <w:numFmt w:val="decimal"/>
      <w:lvlText w:val="%1."/>
      <w:lvlJc w:val="left"/>
      <w:pPr>
        <w:ind w:left="540" w:hanging="360"/>
      </w:pPr>
    </w:lvl>
  </w:abstractNum>
  <w:abstractNum w:abstractNumId="82" w15:restartNumberingAfterBreak="0">
    <w:multiLevelType w:val="hybridMultilevel"/>
    <w:lvl w:ilvl="0" w15:tentative="1">
      <w:start w:val="1"/>
      <w:numFmt w:val="decimal"/>
      <w:lvlText w:val="%1."/>
      <w:lvlJc w:val="left"/>
      <w:pPr>
        <w:ind w:left="540" w:hanging="360"/>
      </w:pPr>
    </w:lvl>
  </w:abstractNum>
  <w:abstractNum w:abstractNumId="8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400"/>
      <w:outlineLvl w:val="0"/>
    </w:pPr>
    <w:rPr>
      <w:rFonts w:ascii="Cambria" w:cs="Cambria" w:eastAsia="Cambria" w:hAnsi="Cambria"/>
      <w:b/>
      <w:bCs/>
      <w:color w:val="0F2A4A"/>
      <w:sz w:val="32"/>
      <w:szCs w:val="32"/>
    </w:rPr>
  </w:style>
  <w:style w:type="paragraph" w:styleId="Heading2">
    <w:name w:val="Heading 2"/>
    <w:basedOn w:val="Normal"/>
    <w:next w:val="Normal"/>
    <w:qFormat/>
    <w:pPr>
      <w:keepNext/>
      <w:spacing w:after="100" w:before="280"/>
      <w:outlineLvl w:val="1"/>
    </w:pPr>
    <w:rPr>
      <w:rFonts w:ascii="Cambria" w:cs="Cambria" w:eastAsia="Cambria" w:hAnsi="Cambria"/>
      <w:b/>
      <w:bCs/>
      <w:color w:val="0F2A4A"/>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A8730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13485 &amp; Audit Readiness: Facilitator Guide</dc:title>
  <dc:creator>Elder Consulting, LLC</dc:creator>
  <dc:description>ISO 13485 &amp; Audit Readiness seminar material</dc:description>
  <cp:lastModifiedBy>Un-named</cp:lastModifiedBy>
  <cp:revision>1</cp:revision>
  <dcterms:created xsi:type="dcterms:W3CDTF">2026-09-16T10:03:15.602Z</dcterms:created>
  <dcterms:modified xsi:type="dcterms:W3CDTF">2026-09-16T10:03:15.602Z</dcterms:modified>
</cp:coreProperties>
</file>

<file path=docProps/custom.xml><?xml version="1.0" encoding="utf-8"?>
<Properties xmlns="http://schemas.openxmlformats.org/officeDocument/2006/custom-properties" xmlns:vt="http://schemas.openxmlformats.org/officeDocument/2006/docPropsVTypes"/>
</file>