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A8730F"/>
          <w:spacing w:val="40"/>
          <w:sz w:val="20"/>
          <w:szCs w:val="20"/>
        </w:rPr>
        <w:t xml:space="preserve">MEDICAL DEVICE SEMINAR  ·  PARTICIPANT HANDOUT</w:t>
      </w:r>
    </w:p>
    <w:p>
      <w:pPr>
        <w:spacing w:after="120"/>
      </w:pPr>
      <w:r>
        <w:rPr>
          <w:rFonts w:ascii="Cambria" w:cs="Cambria" w:eastAsia="Cambria" w:hAnsi="Cambria"/>
          <w:b/>
          <w:bCs/>
          <w:color w:val="0F2A4A"/>
          <w:sz w:val="52"/>
          <w:szCs w:val="52"/>
        </w:rPr>
        <w:t xml:space="preserve">ISO 13485 &amp; Audit Readiness</w:t>
      </w:r>
    </w:p>
    <w:p>
      <w:pPr>
        <w:spacing w:after="240"/>
      </w:pPr>
      <w:r>
        <w:rPr>
          <w:color w:val="5A6B7B"/>
          <w:sz w:val="26"/>
          <w:szCs w:val="26"/>
        </w:rPr>
        <w:t xml:space="preserve">Case studies on surviving unannounced audits and maintaining a global QMS</w:t>
      </w:r>
    </w:p>
    <w:p>
      <w:pPr>
        <w:spacing w:after="60"/>
      </w:pPr>
      <w:r>
        <w:rPr>
          <w:b/>
          <w:bCs/>
          <w:i w:val="false"/>
          <w:iCs w:val="false"/>
          <w:sz w:val="21"/>
          <w:szCs w:val="21"/>
        </w:rPr>
        <w:t xml:space="preserve">Format:</w:t>
      </w:r>
      <w:r>
        <w:rPr>
          <w:b w:val="false"/>
          <w:bCs w:val="false"/>
          <w:i w:val="false"/>
          <w:iCs w:val="false"/>
          <w:sz w:val="21"/>
          <w:szCs w:val="21"/>
        </w:rPr>
        <w:t xml:space="preserve"> 90-minute seminar with table-based case studies</w:t>
      </w:r>
    </w:p>
    <w:p>
      <w:pPr>
        <w:spacing w:after="60"/>
      </w:pPr>
      <w:r>
        <w:rPr>
          <w:b/>
          <w:bCs/>
          <w:i w:val="false"/>
          <w:iCs w:val="false"/>
          <w:sz w:val="21"/>
          <w:szCs w:val="21"/>
        </w:rPr>
        <w:t xml:space="preserve">Presented by:</w:t>
      </w:r>
      <w:r>
        <w:rPr>
          <w:b w:val="false"/>
          <w:bCs w:val="false"/>
          <w:i w:val="false"/>
          <w:iCs w:val="false"/>
          <w:sz w:val="21"/>
          <w:szCs w:val="21"/>
        </w:rPr>
        <w:t xml:space="preserve"> Elder Consulting, LLC   ·   </w:t>
      </w:r>
      <w:r>
        <w:rPr>
          <w:b/>
          <w:bCs/>
          <w:i w:val="false"/>
          <w:iCs w:val="false"/>
          <w:sz w:val="21"/>
          <w:szCs w:val="21"/>
        </w:rPr>
        <w:t xml:space="preserve">Speaker:</w:t>
      </w:r>
      <w:r>
        <w:rPr>
          <w:b w:val="false"/>
          <w:bCs w:val="false"/>
          <w:i w:val="false"/>
          <w:iCs w:val="false"/>
          <w:sz w:val="21"/>
          <w:szCs w:val="21"/>
        </w:rPr>
        <w:t xml:space="preserve"> ____________________   ·   </w:t>
      </w:r>
      <w:r>
        <w:rPr>
          <w:b/>
          <w:bCs/>
          <w:i w:val="false"/>
          <w:iCs w:val="false"/>
          <w:sz w:val="21"/>
          <w:szCs w:val="21"/>
        </w:rPr>
        <w:t xml:space="preserve">Date:</w:t>
      </w:r>
      <w:r>
        <w:rPr>
          <w:b w:val="false"/>
          <w:bCs w:val="false"/>
          <w:i w:val="false"/>
          <w:iCs w:val="false"/>
          <w:sz w:val="21"/>
          <w:szCs w:val="21"/>
        </w:rPr>
        <w:t xml:space="preserve"> ____________</w:t>
      </w:r>
    </w:p>
    <w:p>
      <w:pPr>
        <w:spacing w:after="60"/>
      </w:pPr>
      <w:r>
        <w:rPr>
          <w:b/>
          <w:bCs/>
          <w:i w:val="false"/>
          <w:iCs w:val="false"/>
          <w:sz w:val="21"/>
          <w:szCs w:val="21"/>
        </w:rPr>
        <w:t xml:space="preserve">Companion document:</w:t>
      </w:r>
      <w:r>
        <w:rPr>
          <w:b w:val="false"/>
          <w:bCs w:val="false"/>
          <w:i w:val="false"/>
          <w:iCs w:val="false"/>
          <w:sz w:val="21"/>
          <w:szCs w:val="21"/>
        </w:rPr>
        <w:t xml:space="preserve"> Case Study Workshop Pack</w:t>
      </w:r>
    </w:p>
    <w:p>
      <w:pPr>
        <w:pBdr>
          <w:bottom w:val="single" w:color="A8730F" w:sz="8" w:space="8"/>
        </w:pBdr>
        <w:spacing w:after="240"/>
      </w:pPr>
      <w:r>
        <w:t xml:space="preserve"/>
      </w:r>
    </w:p>
    <w:p>
      <w:pPr>
        <w:pStyle w:val="Heading1"/>
      </w:pPr>
      <w:r>
        <w:t xml:space="preserve">1. About this session</w:t>
      </w:r>
    </w:p>
    <w:p>
      <w:pPr>
        <w:spacing w:after="120" w:before="0"/>
      </w:pPr>
      <w:r>
        <w:rPr>
          <w:b w:val="false"/>
          <w:bCs w:val="false"/>
          <w:i w:val="false"/>
          <w:iCs w:val="false"/>
          <w:sz w:val="21"/>
          <w:szCs w:val="21"/>
        </w:rPr>
        <w:t xml:space="preserve">Audits used to be scheduled events with a preparation window. Under the EU MDR, notified bodies must audit unannounced; FDA inspections are unannounced by default and increasingly so abroad; MDSAP grades every finding and escalates the serious ones to five regulators within days. Readiness is no longer a project. It is a state your QMS is either in or not.</w:t>
      </w:r>
    </w:p>
    <w:p>
      <w:pPr>
        <w:pStyle w:val="Heading3"/>
      </w:pPr>
      <w:r>
        <w:t xml:space="preserve">By the end of the session you will be able to</w:t>
      </w:r>
    </w:p>
    <w:p>
      <w:pPr>
        <w:pStyle w:val="ListParagraph"/>
        <w:numPr>
          <w:ilvl w:val="0"/>
          <w:numId w:val="2"/>
        </w:numPr>
        <w:spacing w:after="60"/>
      </w:pPr>
      <w:r>
        <w:rPr>
          <w:b w:val="false"/>
          <w:bCs w:val="false"/>
          <w:i w:val="false"/>
          <w:iCs w:val="false"/>
          <w:sz w:val="21"/>
          <w:szCs w:val="21"/>
        </w:rPr>
        <w:t xml:space="preserve">Explain who can audit your sites and suppliers without notice, and on what legal basis.</w:t>
      </w:r>
    </w:p>
    <w:p>
      <w:pPr>
        <w:pStyle w:val="ListParagraph"/>
        <w:numPr>
          <w:ilvl w:val="0"/>
          <w:numId w:val="2"/>
        </w:numPr>
        <w:spacing w:after="60"/>
      </w:pPr>
      <w:r>
        <w:rPr>
          <w:b w:val="false"/>
          <w:bCs w:val="false"/>
          <w:i w:val="false"/>
          <w:iCs w:val="false"/>
          <w:sz w:val="21"/>
          <w:szCs w:val="21"/>
        </w:rPr>
        <w:t xml:space="preserve">Run the first 60 minutes of an unannounced audit with a written protocol, named roles and deputies.</w:t>
      </w:r>
    </w:p>
    <w:p>
      <w:pPr>
        <w:pStyle w:val="ListParagraph"/>
        <w:numPr>
          <w:ilvl w:val="0"/>
          <w:numId w:val="2"/>
        </w:numPr>
        <w:spacing w:after="60"/>
      </w:pPr>
      <w:r>
        <w:rPr>
          <w:b w:val="false"/>
          <w:bCs w:val="false"/>
          <w:i w:val="false"/>
          <w:iCs w:val="false"/>
          <w:sz w:val="21"/>
          <w:szCs w:val="21"/>
        </w:rPr>
        <w:t xml:space="preserve">Map the audit-critical clauses of ISO 13485:2016 to the evidence an auditor will pull, and reconstruct any lot end-to-end.</w:t>
      </w:r>
    </w:p>
    <w:p>
      <w:pPr>
        <w:pStyle w:val="ListParagraph"/>
        <w:numPr>
          <w:ilvl w:val="0"/>
          <w:numId w:val="2"/>
        </w:numPr>
        <w:spacing w:after="60"/>
      </w:pPr>
      <w:r>
        <w:rPr>
          <w:b w:val="false"/>
          <w:bCs w:val="false"/>
          <w:i w:val="false"/>
          <w:iCs w:val="false"/>
          <w:sz w:val="21"/>
          <w:szCs w:val="21"/>
        </w:rPr>
        <w:t xml:space="preserve">Apply a 72-hour post-audit plan that produces root causes rather than paperwork.</w:t>
      </w:r>
    </w:p>
    <w:p>
      <w:pPr>
        <w:pStyle w:val="ListParagraph"/>
        <w:numPr>
          <w:ilvl w:val="0"/>
          <w:numId w:val="2"/>
        </w:numPr>
        <w:spacing w:after="60"/>
      </w:pPr>
      <w:r>
        <w:rPr>
          <w:b w:val="false"/>
          <w:bCs w:val="false"/>
          <w:i w:val="false"/>
          <w:iCs w:val="false"/>
          <w:sz w:val="21"/>
          <w:szCs w:val="21"/>
        </w:rPr>
        <w:t xml:space="preserve">Describe the core-plus-annex model for a global QMS and the regulatory requirements matrix that keeps it current.</w:t>
      </w:r>
    </w:p>
    <w:p>
      <w:pPr>
        <w:pStyle w:val="ListParagraph"/>
        <w:numPr>
          <w:ilvl w:val="0"/>
          <w:numId w:val="2"/>
        </w:numPr>
        <w:spacing w:after="60"/>
      </w:pPr>
      <w:r>
        <w:rPr>
          <w:b w:val="false"/>
          <w:bCs w:val="false"/>
          <w:i w:val="false"/>
          <w:iCs w:val="false"/>
          <w:sz w:val="21"/>
          <w:szCs w:val="21"/>
        </w:rPr>
        <w:t xml:space="preserve">Score your own site with a ten-question readiness self-test and leave with a 30-60-90 day plan.</w:t>
      </w:r>
    </w:p>
    <w:p>
      <w:pPr>
        <w:pStyle w:val="Heading3"/>
      </w:pPr>
      <w:r>
        <w:t xml:space="preserve">Agenda</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700"/>
        <w:gridCol w:w="8380"/>
      </w:tblGrid>
      <w:tr>
        <w:trPr>
          <w:tblHeader/>
        </w:trPr>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Time</w:t>
            </w:r>
          </w:p>
        </w:tc>
        <w:tc>
          <w:tcPr>
            <w:tcW w:type="dxa" w:w="83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Segment</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0:00 – 0:08</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Welcome, objectives, quick poll</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0:08 – 0:20</w:t>
            </w:r>
          </w:p>
        </w:tc>
        <w:tc>
          <w:tcPr>
            <w:tcW w:type="dxa" w:w="8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Why readiness is now a permanent state: the 2026 landscape</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0:20 – 0:32</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ISO 13485 as the backbone: the clauses that decide audits</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0:32 – 0:47</w:t>
            </w:r>
          </w:p>
        </w:tc>
        <w:tc>
          <w:tcPr>
            <w:tcW w:type="dxa" w:w="8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Anatomy of an unannounced audit: the first 60 minutes and the next 72 hours</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0:47 – 1:16</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Four case studies (table discussion and debrief)</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1:16 – 1:26</w:t>
            </w:r>
          </w:p>
        </w:tc>
        <w:tc>
          <w:tcPr>
            <w:tcW w:type="dxa" w:w="8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Maintaining a global QMS: architecture, rhythm, readiness KPIs</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1:26 – 1:30</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Takeaways, 30-60-90 day plan, Q&amp;A</w:t>
            </w:r>
          </w:p>
        </w:tc>
      </w:tr>
    </w:tbl>
    <w:p>
      <w:pPr>
        <w:pStyle w:val="Heading1"/>
      </w:pPr>
      <w:r>
        <w:t xml:space="preserve">2. Why readiness is now a permanent state</w:t>
      </w:r>
    </w:p>
    <w:p>
      <w:pPr>
        <w:pStyle w:val="Heading2"/>
      </w:pPr>
      <w:r>
        <w:t xml:space="preserve">2.1 Who can arrive without warning</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800"/>
        <w:gridCol w:w="1700"/>
        <w:gridCol w:w="2700"/>
        <w:gridCol w:w="3880"/>
      </w:tblGrid>
      <w:tr>
        <w:trPr>
          <w:tblHeader/>
        </w:trPr>
        <w:tc>
          <w:tcPr>
            <w:tcW w:type="dxa" w:w="1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Regime</w:t>
            </w:r>
          </w:p>
        </w:tc>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Who audits</w:t>
            </w:r>
          </w:p>
        </w:tc>
        <w:tc>
          <w:tcPr>
            <w:tcW w:type="dxa" w:w="2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Advance notice</w:t>
            </w:r>
          </w:p>
        </w:tc>
        <w:tc>
          <w:tcPr>
            <w:tcW w:type="dxa" w:w="38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Basis and cadence</w:t>
            </w:r>
          </w:p>
        </w:tc>
      </w:tr>
      <w:tr>
        <w:tc>
          <w:tcPr>
            <w:tcW w:type="dxa" w:w="18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EU MDR / IVDR</w:t>
            </w:r>
          </w:p>
        </w:tc>
        <w:tc>
          <w:tcPr>
            <w:tcW w:type="dxa" w:w="1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Notified body</w:t>
            </w:r>
          </w:p>
        </w:tc>
        <w:tc>
          <w:tcPr>
            <w:tcW w:type="dxa" w:w="2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None</w:t>
            </w:r>
          </w:p>
        </w:tc>
        <w:tc>
          <w:tcPr>
            <w:tcW w:type="dxa" w:w="3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MDR Annex IX §3.4: an unannounced audit at least once every five years per manufacturer, which may extend to critical suppliers and subcontractors. The notified body keeps a plan for these audits and must not disclose it. Origin: Commission Recommendation 2013/473/EU after the PIP breast-implant scandal.</w:t>
            </w:r>
          </w:p>
        </w:tc>
      </w:tr>
      <w:tr>
        <w:tc>
          <w:tcPr>
            <w:tcW w:type="dxa" w:w="18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US FDA</w:t>
            </w:r>
          </w:p>
        </w:tc>
        <w:tc>
          <w:tcPr>
            <w:tcW w:type="dxa" w:w="17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FDA investigator</w:t>
            </w:r>
          </w:p>
        </w:tc>
        <w:tc>
          <w:tcPr>
            <w:tcW w:type="dxa" w:w="27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None for domestic routine and for-cause inspections. Foreign inspections have been increasingly unannounced since FDA announced the expansion in 2025.</w:t>
            </w:r>
          </w:p>
        </w:tc>
        <w:tc>
          <w:tcPr>
            <w:tcW w:type="dxa" w:w="3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FD&amp;C Act §704 inspection authority. Quality Management System Regulation (QMSR, 21 CFR 820) in force since 2 February 2026.</w:t>
            </w:r>
          </w:p>
        </w:tc>
      </w:tr>
      <w:tr>
        <w:tc>
          <w:tcPr>
            <w:tcW w:type="dxa" w:w="18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MDSAP (Australia, Brazil, Canada, Japan, USA)</w:t>
            </w:r>
          </w:p>
        </w:tc>
        <w:tc>
          <w:tcPr>
            <w:tcW w:type="dxa" w:w="1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MDSAP auditing organization</w:t>
            </w:r>
          </w:p>
        </w:tc>
        <w:tc>
          <w:tcPr>
            <w:tcW w:type="dxa" w:w="2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Normally announced. Special or unannounced audits are possible when a participating regulator requests one or serious signals appear.</w:t>
            </w:r>
          </w:p>
        </w:tc>
        <w:tc>
          <w:tcPr>
            <w:tcW w:type="dxa" w:w="3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Three-year cycle: initial certification, two annual surveillance audits, recertification. Mandatory for Health Canada Class II–IV licences.</w:t>
            </w:r>
          </w:p>
        </w:tc>
      </w:tr>
      <w:tr>
        <w:tc>
          <w:tcPr>
            <w:tcW w:type="dxa" w:w="18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Competent authorities and other regulators</w:t>
            </w:r>
          </w:p>
        </w:tc>
        <w:tc>
          <w:tcPr>
            <w:tcW w:type="dxa" w:w="17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e.g., EU member-state authorities, ANVISA, TGA, PMDA</w:t>
            </w:r>
          </w:p>
        </w:tc>
        <w:tc>
          <w:tcPr>
            <w:tcW w:type="dxa" w:w="27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Varies; for-cause visits are often unannounced.</w:t>
            </w:r>
          </w:p>
        </w:tc>
        <w:tc>
          <w:tcPr>
            <w:tcW w:type="dxa" w:w="38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Market surveillance, vigilance signals, complaints, recalls.</w:t>
            </w:r>
          </w:p>
        </w:tc>
      </w:tr>
      <w:tr>
        <w:tc>
          <w:tcPr>
            <w:tcW w:type="dxa" w:w="18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Customers and distributors</w:t>
            </w:r>
          </w:p>
        </w:tc>
        <w:tc>
          <w:tcPr>
            <w:tcW w:type="dxa" w:w="1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Customer quality functions</w:t>
            </w:r>
          </w:p>
        </w:tc>
        <w:tc>
          <w:tcPr>
            <w:tcW w:type="dxa" w:w="2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Usually announced.</w:t>
            </w:r>
          </w:p>
        </w:tc>
        <w:tc>
          <w:tcPr>
            <w:tcW w:type="dxa" w:w="38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Quality agreements.</w:t>
            </w:r>
          </w:p>
        </w:tc>
      </w:tr>
    </w:tbl>
    <w:p>
      <w:pPr>
        <w:pStyle w:val="Heading2"/>
      </w:pPr>
      <w:r>
        <w:t xml:space="preserve">2.2 The 2026 regulatory snapshot</w:t>
      </w:r>
    </w:p>
    <w:p>
      <w:pPr>
        <w:pStyle w:val="ListParagraph"/>
        <w:numPr>
          <w:ilvl w:val="0"/>
          <w:numId w:val="2"/>
        </w:numPr>
        <w:spacing w:after="60"/>
      </w:pPr>
      <w:r>
        <w:rPr>
          <w:b/>
          <w:bCs/>
          <w:i w:val="false"/>
          <w:iCs w:val="false"/>
          <w:sz w:val="21"/>
          <w:szCs w:val="21"/>
        </w:rPr>
        <w:t xml:space="preserve">FDA QMSR.</w:t>
      </w:r>
      <w:r>
        <w:rPr>
          <w:b w:val="false"/>
          <w:bCs w:val="false"/>
          <w:i w:val="false"/>
          <w:iCs w:val="false"/>
          <w:sz w:val="21"/>
          <w:szCs w:val="21"/>
        </w:rPr>
        <w:t xml:space="preserve"> In force since 2 February 2026. ISO 13485:2016 is incorporated by reference into 21 CFR Part 820; QSIT is retired. FDA-specific additions sit in 820.10 (general), 820.35 (records, including complaint and servicing records with UDI) and 820.45 (labeling and packaging controls). The former 820.180(c) exemption that kept management review, internal audit and supplier audit records out of routine FDA review did not carry over: plan for investigators to request them.</w:t>
      </w:r>
    </w:p>
    <w:p>
      <w:pPr>
        <w:pStyle w:val="ListParagraph"/>
        <w:numPr>
          <w:ilvl w:val="0"/>
          <w:numId w:val="2"/>
        </w:numPr>
        <w:spacing w:after="60"/>
      </w:pPr>
      <w:r>
        <w:rPr>
          <w:b/>
          <w:bCs/>
          <w:i w:val="false"/>
          <w:iCs w:val="false"/>
          <w:sz w:val="21"/>
          <w:szCs w:val="21"/>
        </w:rPr>
        <w:t xml:space="preserve">EU MDR / IVDR.</w:t>
      </w:r>
      <w:r>
        <w:rPr>
          <w:b w:val="false"/>
          <w:bCs w:val="false"/>
          <w:i w:val="false"/>
          <w:iCs w:val="false"/>
          <w:sz w:val="21"/>
          <w:szCs w:val="21"/>
        </w:rPr>
        <w:t xml:space="preserve"> Transition periods were extended by Regulation (EU) 2023/607 (MDR legacy devices to the end of 2027 or 2028, subject to conditions) and Regulation (EU) 2024/1860 (IVDR, 2027–2029). Unannounced audits under Annex IX §3.4 continue regardless of transition status. PRRC, post-market surveillance, PSUR and EUDAMED duties apply.</w:t>
      </w:r>
    </w:p>
    <w:p>
      <w:pPr>
        <w:pStyle w:val="ListParagraph"/>
        <w:numPr>
          <w:ilvl w:val="0"/>
          <w:numId w:val="2"/>
        </w:numPr>
        <w:spacing w:after="60"/>
      </w:pPr>
      <w:r>
        <w:rPr>
          <w:b/>
          <w:bCs/>
          <w:i w:val="false"/>
          <w:iCs w:val="false"/>
          <w:sz w:val="21"/>
          <w:szCs w:val="21"/>
        </w:rPr>
        <w:t xml:space="preserve">MDSAP.</w:t>
      </w:r>
      <w:r>
        <w:rPr>
          <w:b w:val="false"/>
          <w:bCs w:val="false"/>
          <w:i w:val="false"/>
          <w:iCs w:val="false"/>
          <w:sz w:val="21"/>
          <w:szCs w:val="21"/>
        </w:rPr>
        <w:t xml:space="preserve"> One audit covering Australia, Brazil, Canada, Japan and the USA; further jurisdictions participate as affiliates and observers. Nonconformities are graded 1–5 (GHTF/SG3/N19); grades 4 and 5 are notified to the regulators within five business days.</w:t>
      </w:r>
    </w:p>
    <w:p>
      <w:pPr>
        <w:pStyle w:val="ListParagraph"/>
        <w:numPr>
          <w:ilvl w:val="0"/>
          <w:numId w:val="2"/>
        </w:numPr>
        <w:spacing w:after="60"/>
      </w:pPr>
      <w:r>
        <w:rPr>
          <w:b/>
          <w:bCs/>
          <w:i w:val="false"/>
          <w:iCs w:val="false"/>
          <w:sz w:val="21"/>
          <w:szCs w:val="21"/>
        </w:rPr>
        <w:t xml:space="preserve">United Kingdom.</w:t>
      </w:r>
      <w:r>
        <w:rPr>
          <w:b w:val="false"/>
          <w:bCs w:val="false"/>
          <w:i w:val="false"/>
          <w:iCs w:val="false"/>
          <w:sz w:val="21"/>
          <w:szCs w:val="21"/>
        </w:rPr>
        <w:t xml:space="preserve"> UK Medical Devices Regulations 2002 (as amended). CE marking accepted to 30 June 2028 for MDD/AIMDD/IVDD devices and to 30 June 2030 for MDR/IVDR devices. New post-market surveillance regulations in force since 16 June 2025. A UK Responsible Person is required for non-UK manufacturers.</w:t>
      </w:r>
    </w:p>
    <w:p>
      <w:pPr>
        <w:pStyle w:val="ListParagraph"/>
        <w:numPr>
          <w:ilvl w:val="0"/>
          <w:numId w:val="2"/>
        </w:numPr>
        <w:spacing w:after="60"/>
      </w:pPr>
      <w:r>
        <w:rPr>
          <w:b/>
          <w:bCs/>
          <w:i w:val="false"/>
          <w:iCs w:val="false"/>
          <w:sz w:val="21"/>
          <w:szCs w:val="21"/>
        </w:rPr>
        <w:t xml:space="preserve">ISO 13485.</w:t>
      </w:r>
      <w:r>
        <w:rPr>
          <w:b w:val="false"/>
          <w:bCs w:val="false"/>
          <w:i w:val="false"/>
          <w:iCs w:val="false"/>
          <w:sz w:val="21"/>
          <w:szCs w:val="21"/>
        </w:rPr>
        <w:t xml:space="preserve"> The 2016 edition remains current, plus Amendment 1:2024 (climate-change considerations). EN ISO 13485:2016+A11:2021 is harmonised under the MDR/IVDR. A revision is under way in ISO/TC 210; track the draft stages and expect a transition period.</w:t>
      </w:r>
    </w:p>
    <w:p>
      <w:pPr>
        <w:pStyle w:val="ListParagraph"/>
        <w:numPr>
          <w:ilvl w:val="0"/>
          <w:numId w:val="2"/>
        </w:numPr>
        <w:spacing w:after="60"/>
      </w:pPr>
      <w:r>
        <w:rPr>
          <w:b/>
          <w:bCs/>
          <w:i w:val="false"/>
          <w:iCs w:val="false"/>
          <w:sz w:val="21"/>
          <w:szCs w:val="21"/>
        </w:rPr>
        <w:t xml:space="preserve">Other major markets.</w:t>
      </w:r>
      <w:r>
        <w:rPr>
          <w:b w:val="false"/>
          <w:bCs w:val="false"/>
          <w:i w:val="false"/>
          <w:iCs w:val="false"/>
          <w:sz w:val="21"/>
          <w:szCs w:val="21"/>
        </w:rPr>
        <w:t xml:space="preserve"> Brazil RDC 665/2022 (BGMP), Japan MHLW Ordinance 169, China NMPA GMP, Korea KGMP, Saudi SFDA, India MDR 2017. Largely aligned with ISO 13485, each with local deltas on registration, records, language and reporting.</w:t>
      </w:r>
    </w:p>
    <w:p>
      <w:pPr>
        <w:spacing w:after="120" w:before="0"/>
      </w:pPr>
      <w:r>
        <w:rPr>
          <w:b w:val="false"/>
          <w:bCs w:val="false"/>
          <w:i/>
          <w:iCs/>
          <w:color w:val="5A6B7B"/>
          <w:sz w:val="17"/>
          <w:szCs w:val="17"/>
        </w:rPr>
        <w:t xml:space="preserve">Dates and references are current as of September 2026; confirm against the primary sources before relying on them.</w:t>
      </w:r>
    </w:p>
    <w:p>
      <w:pPr>
        <w:pStyle w:val="Heading1"/>
      </w:pPr>
      <w:r>
        <w:t xml:space="preserve">3. ISO 13485 as the backbone</w:t>
      </w:r>
    </w:p>
    <w:p>
      <w:pPr>
        <w:spacing w:after="120" w:before="0"/>
      </w:pPr>
      <w:r>
        <w:rPr>
          <w:b w:val="false"/>
          <w:bCs w:val="false"/>
          <w:i w:val="false"/>
          <w:iCs w:val="false"/>
          <w:sz w:val="21"/>
          <w:szCs w:val="21"/>
        </w:rPr>
        <w:t xml:space="preserve">Every regime in Section 2 either adopts ISO 13485:2016 outright or sits on top of it. Two threads run through the standard: the risk-based approach to processes (4.1.2) and the phrase "applicable regulatory requirements", which appears throughout and is what lets regulators adopt it. Auditors of every kind ask the same three questions in sequence: show me the procedure; show me the records; show me it happening on the floor.</w:t>
      </w:r>
    </w:p>
    <w:p>
      <w:pPr>
        <w:pStyle w:val="Heading2"/>
      </w:pPr>
      <w:r>
        <w:t xml:space="preserve">3.1 The audit-critical clauses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600"/>
        <w:gridCol w:w="3900"/>
        <w:gridCol w:w="3580"/>
      </w:tblGrid>
      <w:tr>
        <w:trPr>
          <w:tblHeader/>
        </w:trPr>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Clause</w:t>
            </w:r>
          </w:p>
        </w:tc>
        <w:tc>
          <w:tcPr>
            <w:tcW w:type="dxa" w:w="39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What the auditor asks for</w:t>
            </w:r>
          </w:p>
        </w:tc>
        <w:tc>
          <w:tcPr>
            <w:tcW w:type="dxa" w:w="358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How it typically fails</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4.1.5 / 7.4  Outsourced processes and suppliers</w:t>
            </w:r>
          </w:p>
        </w:tc>
        <w:tc>
          <w:tcPr>
            <w:tcW w:type="dxa" w:w="3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Approved supplier list, evaluations, quality agreements, incoming inspection records for the components in the sampled unit</w:t>
            </w:r>
          </w:p>
        </w:tc>
        <w:tc>
          <w:tcPr>
            <w:tcW w:type="dxa" w:w="35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Evaluations years old; agreements silent on change notification and regulator access; scorecards nobody verifies</w:t>
            </w:r>
          </w:p>
        </w:tc>
      </w:tr>
      <w:tr>
        <w:tc>
          <w:tcPr>
            <w:tcW w:type="dxa" w:w="26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4.2.3  Medical device file (DMR)</w:t>
            </w:r>
          </w:p>
        </w:tc>
        <w:tc>
          <w:tcPr>
            <w:tcW w:type="dxa" w:w="3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The current file for the sampled device: specifications, drawings, labeling, IFU, process specifications, acceptance criteria</w:t>
            </w:r>
          </w:p>
        </w:tc>
        <w:tc>
          <w:tcPr>
            <w:tcW w:type="dxa" w:w="35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Uncontrolled drawings on the floor; file does not match what is being built today</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4.2.4 / 4.2.5  Documents and records</w:t>
            </w:r>
          </w:p>
        </w:tc>
        <w:tc>
          <w:tcPr>
            <w:tcW w:type="dxa" w:w="3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Revision history, obsolete-document control, DHR completeness, record retention and legibility</w:t>
            </w:r>
          </w:p>
        </w:tc>
        <w:tc>
          <w:tcPr>
            <w:tcW w:type="dxa" w:w="35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Handwritten corrections without initials and date; missing signatures; unapproved forms in use</w:t>
            </w:r>
          </w:p>
        </w:tc>
      </w:tr>
      <w:tr>
        <w:tc>
          <w:tcPr>
            <w:tcW w:type="dxa" w:w="26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5.6  Management review</w:t>
            </w:r>
          </w:p>
        </w:tc>
        <w:tc>
          <w:tcPr>
            <w:tcW w:type="dxa" w:w="3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Inputs required by 5.6.2 (audits, complaints, regulatory reporting, suppliers), decisions, resource actions, follow-up</w:t>
            </w:r>
          </w:p>
        </w:tc>
        <w:tc>
          <w:tcPr>
            <w:tcW w:type="dxa" w:w="35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Slide decks with no decisions; overdue actions; regulatory reporting never discussed</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6.2  Competence and training</w:t>
            </w:r>
          </w:p>
        </w:tc>
        <w:tc>
          <w:tcPr>
            <w:tcW w:type="dxa" w:w="3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Training matrix and effectiveness evaluation for the operators the auditor just interviewed</w:t>
            </w:r>
          </w:p>
        </w:tc>
        <w:tc>
          <w:tcPr>
            <w:tcW w:type="dxa" w:w="35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Operators trained on a superseded revision; "read and understood" with no effectiveness check</w:t>
            </w:r>
          </w:p>
        </w:tc>
      </w:tr>
      <w:tr>
        <w:tc>
          <w:tcPr>
            <w:tcW w:type="dxa" w:w="26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7.3  Design and development</w:t>
            </w:r>
          </w:p>
        </w:tc>
        <w:tc>
          <w:tcPr>
            <w:tcW w:type="dxa" w:w="3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Design changes (7.3.9), verification and validation, risk management file, design transfer evidence</w:t>
            </w:r>
          </w:p>
        </w:tc>
        <w:tc>
          <w:tcPr>
            <w:tcW w:type="dxa" w:w="35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Production or supplier changes made with no design or risk impact assessment</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7.5.6  Process validation</w:t>
            </w:r>
          </w:p>
        </w:tc>
        <w:tc>
          <w:tcPr>
            <w:tcW w:type="dxa" w:w="3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IQ/OQ/PQ for the process being observed; revalidation triggers; software validation for automated equipment</w:t>
            </w:r>
          </w:p>
        </w:tc>
        <w:tc>
          <w:tcPr>
            <w:tcW w:type="dxa" w:w="35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New equipment or software running on the old validation; no defined revalidation criteria</w:t>
            </w:r>
          </w:p>
        </w:tc>
      </w:tr>
      <w:tr>
        <w:tc>
          <w:tcPr>
            <w:tcW w:type="dxa" w:w="26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7.5.9  Traceability</w:t>
            </w:r>
          </w:p>
        </w:tc>
        <w:tc>
          <w:tcPr>
            <w:tcW w:type="dxa" w:w="3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Full trace of the sampled lot: components and lots in, build records, test results, release, distribution</w:t>
            </w:r>
          </w:p>
        </w:tc>
        <w:tc>
          <w:tcPr>
            <w:tcW w:type="dxa" w:w="35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Lot cannot be reconstructed within the audit day; distribution records incomplete</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7.6  Monitoring and measuring equipment</w:t>
            </w:r>
          </w:p>
        </w:tc>
        <w:tc>
          <w:tcPr>
            <w:tcW w:type="dxa" w:w="3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Calibration status and records for every gauge and tool the auditor sees in use</w:t>
            </w:r>
          </w:p>
        </w:tc>
        <w:tc>
          <w:tcPr>
            <w:tcW w:type="dxa" w:w="35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Overdue calibration with no product impact assessment; "reference only" tools used for acceptance</w:t>
            </w:r>
          </w:p>
        </w:tc>
      </w:tr>
      <w:tr>
        <w:tc>
          <w:tcPr>
            <w:tcW w:type="dxa" w:w="26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8.2.2 / 8.2.3  Complaints and reporting</w:t>
            </w:r>
          </w:p>
        </w:tc>
        <w:tc>
          <w:tcPr>
            <w:tcW w:type="dxa" w:w="3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Complaint log, investigation records, reportability decisions with rationale, submission timelines</w:t>
            </w:r>
          </w:p>
        </w:tc>
        <w:tc>
          <w:tcPr>
            <w:tcW w:type="dxa" w:w="35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Late or undocumented reportability decisions; complaints closed without investigation</w:t>
            </w:r>
          </w:p>
        </w:tc>
      </w:tr>
      <w:tr>
        <w:tc>
          <w:tcPr>
            <w:tcW w:type="dxa" w:w="26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8.3  Nonconforming product</w:t>
            </w:r>
          </w:p>
        </w:tc>
        <w:tc>
          <w:tcPr>
            <w:tcW w:type="dxa" w:w="3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NCR log, dispositions, rework instructions (8.3.4) and re-verification, concession records</w:t>
            </w:r>
          </w:p>
        </w:tc>
        <w:tc>
          <w:tcPr>
            <w:tcW w:type="dxa" w:w="35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"Use as is" without risk rationale; rework without re-verification; repeat NCRs never trended into CAPA</w:t>
            </w:r>
          </w:p>
        </w:tc>
      </w:tr>
      <w:tr>
        <w:tc>
          <w:tcPr>
            <w:tcW w:type="dxa" w:w="26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8.5.2  Corrective action</w:t>
            </w:r>
          </w:p>
        </w:tc>
        <w:tc>
          <w:tcPr>
            <w:tcW w:type="dxa" w:w="3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Open and closed CAPAs, root cause analysis, action plans, effectiveness verification</w:t>
            </w:r>
          </w:p>
        </w:tc>
        <w:tc>
          <w:tcPr>
            <w:tcW w:type="dxa" w:w="35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Symptom fixes; "training" as the universal corrective action; CAPAs open more than a year without justification</w:t>
            </w:r>
          </w:p>
        </w:tc>
      </w:tr>
    </w:tbl>
    <w:p>
      <w:pPr>
        <w:pStyle w:val="Heading2"/>
      </w:pPr>
      <w:r>
        <w:t xml:space="preserve">3.2 The evidence chain: auditors follow product</w:t>
      </w:r>
    </w:p>
    <w:p>
      <w:pPr>
        <w:spacing w:after="120" w:before="0"/>
      </w:pPr>
      <w:r>
        <w:rPr>
          <w:b w:val="false"/>
          <w:bCs w:val="false"/>
          <w:i w:val="false"/>
          <w:iCs w:val="false"/>
          <w:sz w:val="21"/>
          <w:szCs w:val="21"/>
        </w:rPr>
        <w:t xml:space="preserve">An unannounced auditor walks onto the floor, picks up a unit, and pulls the thread backwards and forwards:</w:t>
      </w:r>
    </w:p>
    <w:p>
      <w:pPr>
        <w:pStyle w:val="ListParagraph"/>
        <w:numPr>
          <w:ilvl w:val="0"/>
          <w:numId w:val="3"/>
        </w:numPr>
        <w:spacing w:after="80"/>
      </w:pPr>
      <w:r>
        <w:rPr>
          <w:b/>
          <w:bCs/>
          <w:i w:val="false"/>
          <w:iCs w:val="false"/>
          <w:sz w:val="21"/>
          <w:szCs w:val="21"/>
        </w:rPr>
        <w:t xml:space="preserve">A unit on the line.</w:t>
      </w:r>
      <w:r>
        <w:rPr>
          <w:b w:val="false"/>
          <w:bCs w:val="false"/>
          <w:i w:val="false"/>
          <w:iCs w:val="false"/>
          <w:sz w:val="21"/>
          <w:szCs w:val="21"/>
        </w:rPr>
        <w:t xml:space="preserve"> Finished or in-process product, or a lot in stock.</w:t>
      </w:r>
    </w:p>
    <w:p>
      <w:pPr>
        <w:pStyle w:val="ListParagraph"/>
        <w:numPr>
          <w:ilvl w:val="0"/>
          <w:numId w:val="3"/>
        </w:numPr>
        <w:spacing w:after="80"/>
      </w:pPr>
      <w:r>
        <w:rPr>
          <w:b/>
          <w:bCs/>
          <w:i w:val="false"/>
          <w:iCs w:val="false"/>
          <w:sz w:val="21"/>
          <w:szCs w:val="21"/>
        </w:rPr>
        <w:t xml:space="preserve">DHR / batch record.</w:t>
      </w:r>
      <w:r>
        <w:rPr>
          <w:b w:val="false"/>
          <w:bCs w:val="false"/>
          <w:i w:val="false"/>
          <w:iCs w:val="false"/>
          <w:sz w:val="21"/>
          <w:szCs w:val="21"/>
        </w:rPr>
        <w:t xml:space="preserve"> Build, inspection and test records: who did what, with which tools, when.</w:t>
      </w:r>
    </w:p>
    <w:p>
      <w:pPr>
        <w:pStyle w:val="ListParagraph"/>
        <w:numPr>
          <w:ilvl w:val="0"/>
          <w:numId w:val="3"/>
        </w:numPr>
        <w:spacing w:after="80"/>
      </w:pPr>
      <w:r>
        <w:rPr>
          <w:b/>
          <w:bCs/>
          <w:i w:val="false"/>
          <w:iCs w:val="false"/>
          <w:sz w:val="21"/>
          <w:szCs w:val="21"/>
        </w:rPr>
        <w:t xml:space="preserve">Medical device file (DMR).</w:t>
      </w:r>
      <w:r>
        <w:rPr>
          <w:b w:val="false"/>
          <w:bCs w:val="false"/>
          <w:i w:val="false"/>
          <w:iCs w:val="false"/>
          <w:sz w:val="21"/>
          <w:szCs w:val="21"/>
        </w:rPr>
        <w:t xml:space="preserve"> The specifications, drawings, labeling and process specifications the unit should meet.</w:t>
      </w:r>
    </w:p>
    <w:p>
      <w:pPr>
        <w:pStyle w:val="ListParagraph"/>
        <w:numPr>
          <w:ilvl w:val="0"/>
          <w:numId w:val="3"/>
        </w:numPr>
        <w:spacing w:after="80"/>
      </w:pPr>
      <w:r>
        <w:rPr>
          <w:b/>
          <w:bCs/>
          <w:i w:val="false"/>
          <w:iCs w:val="false"/>
          <w:sz w:val="21"/>
          <w:szCs w:val="21"/>
        </w:rPr>
        <w:t xml:space="preserve">Design evidence.</w:t>
      </w:r>
      <w:r>
        <w:rPr>
          <w:b w:val="false"/>
          <w:bCs w:val="false"/>
          <w:i w:val="false"/>
          <w:iCs w:val="false"/>
          <w:sz w:val="21"/>
          <w:szCs w:val="21"/>
        </w:rPr>
        <w:t xml:space="preserve"> Verification and validation, the risk management file, change history.</w:t>
      </w:r>
    </w:p>
    <w:p>
      <w:pPr>
        <w:pStyle w:val="ListParagraph"/>
        <w:numPr>
          <w:ilvl w:val="0"/>
          <w:numId w:val="3"/>
        </w:numPr>
        <w:spacing w:after="80"/>
      </w:pPr>
      <w:r>
        <w:rPr>
          <w:b/>
          <w:bCs/>
          <w:i w:val="false"/>
          <w:iCs w:val="false"/>
          <w:sz w:val="21"/>
          <w:szCs w:val="21"/>
        </w:rPr>
        <w:t xml:space="preserve">Critical suppliers.</w:t>
      </w:r>
      <w:r>
        <w:rPr>
          <w:b w:val="false"/>
          <w:bCs w:val="false"/>
          <w:i w:val="false"/>
          <w:iCs w:val="false"/>
          <w:sz w:val="21"/>
          <w:szCs w:val="21"/>
        </w:rPr>
        <w:t xml:space="preserve"> Approvals, agreements, incoming inspection for the components inside.</w:t>
      </w:r>
    </w:p>
    <w:p>
      <w:pPr>
        <w:pStyle w:val="ListParagraph"/>
        <w:numPr>
          <w:ilvl w:val="0"/>
          <w:numId w:val="3"/>
        </w:numPr>
        <w:spacing w:after="80"/>
      </w:pPr>
      <w:r>
        <w:rPr>
          <w:b/>
          <w:bCs/>
          <w:i w:val="false"/>
          <w:iCs w:val="false"/>
          <w:sz w:val="21"/>
          <w:szCs w:val="21"/>
        </w:rPr>
        <w:t xml:space="preserve">Complaints, NCRs, CAPAs.</w:t>
      </w:r>
      <w:r>
        <w:rPr>
          <w:b w:val="false"/>
          <w:bCs w:val="false"/>
          <w:i w:val="false"/>
          <w:iCs w:val="false"/>
          <w:sz w:val="21"/>
          <w:szCs w:val="21"/>
        </w:rPr>
        <w:t xml:space="preserve"> The history of the product family and whether it fed back into risk and design.</w:t>
      </w:r>
    </w:p>
    <w:p>
      <w:pPr>
        <w:pStyle w:val="ListParagraph"/>
        <w:numPr>
          <w:ilvl w:val="0"/>
          <w:numId w:val="3"/>
        </w:numPr>
        <w:spacing w:after="80"/>
      </w:pPr>
      <w:r>
        <w:rPr>
          <w:b/>
          <w:bCs/>
          <w:i w:val="false"/>
          <w:iCs w:val="false"/>
          <w:sz w:val="21"/>
          <w:szCs w:val="21"/>
        </w:rPr>
        <w:t xml:space="preserve">Release and distribution.</w:t>
      </w:r>
      <w:r>
        <w:rPr>
          <w:b w:val="false"/>
          <w:bCs w:val="false"/>
          <w:i w:val="false"/>
          <w:iCs w:val="false"/>
          <w:sz w:val="21"/>
          <w:szCs w:val="21"/>
        </w:rPr>
        <w:t xml:space="preserve"> The release decision, labeling and UDI, and where every unit went.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The 60-minute test.</w:t>
            </w:r>
            <w:r>
              <w:rPr>
                <w:b w:val="false"/>
                <w:bCs w:val="false"/>
                <w:i w:val="false"/>
                <w:iCs w:val="false"/>
                <w:sz w:val="20"/>
                <w:szCs w:val="20"/>
              </w:rPr>
              <w:t xml:space="preserve"> Pick a random lot, start the clock, and see whether the complete records and the people who did the work arrive within an hour. If they do not, that is your first readiness finding.</w:t>
            </w:r>
          </w:p>
        </w:tc>
      </w:tr>
    </w:tbl>
    <w:p>
      <w:pPr>
        <w:pStyle w:val="Heading1"/>
      </w:pPr>
      <w:r>
        <w:t xml:space="preserve">4. The unannounced audit protocol</w:t>
      </w:r>
    </w:p>
    <w:p>
      <w:pPr>
        <w:pStyle w:val="Heading2"/>
      </w:pPr>
      <w:r>
        <w:t xml:space="preserve">4.1 The first 60 minutes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500"/>
        <w:gridCol w:w="1100"/>
        <w:gridCol w:w="5480"/>
        <w:gridCol w:w="2000"/>
      </w:tblGrid>
      <w:tr>
        <w:trPr>
          <w:tblHeader/>
        </w:trPr>
        <w:tc>
          <w:tcPr>
            <w:tcW w:type="dxa" w:w="15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Phase</w:t>
            </w:r>
          </w:p>
        </w:tc>
        <w:tc>
          <w:tcPr>
            <w:tcW w:type="dxa" w:w="1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Time</w:t>
            </w:r>
          </w:p>
        </w:tc>
        <w:tc>
          <w:tcPr>
            <w:tcW w:type="dxa" w:w="54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Actions</w:t>
            </w:r>
          </w:p>
        </w:tc>
        <w:tc>
          <w:tcPr>
            <w:tcW w:type="dxa" w:w="2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Owner</w:t>
            </w:r>
          </w:p>
        </w:tc>
      </w:tr>
      <w:tr>
        <w:tc>
          <w:tcPr>
            <w:tcW w:type="dxa" w:w="1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Reception</w:t>
            </w:r>
          </w:p>
        </w:tc>
        <w:tc>
          <w:tcPr>
            <w:tcW w:type="dxa" w:w="11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0–5 min</w:t>
            </w:r>
          </w:p>
        </w:tc>
        <w:tc>
          <w:tcPr>
            <w:tcW w:type="dxa" w:w="5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Verify identity: photo ID, agency or notified body credentials, Form FDA 482 for FDA.</w:t>
            </w:r>
          </w:p>
          <w:p>
            <w:pPr>
              <w:spacing w:after="40"/>
            </w:pPr>
            <w:r>
              <w:rPr>
                <w:b w:val="false"/>
                <w:bCs w:val="false"/>
                <w:i w:val="false"/>
                <w:iCs w:val="false"/>
                <w:sz w:val="19"/>
                <w:szCs w:val="19"/>
              </w:rPr>
              <w:t xml:space="preserve">Call the Audit Response Lead or the named deputy from the 24/7 roster.</w:t>
            </w:r>
          </w:p>
          <w:p>
            <w:pPr>
              <w:spacing w:after="40"/>
            </w:pPr>
            <w:r>
              <w:rPr>
                <w:b w:val="false"/>
                <w:bCs w:val="false"/>
                <w:i w:val="false"/>
                <w:iCs w:val="false"/>
                <w:sz w:val="19"/>
                <w:szCs w:val="19"/>
              </w:rPr>
              <w:t xml:space="preserve">Seat the auditors in the lobby or a meeting room; never leave them unattended; never refuse or stall.</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Reception / security</w:t>
            </w:r>
          </w:p>
        </w:tc>
      </w:tr>
      <w:tr>
        <w:tc>
          <w:tcPr>
            <w:tcW w:type="dxa" w:w="15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Mobilize</w:t>
            </w:r>
          </w:p>
        </w:tc>
        <w:tc>
          <w:tcPr>
            <w:tcW w:type="dxa" w:w="11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5–15 min</w:t>
            </w:r>
          </w:p>
        </w:tc>
        <w:tc>
          <w:tcPr>
            <w:tcW w:type="dxa" w:w="5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Escort to the audit room; offer water and wifi per policy.</w:t>
            </w:r>
          </w:p>
          <w:p>
            <w:pPr>
              <w:spacing w:after="40"/>
            </w:pPr>
            <w:r>
              <w:rPr>
                <w:b w:val="false"/>
                <w:bCs w:val="false"/>
                <w:i w:val="false"/>
                <w:iCs w:val="false"/>
                <w:sz w:val="19"/>
                <w:szCs w:val="19"/>
              </w:rPr>
              <w:t xml:space="preserve">Notify the site head, QA/RA leadership, corporate quality and legal.</w:t>
            </w:r>
          </w:p>
          <w:p>
            <w:pPr>
              <w:spacing w:after="40"/>
            </w:pPr>
            <w:r>
              <w:rPr>
                <w:b w:val="false"/>
                <w:bCs w:val="false"/>
                <w:i w:val="false"/>
                <w:iCs w:val="false"/>
                <w:sz w:val="19"/>
                <w:szCs w:val="19"/>
              </w:rPr>
              <w:t xml:space="preserve">Open the request log; assign scribe, runner and SMEs; stand up the back room.</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Audit Response Lead</w:t>
            </w:r>
          </w:p>
        </w:tc>
      </w:tr>
      <w:tr>
        <w:tc>
          <w:tcPr>
            <w:tcW w:type="dxa" w:w="15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Opening meeting</w:t>
            </w:r>
          </w:p>
        </w:tc>
        <w:tc>
          <w:tcPr>
            <w:tcW w:type="dxa" w:w="11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15–30 min</w:t>
            </w:r>
          </w:p>
        </w:tc>
        <w:tc>
          <w:tcPr>
            <w:tcW w:type="dxa" w:w="54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Confirm scope, standard and regulation, sites and the auditors' plan for the day.</w:t>
            </w:r>
          </w:p>
          <w:p>
            <w:pPr>
              <w:spacing w:after="40"/>
            </w:pPr>
            <w:r>
              <w:rPr>
                <w:b w:val="false"/>
                <w:bCs w:val="false"/>
                <w:i w:val="false"/>
                <w:iCs w:val="false"/>
                <w:sz w:val="19"/>
                <w:szCs w:val="19"/>
              </w:rPr>
              <w:t xml:space="preserve">Give the site overview and the EHS or gowning briefing.</w:t>
            </w:r>
          </w:p>
          <w:p>
            <w:pPr>
              <w:spacing w:after="40"/>
            </w:pPr>
            <w:r>
              <w:rPr>
                <w:b w:val="false"/>
                <w:bCs w:val="false"/>
                <w:i w:val="false"/>
                <w:iCs w:val="false"/>
                <w:sz w:val="19"/>
                <w:szCs w:val="19"/>
              </w:rPr>
              <w:t xml:space="preserve">Agree logistics: rooms, printing, system access, photo and sample policy, how requests and findings will be communicated.</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Audit Response Lead, site head</w:t>
            </w:r>
          </w:p>
        </w:tc>
      </w:tr>
      <w:tr>
        <w:tc>
          <w:tcPr>
            <w:tcW w:type="dxa" w:w="15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On the floor</w:t>
            </w:r>
          </w:p>
        </w:tc>
        <w:tc>
          <w:tcPr>
            <w:tcW w:type="dxa" w:w="11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30–60 min</w:t>
            </w:r>
          </w:p>
        </w:tc>
        <w:tc>
          <w:tcPr>
            <w:tcW w:type="dxa" w:w="54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Auditors select product; every sample and document request is logged with a timestamp.</w:t>
            </w:r>
          </w:p>
          <w:p>
            <w:pPr>
              <w:spacing w:after="40"/>
            </w:pPr>
            <w:r>
              <w:rPr>
                <w:b w:val="false"/>
                <w:bCs w:val="false"/>
                <w:i w:val="false"/>
                <w:iCs w:val="false"/>
                <w:sz w:val="19"/>
                <w:szCs w:val="19"/>
              </w:rPr>
              <w:t xml:space="preserve">SMEs answer what is asked, then stop; the scribe records every question and answer.</w:t>
            </w:r>
          </w:p>
          <w:p>
            <w:pPr>
              <w:spacing w:after="40"/>
            </w:pPr>
            <w:r>
              <w:rPr>
                <w:b w:val="false"/>
                <w:bCs w:val="false"/>
                <w:i w:val="false"/>
                <w:iCs w:val="false"/>
                <w:sz w:val="19"/>
                <w:szCs w:val="19"/>
              </w:rPr>
              <w:t xml:space="preserve">Runners retrieve DHR, DMR and validation records via the back room; factual errors are corrected immediately and politely.</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SMEs, scribe, runners</w:t>
            </w:r>
          </w:p>
        </w:tc>
      </w:tr>
    </w:tbl>
    <w:p>
      <w:pPr>
        <w:pStyle w:val="Heading2"/>
      </w:pPr>
      <w:r>
        <w:t xml:space="preserve">4.2 Roles and deputies</w:t>
      </w:r>
    </w:p>
    <w:p>
      <w:pPr>
        <w:spacing w:after="120" w:before="0"/>
      </w:pPr>
      <w:r>
        <w:rPr>
          <w:b w:val="false"/>
          <w:bCs w:val="false"/>
          <w:i w:val="false"/>
          <w:iCs w:val="false"/>
          <w:sz w:val="21"/>
          <w:szCs w:val="21"/>
        </w:rPr>
        <w:t xml:space="preserve">Fill in the names for your site. Every role has a deputy, and the roster covers nights, weekends and holiday shutdowns.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100"/>
        <w:gridCol w:w="4380"/>
        <w:gridCol w:w="1800"/>
        <w:gridCol w:w="1800"/>
      </w:tblGrid>
      <w:tr>
        <w:trPr>
          <w:tblHeader/>
        </w:trPr>
        <w:tc>
          <w:tcPr>
            <w:tcW w:type="dxa" w:w="2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Role</w:t>
            </w:r>
          </w:p>
        </w:tc>
        <w:tc>
          <w:tcPr>
            <w:tcW w:type="dxa" w:w="43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Responsibilities</w:t>
            </w:r>
          </w:p>
        </w:tc>
        <w:tc>
          <w:tcPr>
            <w:tcW w:type="dxa" w:w="1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Primary</w:t>
            </w:r>
          </w:p>
        </w:tc>
        <w:tc>
          <w:tcPr>
            <w:tcW w:type="dxa" w:w="1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Deputy</w:t>
            </w:r>
          </w:p>
        </w:tc>
      </w:tr>
      <w:tr>
        <w:tc>
          <w:tcPr>
            <w:tcW w:type="dxa" w:w="2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Audit Response Lead</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Owns the audit; the single voice to the auditors; decides what is provided and when</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2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Site Head</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Resources and decisions; visible at the opening and closing meetings</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2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Front-room SMEs</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Production, QC, engineering, supplier quality, RA; answer what is asked, nothing more</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2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Scribe</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Verbatim log of questions, answers, documents shown and samples taken</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2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Runners</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Retrieve records; nothing reaches the front room unreviewed</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2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Back-room coordinator</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Reviews every document before it goes in; spots issues; prepares SMEs</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21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Document control and IT</w:t>
            </w:r>
          </w:p>
        </w:tc>
        <w:tc>
          <w:tcPr>
            <w:tcW w:type="dxa" w:w="4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System access, controlled copies, record retrieval, printing</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21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Reception and security</w:t>
            </w:r>
          </w:p>
        </w:tc>
        <w:tc>
          <w:tcPr>
            <w:tcW w:type="dxa" w:w="4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The script, the roster, badges and escort; the first five minutes</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r>
    </w:tbl>
    <w:p>
      <w:pPr>
        <w:pStyle w:val="Heading2"/>
      </w:pPr>
      <w:r>
        <w:t xml:space="preserve">4.3 On the day: do and don't</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5040"/>
        <w:gridCol w:w="5040"/>
      </w:tblGrid>
      <w:tr>
        <w:trPr>
          <w:tblHeader/>
        </w:trPr>
        <w:tc>
          <w:tcPr>
            <w:tcW w:type="dxa" w:w="5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Do</w:t>
            </w:r>
          </w:p>
        </w:tc>
        <w:tc>
          <w:tcPr>
            <w:tcW w:type="dxa" w:w="504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Don't</w:t>
            </w:r>
          </w:p>
        </w:tc>
      </w:tr>
      <w:tr>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Give exactly what is asked, when it is asked.</w:t>
            </w:r>
          </w:p>
          <w:p>
            <w:pPr>
              <w:spacing w:after="40"/>
            </w:pPr>
            <w:r>
              <w:rPr>
                <w:b w:val="false"/>
                <w:bCs w:val="false"/>
                <w:i w:val="false"/>
                <w:iCs w:val="false"/>
                <w:sz w:val="19"/>
                <w:szCs w:val="19"/>
              </w:rPr>
              <w:t xml:space="preserve">Keep a copy of everything you hand over.</w:t>
            </w:r>
          </w:p>
          <w:p>
            <w:pPr>
              <w:spacing w:after="40"/>
            </w:pPr>
            <w:r>
              <w:rPr>
                <w:b w:val="false"/>
                <w:bCs w:val="false"/>
                <w:i w:val="false"/>
                <w:iCs w:val="false"/>
                <w:sz w:val="19"/>
                <w:szCs w:val="19"/>
              </w:rPr>
              <w:t xml:space="preserve">Answer the question, then stop.</w:t>
            </w:r>
          </w:p>
          <w:p>
            <w:pPr>
              <w:spacing w:after="40"/>
            </w:pPr>
            <w:r>
              <w:rPr>
                <w:b w:val="false"/>
                <w:bCs w:val="false"/>
                <w:i w:val="false"/>
                <w:iCs w:val="false"/>
                <w:sz w:val="19"/>
                <w:szCs w:val="19"/>
              </w:rPr>
              <w:t xml:space="preserve">Say "I don't know, I will find out", then find out.</w:t>
            </w:r>
          </w:p>
          <w:p>
            <w:pPr>
              <w:spacing w:after="40"/>
            </w:pPr>
            <w:r>
              <w:rPr>
                <w:b w:val="false"/>
                <w:bCs w:val="false"/>
                <w:i w:val="false"/>
                <w:iCs w:val="false"/>
                <w:sz w:val="19"/>
                <w:szCs w:val="19"/>
              </w:rPr>
              <w:t xml:space="preserve">Challenge factual errors at the time, with evidence.</w:t>
            </w:r>
          </w:p>
          <w:p>
            <w:pPr>
              <w:spacing w:after="40"/>
            </w:pPr>
            <w:r>
              <w:rPr>
                <w:b w:val="false"/>
                <w:bCs w:val="false"/>
                <w:i w:val="false"/>
                <w:iCs w:val="false"/>
                <w:sz w:val="19"/>
                <w:szCs w:val="19"/>
              </w:rPr>
              <w:t xml:space="preserve">Take your own notes on every potential finding.</w:t>
            </w:r>
          </w:p>
          <w:p>
            <w:pPr>
              <w:spacing w:after="40"/>
            </w:pPr>
            <w:r>
              <w:rPr>
                <w:b w:val="false"/>
                <w:bCs w:val="false"/>
                <w:i w:val="false"/>
                <w:iCs w:val="false"/>
                <w:sz w:val="19"/>
                <w:szCs w:val="19"/>
              </w:rPr>
              <w:t xml:space="preserve">Prepare operators to answer normally; they can and will be interviewed.</w:t>
            </w:r>
          </w:p>
          <w:p>
            <w:pPr>
              <w:spacing w:after="40"/>
            </w:pPr>
            <w:r>
              <w:rPr>
                <w:b w:val="false"/>
                <w:bCs w:val="false"/>
                <w:i w:val="false"/>
                <w:iCs w:val="false"/>
                <w:sz w:val="19"/>
                <w:szCs w:val="19"/>
              </w:rPr>
              <w:t xml:space="preserve">Treat every finding as a free consultancy report.</w:t>
            </w:r>
          </w:p>
        </w:tc>
        <w:tc>
          <w:tcPr>
            <w:tcW w:type="dxa" w:w="504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Refuse, stall, or "lose" documents.</w:t>
            </w:r>
          </w:p>
          <w:p>
            <w:pPr>
              <w:spacing w:after="40"/>
            </w:pPr>
            <w:r>
              <w:rPr>
                <w:b w:val="false"/>
                <w:bCs w:val="false"/>
                <w:i w:val="false"/>
                <w:iCs w:val="false"/>
                <w:sz w:val="19"/>
                <w:szCs w:val="19"/>
              </w:rPr>
              <w:t xml:space="preserve">Volunteer unrelated information or unrequested tours.</w:t>
            </w:r>
          </w:p>
          <w:p>
            <w:pPr>
              <w:spacing w:after="40"/>
            </w:pPr>
            <w:r>
              <w:rPr>
                <w:b w:val="false"/>
                <w:bCs w:val="false"/>
                <w:i w:val="false"/>
                <w:iCs w:val="false"/>
                <w:sz w:val="19"/>
                <w:szCs w:val="19"/>
              </w:rPr>
              <w:t xml:space="preserve">Guess, speculate, or say "we usually...".</w:t>
            </w:r>
          </w:p>
          <w:p>
            <w:pPr>
              <w:spacing w:after="40"/>
            </w:pPr>
            <w:r>
              <w:rPr>
                <w:b w:val="false"/>
                <w:bCs w:val="false"/>
                <w:i w:val="false"/>
                <w:iCs w:val="false"/>
                <w:sz w:val="19"/>
                <w:szCs w:val="19"/>
              </w:rPr>
              <w:t xml:space="preserve">Correct, backdate or create records during the audit. Falsification is worse than any finding.</w:t>
            </w:r>
          </w:p>
          <w:p>
            <w:pPr>
              <w:spacing w:after="40"/>
            </w:pPr>
            <w:r>
              <w:rPr>
                <w:b w:val="false"/>
                <w:bCs w:val="false"/>
                <w:i w:val="false"/>
                <w:iCs w:val="false"/>
                <w:sz w:val="19"/>
                <w:szCs w:val="19"/>
              </w:rPr>
              <w:t xml:space="preserve">Argue grading in the room; respond in writing instead.</w:t>
            </w:r>
          </w:p>
          <w:p>
            <w:pPr>
              <w:spacing w:after="40"/>
            </w:pPr>
            <w:r>
              <w:rPr>
                <w:b w:val="false"/>
                <w:bCs w:val="false"/>
                <w:i w:val="false"/>
                <w:iCs w:val="false"/>
                <w:sz w:val="19"/>
                <w:szCs w:val="19"/>
              </w:rPr>
              <w:t xml:space="preserve">Sign statements without RA and legal review (FDA affidavits in particular).</w:t>
            </w:r>
          </w:p>
          <w:p>
            <w:pPr>
              <w:spacing w:after="40"/>
            </w:pPr>
            <w:r>
              <w:rPr>
                <w:b w:val="false"/>
                <w:bCs w:val="false"/>
                <w:i w:val="false"/>
                <w:iCs w:val="false"/>
                <w:sz w:val="19"/>
                <w:szCs w:val="19"/>
              </w:rPr>
              <w:t xml:space="preserve">Leave auditors unescorted or with open system access.</w:t>
            </w:r>
          </w:p>
          <w:p>
            <w:pPr>
              <w:spacing w:after="40"/>
            </w:pPr>
            <w:r>
              <w:rPr>
                <w:b w:val="false"/>
                <w:bCs w:val="false"/>
                <w:i w:val="false"/>
                <w:iCs w:val="false"/>
                <w:sz w:val="19"/>
                <w:szCs w:val="19"/>
              </w:rPr>
              <w:t xml:space="preserve">Offer gifts or hospitality beyond basic courtesy.</w:t>
            </w:r>
          </w:p>
        </w:tc>
      </w:tr>
    </w:tbl>
    <w:p>
      <w:pPr>
        <w:pStyle w:val="Heading2"/>
      </w:pPr>
      <w:r>
        <w:t xml:space="preserve">4.4 After they leave: the 72-hour plan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900"/>
        <w:gridCol w:w="8180"/>
      </w:tblGrid>
      <w:tr>
        <w:trPr>
          <w:tblHeader/>
        </w:trPr>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When</w:t>
            </w:r>
          </w:p>
        </w:tc>
        <w:tc>
          <w:tcPr>
            <w:tcW w:type="dxa" w:w="8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Actions</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Day 0 (same day)</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Debrief within two hours while memories are fresh.</w:t>
            </w:r>
          </w:p>
          <w:p>
            <w:pPr>
              <w:spacing w:after="40"/>
            </w:pPr>
            <w:r>
              <w:rPr>
                <w:b w:val="false"/>
                <w:bCs w:val="false"/>
                <w:i w:val="false"/>
                <w:iCs w:val="false"/>
                <w:sz w:val="19"/>
                <w:szCs w:val="19"/>
              </w:rPr>
              <w:t xml:space="preserve">Reconcile the request log with the auditors' list of findings, verbatim.</w:t>
            </w:r>
          </w:p>
          <w:p>
            <w:pPr>
              <w:spacing w:after="40"/>
            </w:pPr>
            <w:r>
              <w:rPr>
                <w:b w:val="false"/>
                <w:bCs w:val="false"/>
                <w:i w:val="false"/>
                <w:iCs w:val="false"/>
                <w:sz w:val="19"/>
                <w:szCs w:val="19"/>
              </w:rPr>
              <w:t xml:space="preserve">Secure copies of everything provided.</w:t>
            </w:r>
          </w:p>
          <w:p>
            <w:pPr>
              <w:spacing w:after="40"/>
            </w:pPr>
            <w:r>
              <w:rPr>
                <w:b w:val="false"/>
                <w:bCs w:val="false"/>
                <w:i w:val="false"/>
                <w:iCs w:val="false"/>
                <w:sz w:val="19"/>
                <w:szCs w:val="19"/>
              </w:rPr>
              <w:t xml:space="preserve">Brief senior management; make required notifications (corporate, PRRC, other sites, contractual notifications).</w:t>
            </w:r>
          </w:p>
        </w:tc>
      </w:tr>
      <w:t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Day 1</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Classify each finding; assign owners and dates.</w:t>
            </w:r>
          </w:p>
          <w:p>
            <w:pPr>
              <w:spacing w:after="40"/>
            </w:pPr>
            <w:r>
              <w:rPr>
                <w:b w:val="false"/>
                <w:bCs w:val="false"/>
                <w:i w:val="false"/>
                <w:iCs w:val="false"/>
                <w:sz w:val="19"/>
                <w:szCs w:val="19"/>
              </w:rPr>
              <w:t xml:space="preserve">Containment for any product or patient-safety issue.</w:t>
            </w:r>
          </w:p>
          <w:p>
            <w:pPr>
              <w:spacing w:after="40"/>
            </w:pPr>
            <w:r>
              <w:rPr>
                <w:b w:val="false"/>
                <w:bCs w:val="false"/>
                <w:i w:val="false"/>
                <w:iCs w:val="false"/>
                <w:sz w:val="19"/>
                <w:szCs w:val="19"/>
              </w:rPr>
              <w:t xml:space="preserve">FDA: start the Form 483 response. FDA considers responses received within 15 business days before deciding on a Warning Letter.</w:t>
            </w:r>
          </w:p>
        </w:tc>
      </w:tr>
      <w:tr>
        <w:tc>
          <w:tcPr>
            <w:tcW w:type="dxa" w:w="1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Days 2–3</w:t>
            </w:r>
          </w:p>
        </w:tc>
        <w:tc>
          <w:tcPr>
            <w:tcW w:type="dxa" w:w="8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Root cause analysis (5 Whys, fishbone), not symptom fixes.</w:t>
            </w:r>
          </w:p>
          <w:p>
            <w:pPr>
              <w:spacing w:after="40"/>
            </w:pPr>
            <w:r>
              <w:rPr>
                <w:b w:val="false"/>
                <w:bCs w:val="false"/>
                <w:i w:val="false"/>
                <w:iCs w:val="false"/>
                <w:sz w:val="19"/>
                <w:szCs w:val="19"/>
              </w:rPr>
              <w:t xml:space="preserve">Distinguish correction from corrective action; define effectiveness criteria before acting.</w:t>
            </w:r>
          </w:p>
          <w:p>
            <w:pPr>
              <w:spacing w:after="40"/>
            </w:pPr>
            <w:r>
              <w:rPr>
                <w:b w:val="false"/>
                <w:bCs w:val="false"/>
                <w:i w:val="false"/>
                <w:iCs w:val="false"/>
                <w:sz w:val="19"/>
                <w:szCs w:val="19"/>
              </w:rPr>
              <w:t xml:space="preserve">Draft the response plan to the notified body within its stated window (check your contract; for MDSAP expect around 15 calendar days for the plan).</w:t>
            </w:r>
          </w:p>
        </w:tc>
      </w:tr>
      <w:tr>
        <w:tc>
          <w:tcPr>
            <w:tcW w:type="dxa" w:w="1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Then</w:t>
            </w:r>
          </w:p>
        </w:tc>
        <w:tc>
          <w:tcPr>
            <w:tcW w:type="dxa" w:w="8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Implement; collect objective evidence of closure.</w:t>
            </w:r>
          </w:p>
          <w:p>
            <w:pPr>
              <w:spacing w:after="40"/>
            </w:pPr>
            <w:r>
              <w:rPr>
                <w:b w:val="false"/>
                <w:bCs w:val="false"/>
                <w:i w:val="false"/>
                <w:iCs w:val="false"/>
                <w:sz w:val="19"/>
                <w:szCs w:val="19"/>
              </w:rPr>
              <w:t xml:space="preserve">Verify effectiveness with data.</w:t>
            </w:r>
          </w:p>
          <w:p>
            <w:pPr>
              <w:spacing w:after="40"/>
            </w:pPr>
            <w:r>
              <w:rPr>
                <w:b w:val="false"/>
                <w:bCs w:val="false"/>
                <w:i w:val="false"/>
                <w:iCs w:val="false"/>
                <w:sz w:val="19"/>
                <w:szCs w:val="19"/>
              </w:rPr>
              <w:t xml:space="preserve">Feed findings, trends and lessons into management review and the next internal audit plan.</w:t>
            </w:r>
          </w:p>
        </w:tc>
      </w:tr>
    </w:tbl>
    <w:p>
      <w:pPr>
        <w:pStyle w:val="Heading2"/>
      </w:pPr>
      <w:r>
        <w:t xml:space="preserve">4.5 Findings and consequences by regime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700"/>
        <w:gridCol w:w="4680"/>
        <w:gridCol w:w="3700"/>
      </w:tblGrid>
      <w:tr>
        <w:trPr>
          <w:tblHeader/>
        </w:trPr>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Regime</w:t>
            </w:r>
          </w:p>
        </w:tc>
        <w:tc>
          <w:tcPr>
            <w:tcW w:type="dxa" w:w="46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How findings are expressed</w:t>
            </w:r>
          </w:p>
        </w:tc>
        <w:tc>
          <w:tcPr>
            <w:tcW w:type="dxa" w:w="3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What escalates</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FDA</w:t>
            </w:r>
          </w:p>
        </w:tc>
        <w:tc>
          <w:tcPr>
            <w:tcW w:type="dxa" w:w="4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Form FDA 483 inspectional observations; inspection classified NAI / VAI / OAI; Warning Letter; then seizure, injunction, consent decree; import alert for foreign sites</w:t>
            </w:r>
          </w:p>
        </w:tc>
        <w:tc>
          <w:tcPr>
            <w:tcW w:type="dxa" w:w="3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Repeat observations, an inadequate 483 response, data integrity problems, failures to report</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Notified body (MDR)</w:t>
            </w:r>
          </w:p>
        </w:tc>
        <w:tc>
          <w:tcPr>
            <w:tcW w:type="dxa" w:w="46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Minor and major nonconformities (definitions per notified body and MDCG guidance); corrective action plans; certificate suspension or withdrawal</w:t>
            </w:r>
          </w:p>
        </w:tc>
        <w:tc>
          <w:tcPr>
            <w:tcW w:type="dxa" w:w="37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Systemic majors, refusal of access, unreported significant changes, nonconformity found on sampled product</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MDSAP</w:t>
            </w:r>
          </w:p>
        </w:tc>
        <w:tc>
          <w:tcPr>
            <w:tcW w:type="dxa" w:w="46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Grades 1–5 per GHTF/SG3/N19: direct-impact clauses start at 3, indirect at 1; +1 for no documented process; +1 for a repeat; capped at 5</w:t>
            </w:r>
          </w:p>
        </w:tc>
        <w:tc>
          <w:tcPr>
            <w:tcW w:type="dxa" w:w="37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Grade 4 or 5: the auditing organization notifies the participating regulators within 5 business days; regulators may act independently</w:t>
            </w:r>
          </w:p>
        </w:tc>
      </w:tr>
    </w:tbl>
    <w:p>
      <w:pPr>
        <w:pStyle w:val="Heading1"/>
      </w:pPr>
      <w:r>
        <w:t xml:space="preserve">5. Maintaining a global QMS</w:t>
      </w:r>
    </w:p>
    <w:p>
      <w:pPr>
        <w:pStyle w:val="Heading2"/>
      </w:pPr>
      <w:r>
        <w:t xml:space="preserve">5.1 Core-plus-annex architecture</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900"/>
        <w:gridCol w:w="5180"/>
        <w:gridCol w:w="2000"/>
      </w:tblGrid>
      <w:tr>
        <w:trPr>
          <w:tblHeader/>
        </w:trPr>
        <w:tc>
          <w:tcPr>
            <w:tcW w:type="dxa" w:w="2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Tier</w:t>
            </w:r>
          </w:p>
        </w:tc>
        <w:tc>
          <w:tcPr>
            <w:tcW w:type="dxa" w:w="5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Contents</w:t>
            </w:r>
          </w:p>
        </w:tc>
        <w:tc>
          <w:tcPr>
            <w:tcW w:type="dxa" w:w="2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Owner</w:t>
            </w:r>
          </w:p>
        </w:tc>
      </w:tr>
      <w:tr>
        <w:tc>
          <w:tcPr>
            <w:tcW w:type="dxa" w:w="2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Tier 1: Global Quality Manual and policies</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One scope, one process map, one site register. ISO 13485 as the spine; regulatory requirements referenced, not copied.</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Global Quality</w:t>
            </w:r>
          </w:p>
        </w:tc>
      </w:tr>
      <w:tr>
        <w:tc>
          <w:tcPr>
            <w:tcW w:type="dxa" w:w="2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Tier 2: Global procedures</w:t>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One procedure per process with a named global process owner: complaints, CAPA, change control, supplier controls, design controls, document control, training, management review, internal audit.</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Global process owners</w:t>
            </w:r>
          </w:p>
        </w:tc>
      </w:tr>
      <w:tr>
        <w:tc>
          <w:tcPr>
            <w:tcW w:type="dxa" w:w="29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Tier 3: Site work instructions and Country Regulatory Annexes</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How the work is physically done at each site; one annex per market listing the deltas: timelines, forms, authorities, language, roles.</w:t>
            </w:r>
          </w:p>
        </w:tc>
        <w:tc>
          <w:tcPr>
            <w:tcW w:type="dxa" w:w="20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Site quality heads; Regional RA</w:t>
            </w:r>
          </w:p>
        </w:tc>
      </w:tr>
      <w:tr>
        <w:tc>
          <w:tcPr>
            <w:tcW w:type="dxa" w:w="29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Tier 4: Records and forms</w:t>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One form per process globally; local-language versions controlled as translations, never as variants.</w:t>
            </w:r>
          </w:p>
        </w:tc>
        <w:tc>
          <w:tcPr>
            <w:tcW w:type="dxa" w:w="20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Document control</w:t>
            </w:r>
          </w:p>
        </w:tc>
      </w:tr>
    </w:tbl>
    <w:p>
      <w:pPr>
        <w:pStyle w:val="Heading3"/>
      </w:pPr>
      <w:r>
        <w:t xml:space="preserve">Governance that stops the architecture decaying</w:t>
      </w:r>
    </w:p>
    <w:p>
      <w:pPr>
        <w:pStyle w:val="ListParagraph"/>
        <w:numPr>
          <w:ilvl w:val="0"/>
          <w:numId w:val="2"/>
        </w:numPr>
        <w:spacing w:after="60"/>
      </w:pPr>
      <w:r>
        <w:rPr>
          <w:b w:val="false"/>
          <w:bCs w:val="false"/>
          <w:i w:val="false"/>
          <w:iCs w:val="false"/>
          <w:sz w:val="21"/>
          <w:szCs w:val="21"/>
        </w:rPr>
        <w:t xml:space="preserve">Global process owners with authority over their procedure at every site.</w:t>
      </w:r>
    </w:p>
    <w:p>
      <w:pPr>
        <w:pStyle w:val="ListParagraph"/>
        <w:numPr>
          <w:ilvl w:val="0"/>
          <w:numId w:val="2"/>
        </w:numPr>
        <w:spacing w:after="60"/>
      </w:pPr>
      <w:r>
        <w:rPr>
          <w:b w:val="false"/>
          <w:bCs w:val="false"/>
          <w:i w:val="false"/>
          <w:iCs w:val="false"/>
          <w:sz w:val="21"/>
          <w:szCs w:val="21"/>
        </w:rPr>
        <w:t xml:space="preserve">Site quality heads accountable for Tier 3 and for local execution.</w:t>
      </w:r>
    </w:p>
    <w:p>
      <w:pPr>
        <w:pStyle w:val="ListParagraph"/>
        <w:numPr>
          <w:ilvl w:val="0"/>
          <w:numId w:val="2"/>
        </w:numPr>
        <w:spacing w:after="60"/>
      </w:pPr>
      <w:r>
        <w:rPr>
          <w:b w:val="false"/>
          <w:bCs w:val="false"/>
          <w:i w:val="false"/>
          <w:iCs w:val="false"/>
          <w:sz w:val="21"/>
          <w:szCs w:val="21"/>
        </w:rPr>
        <w:t xml:space="preserve">Regulatory intelligence wired into change control: impact assessed within 30 days of a regulatory change.</w:t>
      </w:r>
    </w:p>
    <w:p>
      <w:pPr>
        <w:pStyle w:val="ListParagraph"/>
        <w:numPr>
          <w:ilvl w:val="0"/>
          <w:numId w:val="2"/>
        </w:numPr>
        <w:spacing w:after="60"/>
      </w:pPr>
      <w:r>
        <w:rPr>
          <w:b w:val="false"/>
          <w:bCs w:val="false"/>
          <w:i w:val="false"/>
          <w:iCs w:val="false"/>
          <w:sz w:val="21"/>
          <w:szCs w:val="21"/>
        </w:rPr>
        <w:t xml:space="preserve">A quarterly global quality council; global management review with site KPIs.</w:t>
      </w:r>
    </w:p>
    <w:p>
      <w:pPr>
        <w:pStyle w:val="ListParagraph"/>
        <w:numPr>
          <w:ilvl w:val="0"/>
          <w:numId w:val="2"/>
        </w:numPr>
        <w:spacing w:after="60"/>
      </w:pPr>
      <w:r>
        <w:rPr>
          <w:b w:val="false"/>
          <w:bCs w:val="false"/>
          <w:i w:val="false"/>
          <w:iCs w:val="false"/>
          <w:sz w:val="21"/>
          <w:szCs w:val="21"/>
        </w:rPr>
        <w:t xml:space="preserve">Annual review of QMS scope, the site register and the regulatory requirements matrix.</w:t>
      </w:r>
    </w:p>
    <w:p>
      <w:pPr>
        <w:pStyle w:val="Heading2"/>
      </w:pPr>
      <w:r>
        <w:t xml:space="preserve">5.2 Regulatory requirements matrix: starter structure</w:t>
      </w:r>
    </w:p>
    <w:p>
      <w:pPr>
        <w:spacing w:after="120" w:before="0"/>
      </w:pPr>
      <w:r>
        <w:rPr>
          <w:b w:val="false"/>
          <w:bCs w:val="false"/>
          <w:i w:val="false"/>
          <w:iCs w:val="false"/>
          <w:sz w:val="21"/>
          <w:szCs w:val="21"/>
        </w:rPr>
        <w:t xml:space="preserve">One row per requirement area, the deltas by market, a named owner, where the requirement lives in the QMS, and the trigger that forces a review. Owned by Global RA, reviewed annually, and every regulatory change runs through it via change control. A real matrix has forty to eighty rows.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200"/>
        <w:gridCol w:w="3080"/>
        <w:gridCol w:w="1400"/>
        <w:gridCol w:w="1900"/>
        <w:gridCol w:w="1500"/>
      </w:tblGrid>
      <w:tr>
        <w:trPr>
          <w:tblHeader/>
        </w:trPr>
        <w:tc>
          <w:tcPr>
            <w:tcW w:type="dxa" w:w="22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Requirement area</w:t>
            </w:r>
          </w:p>
        </w:tc>
        <w:tc>
          <w:tcPr>
            <w:tcW w:type="dxa" w:w="308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What differs by market</w:t>
            </w:r>
          </w:p>
        </w:tc>
        <w:tc>
          <w:tcPr>
            <w:tcW w:type="dxa" w:w="14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Owner</w:t>
            </w:r>
          </w:p>
        </w:tc>
        <w:tc>
          <w:tcPr>
            <w:tcW w:type="dxa" w:w="19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Lives in</w:t>
            </w:r>
          </w:p>
        </w:tc>
        <w:tc>
          <w:tcPr>
            <w:tcW w:type="dxa" w:w="15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Review trigger</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Adverse event and vigilance reporting</w:t>
            </w:r>
          </w:p>
        </w:tc>
        <w:tc>
          <w:tcPr>
            <w:tcW w:type="dxa" w:w="3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Definitions, timelines (2–30 days), forms, portals, foreign-event rules</w:t>
            </w:r>
          </w:p>
        </w:tc>
        <w:tc>
          <w:tcPr>
            <w:tcW w:type="dxa" w:w="14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Global RA</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Vigilance SOP + country annex</w:t>
            </w:r>
          </w:p>
        </w:tc>
        <w:tc>
          <w:tcPr>
            <w:tcW w:type="dxa" w:w="15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Regulation change; new market</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Field actions and recalls</w:t>
            </w:r>
          </w:p>
        </w:tc>
        <w:tc>
          <w:tcPr>
            <w:tcW w:type="dxa" w:w="3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Notification timing, classification schemes, customer letter content</w:t>
            </w:r>
          </w:p>
        </w:tc>
        <w:tc>
          <w:tcPr>
            <w:tcW w:type="dxa" w:w="14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Global RA / Quality</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Field action SOP + annex</w:t>
            </w:r>
          </w:p>
        </w:tc>
        <w:tc>
          <w:tcPr>
            <w:tcW w:type="dxa" w:w="15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Regulation change</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Registration, listing and licensing</w:t>
            </w:r>
          </w:p>
        </w:tc>
        <w:tc>
          <w:tcPr>
            <w:tcW w:type="dxa" w:w="3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Establishment registration, device listing, licences, agents and representatives</w:t>
            </w:r>
          </w:p>
        </w:tc>
        <w:tc>
          <w:tcPr>
            <w:tcW w:type="dxa" w:w="14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Regional RA</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RA register + annex</w:t>
            </w:r>
          </w:p>
        </w:tc>
        <w:tc>
          <w:tcPr>
            <w:tcW w:type="dxa" w:w="15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New product, site or market</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Labeling and UDI</w:t>
            </w:r>
          </w:p>
        </w:tc>
        <w:tc>
          <w:tcPr>
            <w:tcW w:type="dxa" w:w="3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Languages, symbols, UDI issuing agencies, databases (GUDID, EUDAMED)</w:t>
            </w:r>
          </w:p>
        </w:tc>
        <w:tc>
          <w:tcPr>
            <w:tcW w:type="dxa" w:w="14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RA / Labeling</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Labeling SOP + annex</w:t>
            </w:r>
          </w:p>
        </w:tc>
        <w:tc>
          <w:tcPr>
            <w:tcW w:type="dxa" w:w="15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New market; database go-live</w:t>
            </w:r>
          </w:p>
        </w:tc>
      </w:tr>
      <w:tr>
        <w:tc>
          <w:tcPr>
            <w:tcW w:type="dxa" w:w="22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Complaint and servicing records</w:t>
            </w:r>
          </w:p>
        </w:tc>
        <w:tc>
          <w:tcPr>
            <w:tcW w:type="dxa" w:w="30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Required data fields (e.g., UDI under 820.35), retention periods</w:t>
            </w:r>
          </w:p>
        </w:tc>
        <w:tc>
          <w:tcPr>
            <w:tcW w:type="dxa" w:w="14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Global Quality</w:t>
            </w:r>
          </w:p>
        </w:tc>
        <w:tc>
          <w:tcPr>
            <w:tcW w:type="dxa" w:w="19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Complaint SOP</w:t>
            </w:r>
          </w:p>
        </w:tc>
        <w:tc>
          <w:tcPr>
            <w:tcW w:type="dxa" w:w="15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Regulation change</w:t>
            </w:r>
          </w:p>
        </w:tc>
      </w:tr>
      <w:tr>
        <w:tc>
          <w:tcPr>
            <w:tcW w:type="dxa" w:w="22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Responsible persons</w:t>
            </w:r>
          </w:p>
        </w:tc>
        <w:tc>
          <w:tcPr>
            <w:tcW w:type="dxa" w:w="30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Management representative, PRRC (EU), UK Responsible Person, US Agent, MAH (Japan)</w:t>
            </w:r>
          </w:p>
        </w:tc>
        <w:tc>
          <w:tcPr>
            <w:tcW w:type="dxa" w:w="14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RA / HR</w:t>
            </w:r>
          </w:p>
        </w:tc>
        <w:tc>
          <w:tcPr>
            <w:tcW w:type="dxa" w:w="19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Quality manual + annex</w:t>
            </w:r>
          </w:p>
        </w:tc>
        <w:tc>
          <w:tcPr>
            <w:tcW w:type="dxa" w:w="15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Organization change</w:t>
            </w:r>
          </w:p>
        </w:tc>
      </w:tr>
    </w:tbl>
    <w:p>
      <w:pPr>
        <w:pStyle w:val="Heading2"/>
      </w:pPr>
      <w:r>
        <w:t xml:space="preserve">5.3 Vigilance reporting timelines by market</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700"/>
        <w:gridCol w:w="2400"/>
        <w:gridCol w:w="2600"/>
        <w:gridCol w:w="2380"/>
      </w:tblGrid>
      <w:tr>
        <w:trPr>
          <w:tblHeader/>
        </w:trPr>
        <w:tc>
          <w:tcPr>
            <w:tcW w:type="dxa" w:w="27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Jurisdiction (authority, basis)</w:t>
            </w:r>
          </w:p>
        </w:tc>
        <w:tc>
          <w:tcPr>
            <w:tcW w:type="dxa" w:w="24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Death or serious deterioration</w:t>
            </w:r>
          </w:p>
        </w:tc>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Other reportable events</w:t>
            </w:r>
          </w:p>
        </w:tc>
        <w:tc>
          <w:tcPr>
            <w:tcW w:type="dxa" w:w="2380"/>
            <w:shd w:fill="0F2A4A" w:color="auto" w:val="clear"/>
            <w:tcMar>
              <w:top w:type="dxa" w:w="70"/>
              <w:left w:type="dxa" w:w="100"/>
              <w:bottom w:type="dxa" w:w="70"/>
              <w:right w:type="dxa" w:w="100"/>
            </w:tcMar>
            <w:vAlign w:val="top"/>
          </w:tcPr>
          <w:p>
            <w:pPr>
              <w:spacing w:after="40"/>
            </w:pPr>
            <w:r>
              <w:rPr>
                <w:b/>
                <w:bCs/>
                <w:i w:val="false"/>
                <w:iCs w:val="false"/>
                <w:color w:val="FFFFFF"/>
                <w:sz w:val="18"/>
                <w:szCs w:val="18"/>
              </w:rPr>
              <w:t xml:space="preserve">Serious public-health threat</w:t>
            </w:r>
          </w:p>
        </w:tc>
      </w:tr>
      <w:tr>
        <w:tc>
          <w:tcPr>
            <w:tcW w:type="dxa" w:w="27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USA: FDA (21 CFR 803)</w:t>
            </w:r>
          </w:p>
        </w:tc>
        <w:tc>
          <w:tcPr>
            <w:tcW w:type="dxa" w:w="24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30 calendar days</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30 calendar days (reportable malfunctions)</w:t>
            </w:r>
          </w:p>
        </w:tc>
        <w:tc>
          <w:tcPr>
            <w:tcW w:type="dxa" w:w="23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5 work days if remedial action is needed to prevent an unreasonable risk of substantial harm</w:t>
            </w:r>
          </w:p>
        </w:tc>
      </w:tr>
      <w:tr>
        <w:tc>
          <w:tcPr>
            <w:tcW w:type="dxa" w:w="27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EU: competent authorities (MDR Art. 87)</w:t>
            </w:r>
          </w:p>
        </w:tc>
        <w:tc>
          <w:tcPr>
            <w:tcW w:type="dxa" w:w="24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10 days: death or unanticipated serious deterioration</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15 days: other serious incidents</w:t>
            </w:r>
          </w:p>
        </w:tc>
        <w:tc>
          <w:tcPr>
            <w:tcW w:type="dxa" w:w="23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 days</w:t>
            </w:r>
          </w:p>
        </w:tc>
      </w:tr>
      <w:tr>
        <w:tc>
          <w:tcPr>
            <w:tcW w:type="dxa" w:w="27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UK: MHRA</w:t>
            </w:r>
          </w:p>
        </w:tc>
        <w:tc>
          <w:tcPr>
            <w:tcW w:type="dxa" w:w="24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10 days</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15 days</w:t>
            </w:r>
          </w:p>
        </w:tc>
        <w:tc>
          <w:tcPr>
            <w:tcW w:type="dxa" w:w="23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2 days</w:t>
            </w:r>
          </w:p>
        </w:tc>
      </w:tr>
      <w:tr>
        <w:tc>
          <w:tcPr>
            <w:tcW w:type="dxa" w:w="27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Canada: Health Canada (SOR/98-282 s.59–61)</w:t>
            </w:r>
          </w:p>
        </w:tc>
        <w:tc>
          <w:tcPr>
            <w:tcW w:type="dxa" w:w="24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10 days</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30 days: could lead to death or serious deterioration if it recurred</w:t>
            </w:r>
          </w:p>
        </w:tc>
        <w:tc>
          <w:tcPr>
            <w:tcW w:type="dxa" w:w="23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Not separately defined</w:t>
            </w:r>
          </w:p>
        </w:tc>
      </w:tr>
      <w:tr>
        <w:tc>
          <w:tcPr>
            <w:tcW w:type="dxa" w:w="27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Australia: TGA</w:t>
            </w:r>
          </w:p>
        </w:tc>
        <w:tc>
          <w:tcPr>
            <w:tcW w:type="dxa" w:w="24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10 days: death or serious injury</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30 days: near-adverse events</w:t>
            </w:r>
          </w:p>
        </w:tc>
        <w:tc>
          <w:tcPr>
            <w:tcW w:type="dxa" w:w="23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48 hours</w:t>
            </w:r>
          </w:p>
        </w:tc>
      </w:tr>
      <w:tr>
        <w:tc>
          <w:tcPr>
            <w:tcW w:type="dxa" w:w="2700"/>
            <w:shd w:fill="FFFFFF" w:color="auto" w:val="clear"/>
            <w:tcMar>
              <w:top w:type="dxa" w:w="70"/>
              <w:left w:type="dxa" w:w="100"/>
              <w:bottom w:type="dxa" w:w="70"/>
              <w:right w:type="dxa" w:w="100"/>
            </w:tcMar>
            <w:vAlign w:val="top"/>
          </w:tcPr>
          <w:p>
            <w:pPr>
              <w:spacing w:after="40"/>
            </w:pPr>
            <w:r>
              <w:rPr>
                <w:b/>
                <w:bCs/>
                <w:i w:val="false"/>
                <w:iCs w:val="false"/>
                <w:sz w:val="18"/>
                <w:szCs w:val="18"/>
              </w:rPr>
              <w:t xml:space="preserve">Japan: MHLW / PMDA</w:t>
            </w:r>
          </w:p>
        </w:tc>
        <w:tc>
          <w:tcPr>
            <w:tcW w:type="dxa" w:w="24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15 days</w:t>
            </w:r>
          </w:p>
        </w:tc>
        <w:tc>
          <w:tcPr>
            <w:tcW w:type="dxa" w:w="260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30 days</w:t>
            </w:r>
          </w:p>
        </w:tc>
        <w:tc>
          <w:tcPr>
            <w:tcW w:type="dxa" w:w="2380"/>
            <w:shd w:fill="FFFFFF"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Not separately defined</w:t>
            </w:r>
          </w:p>
        </w:tc>
      </w:tr>
      <w:tr>
        <w:tc>
          <w:tcPr>
            <w:tcW w:type="dxa" w:w="2700"/>
            <w:shd w:fill="F5F8FB" w:color="auto" w:val="clear"/>
            <w:tcMar>
              <w:top w:type="dxa" w:w="70"/>
              <w:left w:type="dxa" w:w="100"/>
              <w:bottom w:type="dxa" w:w="70"/>
              <w:right w:type="dxa" w:w="100"/>
            </w:tcMar>
            <w:vAlign w:val="top"/>
          </w:tcPr>
          <w:p>
            <w:pPr>
              <w:spacing w:after="40"/>
            </w:pPr>
            <w:r>
              <w:rPr>
                <w:b/>
                <w:bCs/>
                <w:i w:val="false"/>
                <w:iCs w:val="false"/>
                <w:sz w:val="18"/>
                <w:szCs w:val="18"/>
              </w:rPr>
              <w:t xml:space="preserve">Brazil: ANVISA (RDC 551/2021)</w:t>
            </w:r>
          </w:p>
        </w:tc>
        <w:tc>
          <w:tcPr>
            <w:tcW w:type="dxa" w:w="24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72 hours: death; 10 days: serious injury</w:t>
            </w:r>
          </w:p>
        </w:tc>
        <w:tc>
          <w:tcPr>
            <w:tcW w:type="dxa" w:w="260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30 days</w:t>
            </w:r>
          </w:p>
        </w:tc>
        <w:tc>
          <w:tcPr>
            <w:tcW w:type="dxa" w:w="2380"/>
            <w:shd w:fill="F5F8FB" w:color="auto" w:val="clear"/>
            <w:tcMar>
              <w:top w:type="dxa" w:w="70"/>
              <w:left w:type="dxa" w:w="100"/>
              <w:bottom w:type="dxa" w:w="70"/>
              <w:right w:type="dxa" w:w="100"/>
            </w:tcMar>
            <w:vAlign w:val="top"/>
          </w:tcPr>
          <w:p>
            <w:pPr>
              <w:spacing w:after="40"/>
            </w:pPr>
            <w:r>
              <w:rPr>
                <w:b w:val="false"/>
                <w:bCs w:val="false"/>
                <w:i w:val="false"/>
                <w:iCs w:val="false"/>
                <w:sz w:val="18"/>
                <w:szCs w:val="18"/>
              </w:rPr>
              <w:t xml:space="preserve">72 hours</w:t>
            </w:r>
          </w:p>
        </w:tc>
      </w:tr>
    </w:tbl>
    <w:p>
      <w:pPr>
        <w:spacing w:after="120" w:before="0"/>
      </w:pPr>
      <w:r>
        <w:rPr>
          <w:b w:val="false"/>
          <w:bCs w:val="false"/>
          <w:i/>
          <w:iCs/>
          <w:color w:val="5A6B7B"/>
          <w:sz w:val="17"/>
          <w:szCs w:val="17"/>
        </w:rPr>
        <w:t xml:space="preserve">Day counts are as written in each regulation; calendar and working days differ. This table is a teaching aid current as of September 2026. Verify against the current regulatory text before relying on any cell.</w:t>
      </w:r>
    </w:p>
    <w:p>
      <w:pPr>
        <w:pStyle w:val="Heading2"/>
      </w:pPr>
      <w:r>
        <w:t xml:space="preserve">5.4 Operating rhythm and readiness KPIs</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700"/>
        <w:gridCol w:w="8380"/>
      </w:tblGrid>
      <w:tr>
        <w:trPr>
          <w:tblHeader/>
        </w:trPr>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Cadence</w:t>
            </w:r>
          </w:p>
        </w:tc>
        <w:tc>
          <w:tcPr>
            <w:tcW w:type="dxa" w:w="83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Routine</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Daily</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Supervisor floor walks; DHR checks at the point of work</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Weekly</w:t>
            </w:r>
          </w:p>
        </w:tc>
        <w:tc>
          <w:tcPr>
            <w:tcW w:type="dxa" w:w="8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CAPA and complaint review; overdue actions chased</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Monthly</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Site quality council: KPIs, audits, changes, suppliers</w:t>
            </w:r>
          </w:p>
        </w:tc>
      </w:tr>
      <w:tr>
        <w:tc>
          <w:tcPr>
            <w:tcW w:type="dxa" w:w="17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Quarterly</w:t>
            </w:r>
          </w:p>
        </w:tc>
        <w:tc>
          <w:tcPr>
            <w:tcW w:type="dxa" w:w="83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Global management review; supplier performance; regulatory-intelligence review</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Annually</w:t>
            </w:r>
          </w:p>
        </w:tc>
        <w:tc>
          <w:tcPr>
            <w:tcW w:type="dxa" w:w="83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Full internal audit cycle; mock unannounced audit per site and at top critical suppliers; requirements matrix review</w:t>
            </w:r>
          </w:p>
        </w:tc>
      </w:tr>
    </w:tbl>
    <w:p>
      <w:pPr>
        <w:spacing w:after="80"/>
      </w:pPr>
      <w:r>
        <w:t xml:space="preserve"/>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5280"/>
        <w:gridCol w:w="2200"/>
        <w:gridCol w:w="2600"/>
      </w:tblGrid>
      <w:tr>
        <w:trPr>
          <w:tblHeader/>
        </w:trPr>
        <w:tc>
          <w:tcPr>
            <w:tcW w:type="dxa" w:w="52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Readiness KPI</w:t>
            </w:r>
          </w:p>
        </w:tc>
        <w:tc>
          <w:tcPr>
            <w:tcW w:type="dxa" w:w="22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Target</w:t>
            </w:r>
          </w:p>
        </w:tc>
        <w:tc>
          <w:tcPr>
            <w:tcW w:type="dxa" w:w="2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Your site today</w:t>
            </w:r>
          </w:p>
        </w:tc>
      </w:tr>
      <w:tr>
        <w:tc>
          <w:tcPr>
            <w:tcW w:type="dxa" w:w="5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Time to produce the full DHR and traceability for a random lot</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30 minutes or less</w:t>
            </w:r>
          </w:p>
        </w:tc>
        <w:tc>
          <w:tcPr>
            <w:tcW w:type="dxa" w:w="26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5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Procedures past their periodic review date</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0</w:t>
            </w:r>
          </w:p>
        </w:tc>
        <w:tc>
          <w:tcPr>
            <w:tcW w:type="dxa" w:w="26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5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Equipment in use past calibration due date</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0</w:t>
            </w:r>
          </w:p>
        </w:tc>
        <w:tc>
          <w:tcPr>
            <w:tcW w:type="dxa" w:w="26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5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CAPAs open more than 12 months without approved justification</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0</w:t>
            </w:r>
          </w:p>
        </w:tc>
        <w:tc>
          <w:tcPr>
            <w:tcW w:type="dxa" w:w="26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5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Staff trained on the current revision before performing the task</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w:t>
            </w:r>
          </w:p>
        </w:tc>
        <w:tc>
          <w:tcPr>
            <w:tcW w:type="dxa" w:w="26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5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Vigilance reports submitted on time</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100%</w:t>
            </w:r>
          </w:p>
        </w:tc>
        <w:tc>
          <w:tcPr>
            <w:tcW w:type="dxa" w:w="26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52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Supplier audit plan adherence</w:t>
            </w:r>
          </w:p>
        </w:tc>
        <w:tc>
          <w:tcPr>
            <w:tcW w:type="dxa" w:w="220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95% or more</w:t>
            </w:r>
          </w:p>
        </w:tc>
        <w:tc>
          <w:tcPr>
            <w:tcW w:type="dxa" w:w="26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52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Reception script and 24/7 roster verified</w:t>
            </w:r>
          </w:p>
        </w:tc>
        <w:tc>
          <w:tcPr>
            <w:tcW w:type="dxa" w:w="220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Quarterly</w:t>
            </w:r>
          </w:p>
        </w:tc>
        <w:tc>
          <w:tcPr>
            <w:tcW w:type="dxa" w:w="2600"/>
            <w:shd w:fill="FFFFFF" w:color="auto" w:val="clear"/>
            <w:tcMar>
              <w:top w:type="dxa" w:w="70"/>
              <w:left w:type="dxa" w:w="100"/>
              <w:bottom w:type="dxa" w:w="70"/>
              <w:right w:type="dxa" w:w="100"/>
            </w:tcMar>
            <w:vAlign w:val="top"/>
          </w:tcPr>
          <w:p>
            <w:pPr>
              <w:spacing w:after="40"/>
            </w:pPr>
            <w:r>
              <w:rPr>
                <w:sz w:val="19"/>
                <w:szCs w:val="19"/>
              </w:rPr>
              <w:t xml:space="preserve"/>
            </w:r>
          </w:p>
        </w:tc>
      </w:tr>
    </w:tbl>
    <w:p>
      <w:pPr>
        <w:pStyle w:val="Heading2"/>
      </w:pPr>
      <w:r>
        <w:t xml:space="preserve">5.5 Mock unannounced audits that count</w:t>
      </w:r>
    </w:p>
    <w:p>
      <w:pPr>
        <w:pStyle w:val="ListParagraph"/>
        <w:numPr>
          <w:ilvl w:val="0"/>
          <w:numId w:val="4"/>
        </w:numPr>
        <w:spacing w:after="80"/>
      </w:pPr>
      <w:r>
        <w:rPr>
          <w:b/>
          <w:bCs/>
          <w:i w:val="false"/>
          <w:iCs w:val="false"/>
          <w:sz w:val="21"/>
          <w:szCs w:val="21"/>
        </w:rPr>
        <w:t xml:space="preserve">Sponsor secretly.</w:t>
      </w:r>
      <w:r>
        <w:rPr>
          <w:b w:val="false"/>
          <w:bCs w:val="false"/>
          <w:i w:val="false"/>
          <w:iCs w:val="false"/>
          <w:sz w:val="21"/>
          <w:szCs w:val="21"/>
        </w:rPr>
        <w:t xml:space="preserve"> Only the site head and the lead know the date. No "tidy-up" week beforehand.</w:t>
      </w:r>
    </w:p>
    <w:p>
      <w:pPr>
        <w:pStyle w:val="ListParagraph"/>
        <w:numPr>
          <w:ilvl w:val="0"/>
          <w:numId w:val="4"/>
        </w:numPr>
        <w:spacing w:after="80"/>
      </w:pPr>
      <w:r>
        <w:rPr>
          <w:b/>
          <w:bCs/>
          <w:i w:val="false"/>
          <w:iCs w:val="false"/>
          <w:sz w:val="21"/>
          <w:szCs w:val="21"/>
        </w:rPr>
        <w:t xml:space="preserve">Use an outsider.</w:t>
      </w:r>
      <w:r>
        <w:rPr>
          <w:b w:val="false"/>
          <w:bCs w:val="false"/>
          <w:i w:val="false"/>
          <w:iCs w:val="false"/>
          <w:sz w:val="21"/>
          <w:szCs w:val="21"/>
        </w:rPr>
        <w:t xml:space="preserve"> Corporate quality from another site, or a consultant. Notified-body format: two auditors, one day.</w:t>
      </w:r>
    </w:p>
    <w:p>
      <w:pPr>
        <w:pStyle w:val="ListParagraph"/>
        <w:numPr>
          <w:ilvl w:val="0"/>
          <w:numId w:val="4"/>
        </w:numPr>
        <w:spacing w:after="80"/>
      </w:pPr>
      <w:r>
        <w:rPr>
          <w:b/>
          <w:bCs/>
          <w:i w:val="false"/>
          <w:iCs w:val="false"/>
          <w:sz w:val="21"/>
          <w:szCs w:val="21"/>
        </w:rPr>
        <w:t xml:space="preserve">Follow product.</w:t>
      </w:r>
      <w:r>
        <w:rPr>
          <w:b w:val="false"/>
          <w:bCs w:val="false"/>
          <w:i w:val="false"/>
          <w:iCs w:val="false"/>
          <w:sz w:val="21"/>
          <w:szCs w:val="21"/>
        </w:rPr>
        <w:t xml:space="preserve"> Reception, opening meeting, sample from the line, DHR and DMR trace, supplier file, complaint and CAPA history.</w:t>
      </w:r>
    </w:p>
    <w:p>
      <w:pPr>
        <w:pStyle w:val="ListParagraph"/>
        <w:numPr>
          <w:ilvl w:val="0"/>
          <w:numId w:val="4"/>
        </w:numPr>
        <w:spacing w:after="80"/>
      </w:pPr>
      <w:r>
        <w:rPr>
          <w:b/>
          <w:bCs/>
          <w:i w:val="false"/>
          <w:iCs w:val="false"/>
          <w:sz w:val="21"/>
          <w:szCs w:val="21"/>
        </w:rPr>
        <w:t xml:space="preserve">Grade honestly.</w:t>
      </w:r>
      <w:r>
        <w:rPr>
          <w:b w:val="false"/>
          <w:bCs w:val="false"/>
          <w:i w:val="false"/>
          <w:iCs w:val="false"/>
          <w:sz w:val="21"/>
          <w:szCs w:val="21"/>
        </w:rPr>
        <w:t xml:space="preserve"> Notified body or MDSAP definitions. Time every retrieval. Interview operators.</w:t>
      </w:r>
    </w:p>
    <w:p>
      <w:pPr>
        <w:pStyle w:val="ListParagraph"/>
        <w:numPr>
          <w:ilvl w:val="0"/>
          <w:numId w:val="4"/>
        </w:numPr>
        <w:spacing w:after="80"/>
      </w:pPr>
      <w:r>
        <w:rPr>
          <w:b/>
          <w:bCs/>
          <w:i w:val="false"/>
          <w:iCs w:val="false"/>
          <w:sz w:val="21"/>
          <w:szCs w:val="21"/>
        </w:rPr>
        <w:t xml:space="preserve">Debrief and track.</w:t>
      </w:r>
      <w:r>
        <w:rPr>
          <w:b w:val="false"/>
          <w:bCs w:val="false"/>
          <w:i w:val="false"/>
          <w:iCs w:val="false"/>
          <w:sz w:val="21"/>
          <w:szCs w:val="21"/>
        </w:rPr>
        <w:t xml:space="preserve"> Findings into CAPA; readiness KPIs into management review; repeat yearly per site and at top critical suppliers.</w:t>
      </w:r>
    </w:p>
    <w:p>
      <w:pPr>
        <w:pStyle w:val="Heading1"/>
      </w:pPr>
      <w:r>
        <w:t xml:space="preserve">6. Readiness self-test</w:t>
      </w:r>
    </w:p>
    <w:p>
      <w:pPr>
        <w:spacing w:after="120" w:before="0"/>
      </w:pPr>
      <w:r>
        <w:rPr>
          <w:b w:val="false"/>
          <w:bCs w:val="false"/>
          <w:i w:val="false"/>
          <w:iCs w:val="false"/>
          <w:sz w:val="21"/>
          <w:szCs w:val="21"/>
        </w:rPr>
        <w:t xml:space="preserve">If auditors arrived tomorrow at 08:00, which of these statements would be true of your site? Tick each one you can say yes to without hesitation.</w:t>
      </w:r>
    </w:p>
    <w:p>
      <w:pPr>
        <w:pStyle w:val="ListParagraph"/>
        <w:numPr>
          <w:ilvl w:val="0"/>
          <w:numId w:val="5"/>
        </w:numPr>
        <w:spacing w:after="80"/>
      </w:pPr>
      <w:r>
        <w:rPr>
          <w:b w:val="false"/>
          <w:bCs w:val="false"/>
          <w:i w:val="false"/>
          <w:iCs w:val="false"/>
          <w:sz w:val="21"/>
          <w:szCs w:val="21"/>
        </w:rPr>
        <w:t xml:space="preserve">Reception has a written script and the 24/7 roster, including deputies and shutdown periods.</w:t>
      </w:r>
    </w:p>
    <w:p>
      <w:pPr>
        <w:pStyle w:val="ListParagraph"/>
        <w:numPr>
          <w:ilvl w:val="0"/>
          <w:numId w:val="5"/>
        </w:numPr>
        <w:spacing w:after="80"/>
      </w:pPr>
      <w:r>
        <w:rPr>
          <w:b w:val="false"/>
          <w:bCs w:val="false"/>
          <w:i w:val="false"/>
          <w:iCs w:val="false"/>
          <w:sz w:val="21"/>
          <w:szCs w:val="21"/>
        </w:rPr>
        <w:t xml:space="preserve">Your notified body knows when your lines will not be running.</w:t>
      </w:r>
    </w:p>
    <w:p>
      <w:pPr>
        <w:pStyle w:val="ListParagraph"/>
        <w:numPr>
          <w:ilvl w:val="0"/>
          <w:numId w:val="5"/>
        </w:numPr>
        <w:spacing w:after="80"/>
      </w:pPr>
      <w:r>
        <w:rPr>
          <w:b w:val="false"/>
          <w:bCs w:val="false"/>
          <w:i w:val="false"/>
          <w:iCs w:val="false"/>
          <w:sz w:val="21"/>
          <w:szCs w:val="21"/>
        </w:rPr>
        <w:t xml:space="preserve">You can produce the complete DHR and traceability for any lot within 30 minutes.</w:t>
      </w:r>
    </w:p>
    <w:p>
      <w:pPr>
        <w:pStyle w:val="ListParagraph"/>
        <w:numPr>
          <w:ilvl w:val="0"/>
          <w:numId w:val="5"/>
        </w:numPr>
        <w:spacing w:after="80"/>
      </w:pPr>
      <w:r>
        <w:rPr>
          <w:b w:val="false"/>
          <w:bCs w:val="false"/>
          <w:i w:val="false"/>
          <w:iCs w:val="false"/>
          <w:sz w:val="21"/>
          <w:szCs w:val="21"/>
        </w:rPr>
        <w:t xml:space="preserve">Every critical supplier agreement grants unannounced access to your notified body and regulators, and requires deviation notification.</w:t>
      </w:r>
    </w:p>
    <w:p>
      <w:pPr>
        <w:pStyle w:val="ListParagraph"/>
        <w:numPr>
          <w:ilvl w:val="0"/>
          <w:numId w:val="5"/>
        </w:numPr>
        <w:spacing w:after="80"/>
      </w:pPr>
      <w:r>
        <w:rPr>
          <w:b w:val="false"/>
          <w:bCs w:val="false"/>
          <w:i w:val="false"/>
          <w:iCs w:val="false"/>
          <w:sz w:val="21"/>
          <w:szCs w:val="21"/>
        </w:rPr>
        <w:t xml:space="preserve">No equipment in use is past its calibration due date.</w:t>
      </w:r>
    </w:p>
    <w:p>
      <w:pPr>
        <w:pStyle w:val="ListParagraph"/>
        <w:numPr>
          <w:ilvl w:val="0"/>
          <w:numId w:val="5"/>
        </w:numPr>
        <w:spacing w:after="80"/>
      </w:pPr>
      <w:r>
        <w:rPr>
          <w:b w:val="false"/>
          <w:bCs w:val="false"/>
          <w:i w:val="false"/>
          <w:iCs w:val="false"/>
          <w:sz w:val="21"/>
          <w:szCs w:val="21"/>
        </w:rPr>
        <w:t xml:space="preserve">Every production or supplier change in the last year has a documented design and risk impact assessment.</w:t>
      </w:r>
    </w:p>
    <w:p>
      <w:pPr>
        <w:pStyle w:val="ListParagraph"/>
        <w:numPr>
          <w:ilvl w:val="0"/>
          <w:numId w:val="5"/>
        </w:numPr>
        <w:spacing w:after="80"/>
      </w:pPr>
      <w:r>
        <w:rPr>
          <w:b w:val="false"/>
          <w:bCs w:val="false"/>
          <w:i w:val="false"/>
          <w:iCs w:val="false"/>
          <w:sz w:val="21"/>
          <w:szCs w:val="21"/>
        </w:rPr>
        <w:t xml:space="preserve">No CAPA is open beyond 12 months without a documented, approved justification.</w:t>
      </w:r>
    </w:p>
    <w:p>
      <w:pPr>
        <w:pStyle w:val="ListParagraph"/>
        <w:numPr>
          <w:ilvl w:val="0"/>
          <w:numId w:val="5"/>
        </w:numPr>
        <w:spacing w:after="80"/>
      </w:pPr>
      <w:r>
        <w:rPr>
          <w:b w:val="false"/>
          <w:bCs w:val="false"/>
          <w:i w:val="false"/>
          <w:iCs w:val="false"/>
          <w:sz w:val="21"/>
          <w:szCs w:val="21"/>
        </w:rPr>
        <w:t xml:space="preserve">Your management review records could be handed to an FDA investigator today.</w:t>
      </w:r>
    </w:p>
    <w:p>
      <w:pPr>
        <w:pStyle w:val="ListParagraph"/>
        <w:numPr>
          <w:ilvl w:val="0"/>
          <w:numId w:val="5"/>
        </w:numPr>
        <w:spacing w:after="80"/>
      </w:pPr>
      <w:r>
        <w:rPr>
          <w:b w:val="false"/>
          <w:bCs w:val="false"/>
          <w:i w:val="false"/>
          <w:iCs w:val="false"/>
          <w:sz w:val="21"/>
          <w:szCs w:val="21"/>
        </w:rPr>
        <w:t xml:space="preserve">Every site assesses complaint reportability with the same decision tree and all market timelines.</w:t>
      </w:r>
    </w:p>
    <w:p>
      <w:pPr>
        <w:pStyle w:val="ListParagraph"/>
        <w:numPr>
          <w:ilvl w:val="0"/>
          <w:numId w:val="5"/>
        </w:numPr>
        <w:spacing w:after="80"/>
      </w:pPr>
      <w:r>
        <w:rPr>
          <w:b w:val="false"/>
          <w:bCs w:val="false"/>
          <w:i w:val="false"/>
          <w:iCs w:val="false"/>
          <w:sz w:val="21"/>
          <w:szCs w:val="21"/>
        </w:rPr>
        <w:t xml:space="preserve">You have run a mock unannounced audit in the last 12 months.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shd w:fill="FBF2DE" w:color="auto" w:val="clear"/>
            <w:tcMar>
              <w:top w:type="dxa" w:w="140"/>
              <w:left w:type="dxa" w:w="200"/>
              <w:bottom w:type="dxa" w:w="140"/>
              <w:right w:type="dxa" w:w="200"/>
            </w:tcMar>
          </w:tcPr>
          <w:p>
            <w:pPr>
              <w:spacing w:after="60"/>
            </w:pPr>
            <w:r>
              <w:rPr>
                <w:b/>
                <w:bCs/>
                <w:i w:val="false"/>
                <w:iCs w:val="false"/>
                <w:sz w:val="20"/>
                <w:szCs w:val="20"/>
              </w:rPr>
              <w:t xml:space="preserve">Score 9–10:</w:t>
            </w:r>
            <w:r>
              <w:rPr>
                <w:b w:val="false"/>
                <w:bCs w:val="false"/>
                <w:i w:val="false"/>
                <w:iCs w:val="false"/>
                <w:sz w:val="20"/>
                <w:szCs w:val="20"/>
              </w:rPr>
              <w:t xml:space="preserve"> ready; keep drilling.</w:t>
            </w:r>
          </w:p>
          <w:p>
            <w:pPr>
              <w:spacing w:after="60"/>
            </w:pPr>
            <w:r>
              <w:rPr>
                <w:b/>
                <w:bCs/>
                <w:i w:val="false"/>
                <w:iCs w:val="false"/>
                <w:sz w:val="20"/>
                <w:szCs w:val="20"/>
              </w:rPr>
              <w:t xml:space="preserve">Score 6–8:</w:t>
            </w:r>
            <w:r>
              <w:rPr>
                <w:b w:val="false"/>
                <w:bCs w:val="false"/>
                <w:i w:val="false"/>
                <w:iCs w:val="false"/>
                <w:sz w:val="20"/>
                <w:szCs w:val="20"/>
              </w:rPr>
              <w:t xml:space="preserve"> exposed, and you know exactly where.</w:t>
            </w:r>
          </w:p>
          <w:p>
            <w:pPr>
              <w:spacing w:after="60"/>
            </w:pPr>
            <w:r>
              <w:rPr>
                <w:b/>
                <w:bCs/>
                <w:i w:val="false"/>
                <w:iCs w:val="false"/>
                <w:sz w:val="20"/>
                <w:szCs w:val="20"/>
              </w:rPr>
              <w:t xml:space="preserve">Score 5 or fewer:</w:t>
            </w:r>
            <w:r>
              <w:rPr>
                <w:b w:val="false"/>
                <w:bCs w:val="false"/>
                <w:i w:val="false"/>
                <w:iCs w:val="false"/>
                <w:sz w:val="20"/>
                <w:szCs w:val="20"/>
              </w:rPr>
              <w:t xml:space="preserve"> start Monday with the reception script and the roster. They cost nothing and buy you the first hour.</w:t>
            </w:r>
          </w:p>
        </w:tc>
      </w:tr>
    </w:tbl>
    <w:p>
      <w:pPr>
        <w:pStyle w:val="Heading1"/>
      </w:pPr>
      <w:r>
        <w:t xml:space="preserve">7. Your 30-60-90 day plan</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1700"/>
        <w:gridCol w:w="5180"/>
        <w:gridCol w:w="1800"/>
        <w:gridCol w:w="1400"/>
      </w:tblGrid>
      <w:tr>
        <w:trPr>
          <w:tblHeader/>
        </w:trPr>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Window</w:t>
            </w:r>
          </w:p>
        </w:tc>
        <w:tc>
          <w:tcPr>
            <w:tcW w:type="dxa" w:w="51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Action</w:t>
            </w:r>
          </w:p>
        </w:tc>
        <w:tc>
          <w:tcPr>
            <w:tcW w:type="dxa" w:w="1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Owner</w:t>
            </w:r>
          </w:p>
        </w:tc>
        <w:tc>
          <w:tcPr>
            <w:tcW w:type="dxa" w:w="14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Due</w:t>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First 30 days</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Write the reception script and the 24/7 roster with deputies</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Build the audit go-kit (see Appendix A.3)</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Inventory quality agreements for access and notification clauses</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Tell your notified body your shutdown and campaign calendar</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Days 31–60</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Run the 30-minute DHR and traceability drill; fix what breaks</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Complete a QMSR and MDR overlay gap check against your procedure index</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Fix calibration recall and the change-impact assessment form</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Build version 1 of the regulatory requirements matrix</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Days 61–90</w:t>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Run a mock unannounced audit at one site and one critical supplier</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Add readiness KPIs to management review</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Retire duplicate site procedures onto the global tier</w:t>
            </w:r>
          </w:p>
        </w:tc>
        <w:tc>
          <w:tcPr>
            <w:tcW w:type="dxa" w:w="1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51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Schedule the next drill and the annual cycle</w:t>
            </w:r>
          </w:p>
        </w:tc>
        <w:tc>
          <w:tcPr>
            <w:tcW w:type="dxa" w:w="1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400"/>
            <w:shd w:fill="FFFFFF" w:color="auto" w:val="clear"/>
            <w:tcMar>
              <w:top w:type="dxa" w:w="70"/>
              <w:left w:type="dxa" w:w="100"/>
              <w:bottom w:type="dxa" w:w="70"/>
              <w:right w:type="dxa" w:w="100"/>
            </w:tcMar>
            <w:vAlign w:val="top"/>
          </w:tcPr>
          <w:p>
            <w:pPr>
              <w:spacing w:after="40"/>
            </w:pPr>
            <w:r>
              <w:rPr>
                <w:sz w:val="19"/>
                <w:szCs w:val="19"/>
              </w:rPr>
              <w:t xml:space="preserve"/>
            </w:r>
          </w:p>
        </w:tc>
      </w:tr>
    </w:tbl>
    <w:p>
      <w:pPr>
        <w:pStyle w:val="Heading1"/>
      </w:pPr>
      <w:r>
        <w:t xml:space="preserve">Appendix A. Unannounced audit response plan template</w:t>
      </w:r>
    </w:p>
    <w:p>
      <w:pPr>
        <w:pStyle w:val="Heading2"/>
      </w:pPr>
      <w:r>
        <w:t xml:space="preserve">A.1  24/7 contact roster</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300"/>
        <w:gridCol w:w="2100"/>
        <w:gridCol w:w="1700"/>
        <w:gridCol w:w="2100"/>
        <w:gridCol w:w="1880"/>
      </w:tblGrid>
      <w:tr>
        <w:trPr>
          <w:tblHeader/>
        </w:trPr>
        <w:tc>
          <w:tcPr>
            <w:tcW w:type="dxa" w:w="23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Role</w:t>
            </w:r>
          </w:p>
        </w:tc>
        <w:tc>
          <w:tcPr>
            <w:tcW w:type="dxa" w:w="2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Primary (name)</w:t>
            </w:r>
          </w:p>
        </w:tc>
        <w:tc>
          <w:tcPr>
            <w:tcW w:type="dxa" w:w="17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Phone</w:t>
            </w:r>
          </w:p>
        </w:tc>
        <w:tc>
          <w:tcPr>
            <w:tcW w:type="dxa" w:w="21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Deputy (name)</w:t>
            </w:r>
          </w:p>
        </w:tc>
        <w:tc>
          <w:tcPr>
            <w:tcW w:type="dxa" w:w="18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Phone</w:t>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Audit Response Lead</w:t>
            </w:r>
          </w:p>
        </w:tc>
        <w:tc>
          <w:tcPr>
            <w:tcW w:type="dxa" w:w="2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2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8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Site Head</w:t>
            </w:r>
          </w:p>
        </w:tc>
        <w:tc>
          <w:tcPr>
            <w:tcW w:type="dxa" w:w="2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2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8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QA/RA leadership</w:t>
            </w:r>
          </w:p>
        </w:tc>
        <w:tc>
          <w:tcPr>
            <w:tcW w:type="dxa" w:w="2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2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8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Back-room coordinator</w:t>
            </w:r>
          </w:p>
        </w:tc>
        <w:tc>
          <w:tcPr>
            <w:tcW w:type="dxa" w:w="2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2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8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Document control</w:t>
            </w:r>
          </w:p>
        </w:tc>
        <w:tc>
          <w:tcPr>
            <w:tcW w:type="dxa" w:w="2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2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8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IT / system access</w:t>
            </w:r>
          </w:p>
        </w:tc>
        <w:tc>
          <w:tcPr>
            <w:tcW w:type="dxa" w:w="2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2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8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23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Corporate quality</w:t>
            </w:r>
          </w:p>
        </w:tc>
        <w:tc>
          <w:tcPr>
            <w:tcW w:type="dxa" w:w="2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7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21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8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23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Legal / regulatory counsel</w:t>
            </w:r>
          </w:p>
        </w:tc>
        <w:tc>
          <w:tcPr>
            <w:tcW w:type="dxa" w:w="2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7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21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880"/>
            <w:shd w:fill="FFFFFF" w:color="auto" w:val="clear"/>
            <w:tcMar>
              <w:top w:type="dxa" w:w="70"/>
              <w:left w:type="dxa" w:w="100"/>
              <w:bottom w:type="dxa" w:w="70"/>
              <w:right w:type="dxa" w:w="100"/>
            </w:tcMar>
            <w:vAlign w:val="top"/>
          </w:tcPr>
          <w:p>
            <w:pPr>
              <w:spacing w:after="40"/>
            </w:pPr>
            <w:r>
              <w:rPr>
                <w:sz w:val="19"/>
                <w:szCs w:val="19"/>
              </w:rPr>
              <w:t xml:space="preserve"/>
            </w:r>
          </w:p>
        </w:tc>
      </w:tr>
    </w:tbl>
    <w:p>
      <w:pPr>
        <w:spacing w:after="120" w:before="0"/>
      </w:pPr>
      <w:r>
        <w:rPr>
          <w:b w:val="false"/>
          <w:bCs w:val="false"/>
          <w:i/>
          <w:iCs/>
          <w:color w:val="5A6B7B"/>
          <w:sz w:val="17"/>
          <w:szCs w:val="17"/>
        </w:rPr>
        <w:t xml:space="preserve">Review quarterly and before every holiday shutdown. Keep a paper copy at reception and at security.</w:t>
      </w:r>
    </w:p>
    <w:p>
      <w:pPr>
        <w:pStyle w:val="Heading2"/>
      </w:pPr>
      <w:r>
        <w:t xml:space="preserve">A.2  Reception script</w:t>
      </w:r>
    </w:p>
    <w:p>
      <w:pPr>
        <w:pStyle w:val="ListParagraph"/>
        <w:numPr>
          <w:ilvl w:val="0"/>
          <w:numId w:val="6"/>
        </w:numPr>
        <w:spacing w:after="80"/>
      </w:pPr>
      <w:r>
        <w:rPr>
          <w:b w:val="false"/>
          <w:bCs w:val="false"/>
          <w:i w:val="false"/>
          <w:iCs w:val="false"/>
          <w:sz w:val="21"/>
          <w:szCs w:val="21"/>
        </w:rPr>
        <w:t xml:space="preserve">Greet the visitors. Ask for photo identification and the credentials of the agency or notified body. For FDA, expect a Form FDA 482 (Notice of Inspection).</w:t>
      </w:r>
    </w:p>
    <w:p>
      <w:pPr>
        <w:pStyle w:val="ListParagraph"/>
        <w:numPr>
          <w:ilvl w:val="0"/>
          <w:numId w:val="6"/>
        </w:numPr>
        <w:spacing w:after="80"/>
      </w:pPr>
      <w:r>
        <w:rPr>
          <w:b w:val="false"/>
          <w:bCs w:val="false"/>
          <w:i w:val="false"/>
          <w:iCs w:val="false"/>
          <w:sz w:val="21"/>
          <w:szCs w:val="21"/>
        </w:rPr>
        <w:t xml:space="preserve">Say: "Thank you. Our procedure is to contact our Audit Response Lead immediately. Please take a seat; someone will be with you within a few minutes." Do not ask them to come back later, and do not ask for the purpose of the visit beyond what they volunteer.</w:t>
      </w:r>
    </w:p>
    <w:p>
      <w:pPr>
        <w:pStyle w:val="ListParagraph"/>
        <w:numPr>
          <w:ilvl w:val="0"/>
          <w:numId w:val="6"/>
        </w:numPr>
        <w:spacing w:after="80"/>
      </w:pPr>
      <w:r>
        <w:rPr>
          <w:b w:val="false"/>
          <w:bCs w:val="false"/>
          <w:i w:val="false"/>
          <w:iCs w:val="false"/>
          <w:sz w:val="21"/>
          <w:szCs w:val="21"/>
        </w:rPr>
        <w:t xml:space="preserve">Call the Audit Response Lead. No answer within two minutes: call the deputy. No answer: call the Site Head. Keep calling down the roster until someone confirms they are on the way.</w:t>
      </w:r>
    </w:p>
    <w:p>
      <w:pPr>
        <w:pStyle w:val="ListParagraph"/>
        <w:numPr>
          <w:ilvl w:val="0"/>
          <w:numId w:val="6"/>
        </w:numPr>
        <w:spacing w:after="80"/>
      </w:pPr>
      <w:r>
        <w:rPr>
          <w:b w:val="false"/>
          <w:bCs w:val="false"/>
          <w:i w:val="false"/>
          <w:iCs w:val="false"/>
          <w:sz w:val="21"/>
          <w:szCs w:val="21"/>
        </w:rPr>
        <w:t xml:space="preserve">Offer water. Stay with the visitors or have security stay with them. Do not leave them alone and do not let them walk into the plant unescorted.</w:t>
      </w:r>
    </w:p>
    <w:p>
      <w:pPr>
        <w:pStyle w:val="ListParagraph"/>
        <w:numPr>
          <w:ilvl w:val="0"/>
          <w:numId w:val="6"/>
        </w:numPr>
        <w:spacing w:after="80"/>
      </w:pPr>
      <w:r>
        <w:rPr>
          <w:b w:val="false"/>
          <w:bCs w:val="false"/>
          <w:i w:val="false"/>
          <w:iCs w:val="false"/>
          <w:sz w:val="21"/>
          <w:szCs w:val="21"/>
        </w:rPr>
        <w:t xml:space="preserve">Record the arrival time and the names of the auditors on the visitor log. Hand the log to the Audit Response Lead when they arrive.</w:t>
      </w:r>
    </w:p>
    <w:p>
      <w:pPr>
        <w:pStyle w:val="Heading2"/>
      </w:pPr>
      <w:r>
        <w:t xml:space="preserve">A.3  Audit go-kit checklist</w:t>
      </w:r>
    </w:p>
    <w:p>
      <w:pPr>
        <w:pStyle w:val="ListParagraph"/>
        <w:numPr>
          <w:ilvl w:val="0"/>
          <w:numId w:val="5"/>
        </w:numPr>
        <w:spacing w:after="80"/>
      </w:pPr>
      <w:r>
        <w:rPr>
          <w:b w:val="false"/>
          <w:bCs w:val="false"/>
          <w:i w:val="false"/>
          <w:iCs w:val="false"/>
          <w:sz w:val="21"/>
          <w:szCs w:val="21"/>
        </w:rPr>
        <w:t xml:space="preserve">Current certificates (ISO 13485, MDSAP, MDR) and the scope statements</w:t>
      </w:r>
    </w:p>
    <w:p>
      <w:pPr>
        <w:pStyle w:val="ListParagraph"/>
        <w:numPr>
          <w:ilvl w:val="0"/>
          <w:numId w:val="5"/>
        </w:numPr>
        <w:spacing w:after="80"/>
      </w:pPr>
      <w:r>
        <w:rPr>
          <w:b w:val="false"/>
          <w:bCs w:val="false"/>
          <w:i w:val="false"/>
          <w:iCs w:val="false"/>
          <w:sz w:val="21"/>
          <w:szCs w:val="21"/>
        </w:rPr>
        <w:t xml:space="preserve">Organization chart with the management representative and PRRC identified</w:t>
      </w:r>
    </w:p>
    <w:p>
      <w:pPr>
        <w:pStyle w:val="ListParagraph"/>
        <w:numPr>
          <w:ilvl w:val="0"/>
          <w:numId w:val="5"/>
        </w:numPr>
        <w:spacing w:after="80"/>
      </w:pPr>
      <w:r>
        <w:rPr>
          <w:b w:val="false"/>
          <w:bCs w:val="false"/>
          <w:i w:val="false"/>
          <w:iCs w:val="false"/>
          <w:sz w:val="21"/>
          <w:szCs w:val="21"/>
        </w:rPr>
        <w:t xml:space="preserve">Site map, process flow and list of outsourced processes and critical suppliers</w:t>
      </w:r>
    </w:p>
    <w:p>
      <w:pPr>
        <w:pStyle w:val="ListParagraph"/>
        <w:numPr>
          <w:ilvl w:val="0"/>
          <w:numId w:val="5"/>
        </w:numPr>
        <w:spacing w:after="80"/>
      </w:pPr>
      <w:r>
        <w:rPr>
          <w:b w:val="false"/>
          <w:bCs w:val="false"/>
          <w:i w:val="false"/>
          <w:iCs w:val="false"/>
          <w:sz w:val="21"/>
          <w:szCs w:val="21"/>
        </w:rPr>
        <w:t xml:space="preserve">Procedure index cross-referenced to ISO 13485 clauses, the QMSR and other applicable regulations</w:t>
      </w:r>
    </w:p>
    <w:p>
      <w:pPr>
        <w:pStyle w:val="ListParagraph"/>
        <w:numPr>
          <w:ilvl w:val="0"/>
          <w:numId w:val="5"/>
        </w:numPr>
        <w:spacing w:after="80"/>
      </w:pPr>
      <w:r>
        <w:rPr>
          <w:b w:val="false"/>
          <w:bCs w:val="false"/>
          <w:i w:val="false"/>
          <w:iCs w:val="false"/>
          <w:sz w:val="21"/>
          <w:szCs w:val="21"/>
        </w:rPr>
        <w:t xml:space="preserve">Contact list: notified body, regulatory counsel, corporate quality, PRRC, UK Responsible Person, US Agent</w:t>
      </w:r>
    </w:p>
    <w:p>
      <w:pPr>
        <w:pStyle w:val="ListParagraph"/>
        <w:numPr>
          <w:ilvl w:val="0"/>
          <w:numId w:val="5"/>
        </w:numPr>
        <w:spacing w:after="80"/>
      </w:pPr>
      <w:r>
        <w:rPr>
          <w:b w:val="false"/>
          <w:bCs w:val="false"/>
          <w:i w:val="false"/>
          <w:iCs w:val="false"/>
          <w:sz w:val="21"/>
          <w:szCs w:val="21"/>
        </w:rPr>
        <w:t xml:space="preserve">Blank request log and finding log (see A.4); visitor and confidentiality forms</w:t>
      </w:r>
    </w:p>
    <w:p>
      <w:pPr>
        <w:pStyle w:val="ListParagraph"/>
        <w:numPr>
          <w:ilvl w:val="0"/>
          <w:numId w:val="5"/>
        </w:numPr>
        <w:spacing w:after="80"/>
      </w:pPr>
      <w:r>
        <w:rPr>
          <w:b w:val="false"/>
          <w:bCs w:val="false"/>
          <w:i w:val="false"/>
          <w:iCs w:val="false"/>
          <w:sz w:val="21"/>
          <w:szCs w:val="21"/>
        </w:rPr>
        <w:t xml:space="preserve">Photo, sample and signature policy agreed in advance with RA and legal</w:t>
      </w:r>
    </w:p>
    <w:p>
      <w:pPr>
        <w:pStyle w:val="ListParagraph"/>
        <w:numPr>
          <w:ilvl w:val="0"/>
          <w:numId w:val="5"/>
        </w:numPr>
        <w:spacing w:after="80"/>
      </w:pPr>
      <w:r>
        <w:rPr>
          <w:b w:val="false"/>
          <w:bCs w:val="false"/>
          <w:i w:val="false"/>
          <w:iCs w:val="false"/>
          <w:sz w:val="21"/>
          <w:szCs w:val="21"/>
        </w:rPr>
        <w:t xml:space="preserve">Latest management review minutes, internal audit schedule and status, CAPA and complaint summary</w:t>
      </w:r>
    </w:p>
    <w:p>
      <w:pPr>
        <w:pStyle w:val="ListParagraph"/>
        <w:numPr>
          <w:ilvl w:val="0"/>
          <w:numId w:val="5"/>
        </w:numPr>
        <w:spacing w:after="80"/>
      </w:pPr>
      <w:r>
        <w:rPr>
          <w:b w:val="false"/>
          <w:bCs w:val="false"/>
          <w:i w:val="false"/>
          <w:iCs w:val="false"/>
          <w:sz w:val="21"/>
          <w:szCs w:val="21"/>
        </w:rPr>
        <w:t xml:space="preserve">Production schedule for the week and the notified body notification of shutdown periods</w:t>
      </w:r>
    </w:p>
    <w:p>
      <w:pPr>
        <w:pStyle w:val="Heading2"/>
      </w:pPr>
      <w:r>
        <w:t xml:space="preserve">A.4  Request log</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600"/>
        <w:gridCol w:w="900"/>
        <w:gridCol w:w="1500"/>
        <w:gridCol w:w="2800"/>
        <w:gridCol w:w="1300"/>
        <w:gridCol w:w="1300"/>
        <w:gridCol w:w="1680"/>
      </w:tblGrid>
      <w:tr>
        <w:trPr>
          <w:tblHeader/>
        </w:trPr>
        <w:tc>
          <w:tcPr>
            <w:tcW w:type="dxa" w:w="6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No.</w:t>
            </w:r>
          </w:p>
        </w:tc>
        <w:tc>
          <w:tcPr>
            <w:tcW w:type="dxa" w:w="9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Time</w:t>
            </w:r>
          </w:p>
        </w:tc>
        <w:tc>
          <w:tcPr>
            <w:tcW w:type="dxa" w:w="15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Requested by</w:t>
            </w:r>
          </w:p>
        </w:tc>
        <w:tc>
          <w:tcPr>
            <w:tcW w:type="dxa" w:w="28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Item requested</w:t>
            </w:r>
          </w:p>
        </w:tc>
        <w:tc>
          <w:tcPr>
            <w:tcW w:type="dxa" w:w="13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Provided (time)</w:t>
            </w:r>
          </w:p>
        </w:tc>
        <w:tc>
          <w:tcPr>
            <w:tcW w:type="dxa" w:w="13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Provided by</w:t>
            </w:r>
          </w:p>
        </w:tc>
        <w:tc>
          <w:tcPr>
            <w:tcW w:type="dxa" w:w="16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Notes / potential finding</w:t>
            </w:r>
          </w:p>
        </w:tc>
      </w:tr>
      <w:tr>
        <w:tc>
          <w:tcPr>
            <w:tcW w:type="dxa" w:w="6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5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2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6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6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5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2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6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6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5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2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6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6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5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2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680"/>
            <w:shd w:fill="FFFFFF" w:color="auto" w:val="clear"/>
            <w:tcMar>
              <w:top w:type="dxa" w:w="70"/>
              <w:left w:type="dxa" w:w="100"/>
              <w:bottom w:type="dxa" w:w="70"/>
              <w:right w:type="dxa" w:w="100"/>
            </w:tcMar>
            <w:vAlign w:val="top"/>
          </w:tcPr>
          <w:p>
            <w:pPr>
              <w:spacing w:after="40"/>
            </w:pPr>
            <w:r>
              <w:rPr>
                <w:sz w:val="19"/>
                <w:szCs w:val="19"/>
              </w:rPr>
              <w:t xml:space="preserve"/>
            </w:r>
          </w:p>
        </w:tc>
      </w:tr>
      <w:tr>
        <w:tc>
          <w:tcPr>
            <w:tcW w:type="dxa" w:w="6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5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28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5F8FB" w:color="auto" w:val="clear"/>
            <w:tcMar>
              <w:top w:type="dxa" w:w="70"/>
              <w:left w:type="dxa" w:w="100"/>
              <w:bottom w:type="dxa" w:w="70"/>
              <w:right w:type="dxa" w:w="100"/>
            </w:tcMar>
            <w:vAlign w:val="top"/>
          </w:tcPr>
          <w:p>
            <w:pPr>
              <w:spacing w:after="40"/>
            </w:pPr>
            <w:r>
              <w:rPr>
                <w:sz w:val="19"/>
                <w:szCs w:val="19"/>
              </w:rPr>
              <w:t xml:space="preserve"/>
            </w:r>
          </w:p>
        </w:tc>
        <w:tc>
          <w:tcPr>
            <w:tcW w:type="dxa" w:w="1680"/>
            <w:shd w:fill="F5F8FB" w:color="auto" w:val="clear"/>
            <w:tcMar>
              <w:top w:type="dxa" w:w="70"/>
              <w:left w:type="dxa" w:w="100"/>
              <w:bottom w:type="dxa" w:w="70"/>
              <w:right w:type="dxa" w:w="100"/>
            </w:tcMar>
            <w:vAlign w:val="top"/>
          </w:tcPr>
          <w:p>
            <w:pPr>
              <w:spacing w:after="40"/>
            </w:pPr>
            <w:r>
              <w:rPr>
                <w:sz w:val="19"/>
                <w:szCs w:val="19"/>
              </w:rPr>
              <w:t xml:space="preserve"/>
            </w:r>
          </w:p>
        </w:tc>
      </w:tr>
      <w:tr>
        <w:tc>
          <w:tcPr>
            <w:tcW w:type="dxa" w:w="6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9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5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28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300"/>
            <w:shd w:fill="FFFFFF" w:color="auto" w:val="clear"/>
            <w:tcMar>
              <w:top w:type="dxa" w:w="70"/>
              <w:left w:type="dxa" w:w="100"/>
              <w:bottom w:type="dxa" w:w="70"/>
              <w:right w:type="dxa" w:w="100"/>
            </w:tcMar>
            <w:vAlign w:val="top"/>
          </w:tcPr>
          <w:p>
            <w:pPr>
              <w:spacing w:after="40"/>
            </w:pPr>
            <w:r>
              <w:rPr>
                <w:sz w:val="19"/>
                <w:szCs w:val="19"/>
              </w:rPr>
              <w:t xml:space="preserve"/>
            </w:r>
          </w:p>
        </w:tc>
        <w:tc>
          <w:tcPr>
            <w:tcW w:type="dxa" w:w="1680"/>
            <w:shd w:fill="FFFFFF" w:color="auto" w:val="clear"/>
            <w:tcMar>
              <w:top w:type="dxa" w:w="70"/>
              <w:left w:type="dxa" w:w="100"/>
              <w:bottom w:type="dxa" w:w="70"/>
              <w:right w:type="dxa" w:w="100"/>
            </w:tcMar>
            <w:vAlign w:val="top"/>
          </w:tcPr>
          <w:p>
            <w:pPr>
              <w:spacing w:after="40"/>
            </w:pPr>
            <w:r>
              <w:rPr>
                <w:sz w:val="19"/>
                <w:szCs w:val="19"/>
              </w:rPr>
              <w:t xml:space="preserve"/>
            </w:r>
          </w:p>
        </w:tc>
      </w:tr>
    </w:tbl>
    <w:p>
      <w:pPr>
        <w:pStyle w:val="Heading2"/>
      </w:pPr>
      <w:r>
        <w:t xml:space="preserve">A.5  Standing notifications to the notified body</w:t>
      </w:r>
    </w:p>
    <w:p>
      <w:pPr>
        <w:pStyle w:val="ListParagraph"/>
        <w:numPr>
          <w:ilvl w:val="0"/>
          <w:numId w:val="2"/>
        </w:numPr>
        <w:spacing w:after="60"/>
      </w:pPr>
      <w:r>
        <w:rPr>
          <w:b w:val="false"/>
          <w:bCs w:val="false"/>
          <w:i w:val="false"/>
          <w:iCs w:val="false"/>
          <w:sz w:val="21"/>
          <w:szCs w:val="21"/>
        </w:rPr>
        <w:t xml:space="preserve">Planned production stoppages and campaign manufacturing calendars, so an unannounced audit does not arrive when nothing is being made.</w:t>
      </w:r>
    </w:p>
    <w:p>
      <w:pPr>
        <w:pStyle w:val="ListParagraph"/>
        <w:numPr>
          <w:ilvl w:val="0"/>
          <w:numId w:val="2"/>
        </w:numPr>
        <w:spacing w:after="60"/>
      </w:pPr>
      <w:r>
        <w:rPr>
          <w:b w:val="false"/>
          <w:bCs w:val="false"/>
          <w:i w:val="false"/>
          <w:iCs w:val="false"/>
          <w:sz w:val="21"/>
          <w:szCs w:val="21"/>
        </w:rPr>
        <w:t xml:space="preserve">Significant changes to the QMS, the device or critical suppliers, per your certification agreement.</w:t>
      </w:r>
    </w:p>
    <w:p>
      <w:pPr>
        <w:pStyle w:val="ListParagraph"/>
        <w:numPr>
          <w:ilvl w:val="0"/>
          <w:numId w:val="2"/>
        </w:numPr>
        <w:spacing w:after="60"/>
      </w:pPr>
      <w:r>
        <w:rPr>
          <w:b w:val="false"/>
          <w:bCs w:val="false"/>
          <w:i w:val="false"/>
          <w:iCs w:val="false"/>
          <w:sz w:val="21"/>
          <w:szCs w:val="21"/>
        </w:rPr>
        <w:t xml:space="preserve">Changes to the sites named in the technical documentation, including critical subcontractors.</w:t>
      </w:r>
    </w:p>
    <w:p>
      <w:pPr>
        <w:pStyle w:val="Heading1"/>
      </w:pPr>
      <w:r>
        <w:t xml:space="preserve">Appendix B. Glossary</w:t>
      </w:r>
    </w:p>
    <w:tbl>
      <w:tblPr>
        <w:tblW w:type="dxa" w:w="10080"/>
        <w:tblBorders>
          <w:top w:val="single" w:color="CBD2D9" w:sz="4"/>
          <w:left w:val="single" w:color="CBD2D9" w:sz="4"/>
          <w:bottom w:val="single" w:color="CBD2D9" w:sz="4"/>
          <w:right w:val="single" w:color="CBD2D9" w:sz="4"/>
          <w:insideH w:val="single" w:color="CBD2D9" w:sz="4"/>
          <w:insideV w:val="single" w:color="CBD2D9" w:sz="4"/>
        </w:tblBorders>
      </w:tblPr>
      <w:tblGrid>
        <w:gridCol w:w="2000"/>
        <w:gridCol w:w="8080"/>
      </w:tblGrid>
      <w:tr>
        <w:trPr>
          <w:tblHeader/>
        </w:trPr>
        <w:tc>
          <w:tcPr>
            <w:tcW w:type="dxa" w:w="200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Term</w:t>
            </w:r>
          </w:p>
        </w:tc>
        <w:tc>
          <w:tcPr>
            <w:tcW w:type="dxa" w:w="8080"/>
            <w:shd w:fill="0F2A4A" w:color="auto" w:val="clear"/>
            <w:tcMar>
              <w:top w:type="dxa" w:w="70"/>
              <w:left w:type="dxa" w:w="100"/>
              <w:bottom w:type="dxa" w:w="70"/>
              <w:right w:type="dxa" w:w="100"/>
            </w:tcMar>
            <w:vAlign w:val="top"/>
          </w:tcPr>
          <w:p>
            <w:pPr>
              <w:spacing w:after="40"/>
            </w:pPr>
            <w:r>
              <w:rPr>
                <w:b/>
                <w:bCs/>
                <w:i w:val="false"/>
                <w:iCs w:val="false"/>
                <w:color w:val="FFFFFF"/>
                <w:sz w:val="19"/>
                <w:szCs w:val="19"/>
              </w:rPr>
              <w:t xml:space="preserve">Meaning</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482 / 483</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Form FDA 482, Notice of Inspection; Form FDA 483, Inspectional Observations issued at the close of an inspection</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AO</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Auditing organization recognized under MDSAP</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ASL</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Approved supplier list</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CAPA</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Corrective and preventive action (ISO 13485 §8.5.2, §8.5.3)</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DHR / DMR</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Device history record (the build record of a lot) and device master record; ISO 13485 calls the latter the medical device file (§4.2.3)</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FSCA / FSN</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Field safety corrective action and field safety notice (EU vigilance)</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MDSAP</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Medical Device Single Audit Program: one audit recognized by Australia, Brazil, Canada, Japan and the USA</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NAI / VAI / OAI</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FDA inspection classifications: No Action Indicated, Voluntary Action Indicated, Official Action Indicated</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NB</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Notified body designated under the EU MDR or IVDR</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NC</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Nonconformity (minor or major for notified bodies; graded 1–5 under MDSAP)</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PRRC</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Person responsible for regulatory compliance (MDR Art. 15)</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PSUR</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Periodic safety update report (MDR Art. 86)</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QMSR / QSIT</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FDA Quality Management System Regulation (21 CFR 820, effective 2 Feb 2026) and the retired Quality System Inspection Technique</w:t>
            </w:r>
          </w:p>
        </w:tc>
      </w:tr>
      <w:tr>
        <w:tc>
          <w:tcPr>
            <w:tcW w:type="dxa" w:w="2000"/>
            <w:shd w:fill="FFFFFF" w:color="auto" w:val="clear"/>
            <w:tcMar>
              <w:top w:type="dxa" w:w="70"/>
              <w:left w:type="dxa" w:w="100"/>
              <w:bottom w:type="dxa" w:w="70"/>
              <w:right w:type="dxa" w:w="100"/>
            </w:tcMar>
            <w:vAlign w:val="top"/>
          </w:tcPr>
          <w:p>
            <w:pPr>
              <w:spacing w:after="40"/>
            </w:pPr>
            <w:r>
              <w:rPr>
                <w:b/>
                <w:bCs/>
                <w:i w:val="false"/>
                <w:iCs w:val="false"/>
                <w:sz w:val="19"/>
                <w:szCs w:val="19"/>
              </w:rPr>
              <w:t xml:space="preserve">UDI</w:t>
            </w:r>
          </w:p>
        </w:tc>
        <w:tc>
          <w:tcPr>
            <w:tcW w:type="dxa" w:w="8080"/>
            <w:shd w:fill="FFFFFF"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Unique device identification</w:t>
            </w:r>
          </w:p>
        </w:tc>
      </w:tr>
      <w:tr>
        <w:tc>
          <w:tcPr>
            <w:tcW w:type="dxa" w:w="2000"/>
            <w:shd w:fill="F5F8FB" w:color="auto" w:val="clear"/>
            <w:tcMar>
              <w:top w:type="dxa" w:w="70"/>
              <w:left w:type="dxa" w:w="100"/>
              <w:bottom w:type="dxa" w:w="70"/>
              <w:right w:type="dxa" w:w="100"/>
            </w:tcMar>
            <w:vAlign w:val="top"/>
          </w:tcPr>
          <w:p>
            <w:pPr>
              <w:spacing w:after="40"/>
            </w:pPr>
            <w:r>
              <w:rPr>
                <w:b/>
                <w:bCs/>
                <w:i w:val="false"/>
                <w:iCs w:val="false"/>
                <w:sz w:val="19"/>
                <w:szCs w:val="19"/>
              </w:rPr>
              <w:t xml:space="preserve">UKRP</w:t>
            </w:r>
          </w:p>
        </w:tc>
        <w:tc>
          <w:tcPr>
            <w:tcW w:type="dxa" w:w="8080"/>
            <w:shd w:fill="F5F8FB" w:color="auto" w:val="clear"/>
            <w:tcMar>
              <w:top w:type="dxa" w:w="70"/>
              <w:left w:type="dxa" w:w="100"/>
              <w:bottom w:type="dxa" w:w="70"/>
              <w:right w:type="dxa" w:w="100"/>
            </w:tcMar>
            <w:vAlign w:val="top"/>
          </w:tcPr>
          <w:p>
            <w:pPr>
              <w:spacing w:after="40"/>
            </w:pPr>
            <w:r>
              <w:rPr>
                <w:b w:val="false"/>
                <w:bCs w:val="false"/>
                <w:i w:val="false"/>
                <w:iCs w:val="false"/>
                <w:sz w:val="19"/>
                <w:szCs w:val="19"/>
              </w:rPr>
              <w:t xml:space="preserve">UK Responsible Person</w:t>
            </w:r>
          </w:p>
        </w:tc>
      </w:tr>
    </w:tbl>
    <w:p>
      <w:pPr>
        <w:pStyle w:val="Heading1"/>
      </w:pPr>
      <w:r>
        <w:t xml:space="preserve">Appendix C. References</w:t>
      </w:r>
    </w:p>
    <w:p>
      <w:pPr>
        <w:pStyle w:val="Heading3"/>
      </w:pPr>
      <w:r>
        <w:t xml:space="preserve">Standards</w:t>
      </w:r>
    </w:p>
    <w:p>
      <w:pPr>
        <w:pStyle w:val="ListParagraph"/>
        <w:numPr>
          <w:ilvl w:val="0"/>
          <w:numId w:val="2"/>
        </w:numPr>
        <w:spacing w:after="60"/>
      </w:pPr>
      <w:r>
        <w:rPr>
          <w:b w:val="false"/>
          <w:bCs w:val="false"/>
          <w:i w:val="false"/>
          <w:iCs w:val="false"/>
          <w:sz w:val="21"/>
          <w:szCs w:val="21"/>
        </w:rPr>
        <w:t xml:space="preserve">ISO 13485:2016 Medical devices — Quality management systems — Requirements for regulatory purposes, plus Amendment 1:2024</w:t>
      </w:r>
    </w:p>
    <w:p>
      <w:pPr>
        <w:pStyle w:val="ListParagraph"/>
        <w:numPr>
          <w:ilvl w:val="0"/>
          <w:numId w:val="2"/>
        </w:numPr>
        <w:spacing w:after="60"/>
      </w:pPr>
      <w:r>
        <w:rPr>
          <w:b w:val="false"/>
          <w:bCs w:val="false"/>
          <w:i w:val="false"/>
          <w:iCs w:val="false"/>
          <w:sz w:val="21"/>
          <w:szCs w:val="21"/>
        </w:rPr>
        <w:t xml:space="preserve">EN ISO 13485:2016+A11:2021 (harmonised standard with Annexes ZA/ZB for the MDR and IVDR)</w:t>
      </w:r>
    </w:p>
    <w:p>
      <w:pPr>
        <w:pStyle w:val="ListParagraph"/>
        <w:numPr>
          <w:ilvl w:val="0"/>
          <w:numId w:val="2"/>
        </w:numPr>
        <w:spacing w:after="60"/>
      </w:pPr>
      <w:r>
        <w:rPr>
          <w:b w:val="false"/>
          <w:bCs w:val="false"/>
          <w:i w:val="false"/>
          <w:iCs w:val="false"/>
          <w:sz w:val="21"/>
          <w:szCs w:val="21"/>
        </w:rPr>
        <w:t xml:space="preserve">ISO 14971:2019 Application of risk management to medical devices; ISO/TR 24971:2020 guidance</w:t>
      </w:r>
    </w:p>
    <w:p>
      <w:pPr>
        <w:pStyle w:val="ListParagraph"/>
        <w:numPr>
          <w:ilvl w:val="0"/>
          <w:numId w:val="2"/>
        </w:numPr>
        <w:spacing w:after="60"/>
      </w:pPr>
      <w:r>
        <w:rPr>
          <w:b w:val="false"/>
          <w:bCs w:val="false"/>
          <w:i w:val="false"/>
          <w:iCs w:val="false"/>
          <w:sz w:val="21"/>
          <w:szCs w:val="21"/>
        </w:rPr>
        <w:t xml:space="preserve">ISO 19011:2018 Guidelines for auditing management systems</w:t>
      </w:r>
    </w:p>
    <w:p>
      <w:pPr>
        <w:pStyle w:val="ListParagraph"/>
        <w:numPr>
          <w:ilvl w:val="0"/>
          <w:numId w:val="2"/>
        </w:numPr>
        <w:spacing w:after="60"/>
      </w:pPr>
      <w:r>
        <w:rPr>
          <w:b w:val="false"/>
          <w:bCs w:val="false"/>
          <w:i w:val="false"/>
          <w:iCs w:val="false"/>
          <w:sz w:val="21"/>
          <w:szCs w:val="21"/>
        </w:rPr>
        <w:t xml:space="preserve">IEC 62304 (software life cycle), ISO 11607 (packaging), ISO 14155 (clinical investigation), ISO 10993 series (biological evaluation)</w:t>
      </w:r>
    </w:p>
    <w:p>
      <w:pPr>
        <w:pStyle w:val="Heading3"/>
      </w:pPr>
      <w:r>
        <w:t xml:space="preserve">Regulations and guidance</w:t>
      </w:r>
    </w:p>
    <w:p>
      <w:pPr>
        <w:pStyle w:val="ListParagraph"/>
        <w:numPr>
          <w:ilvl w:val="0"/>
          <w:numId w:val="2"/>
        </w:numPr>
        <w:spacing w:after="60"/>
      </w:pPr>
      <w:r>
        <w:rPr>
          <w:b w:val="false"/>
          <w:bCs w:val="false"/>
          <w:i w:val="false"/>
          <w:iCs w:val="false"/>
          <w:sz w:val="21"/>
          <w:szCs w:val="21"/>
        </w:rPr>
        <w:t xml:space="preserve">21 CFR Part 820 Quality Management System Regulation (effective 2 February 2026); Parts 803 (medical device reporting), 806 (corrections and removals), 807 (registration and listing), 830 (UDI)</w:t>
      </w:r>
    </w:p>
    <w:p>
      <w:pPr>
        <w:pStyle w:val="ListParagraph"/>
        <w:numPr>
          <w:ilvl w:val="0"/>
          <w:numId w:val="2"/>
        </w:numPr>
        <w:spacing w:after="60"/>
      </w:pPr>
      <w:r>
        <w:rPr>
          <w:b w:val="false"/>
          <w:bCs w:val="false"/>
          <w:i w:val="false"/>
          <w:iCs w:val="false"/>
          <w:sz w:val="21"/>
          <w:szCs w:val="21"/>
        </w:rPr>
        <w:t xml:space="preserve">FDA Compliance Program 7382.845, Inspection of Medical Device Manufacturers</w:t>
      </w:r>
    </w:p>
    <w:p>
      <w:pPr>
        <w:pStyle w:val="ListParagraph"/>
        <w:numPr>
          <w:ilvl w:val="0"/>
          <w:numId w:val="2"/>
        </w:numPr>
        <w:spacing w:after="60"/>
      </w:pPr>
      <w:r>
        <w:rPr>
          <w:b w:val="false"/>
          <w:bCs w:val="false"/>
          <w:i w:val="false"/>
          <w:iCs w:val="false"/>
          <w:sz w:val="21"/>
          <w:szCs w:val="21"/>
        </w:rPr>
        <w:t xml:space="preserve">Regulation (EU) 2017/745 (MDR) and 2017/746 (IVDR), in particular MDR Annex IX §3.4; Regulations (EU) 2023/607 and 2024/1860 (transition extensions)</w:t>
      </w:r>
    </w:p>
    <w:p>
      <w:pPr>
        <w:pStyle w:val="ListParagraph"/>
        <w:numPr>
          <w:ilvl w:val="0"/>
          <w:numId w:val="2"/>
        </w:numPr>
        <w:spacing w:after="60"/>
      </w:pPr>
      <w:r>
        <w:rPr>
          <w:b w:val="false"/>
          <w:bCs w:val="false"/>
          <w:i w:val="false"/>
          <w:iCs w:val="false"/>
          <w:sz w:val="21"/>
          <w:szCs w:val="21"/>
        </w:rPr>
        <w:t xml:space="preserve">Commission Recommendation 2013/473/EU on audits and assessments performed by notified bodies</w:t>
      </w:r>
    </w:p>
    <w:p>
      <w:pPr>
        <w:pStyle w:val="ListParagraph"/>
        <w:numPr>
          <w:ilvl w:val="0"/>
          <w:numId w:val="2"/>
        </w:numPr>
        <w:spacing w:after="60"/>
      </w:pPr>
      <w:r>
        <w:rPr>
          <w:b w:val="false"/>
          <w:bCs w:val="false"/>
          <w:i w:val="false"/>
          <w:iCs w:val="false"/>
          <w:sz w:val="21"/>
          <w:szCs w:val="21"/>
        </w:rPr>
        <w:t xml:space="preserve">MDCG guidance documents (European Commission, medical devices sector)</w:t>
      </w:r>
    </w:p>
    <w:p>
      <w:pPr>
        <w:pStyle w:val="ListParagraph"/>
        <w:numPr>
          <w:ilvl w:val="0"/>
          <w:numId w:val="2"/>
        </w:numPr>
        <w:spacing w:after="60"/>
      </w:pPr>
      <w:r>
        <w:rPr>
          <w:b w:val="false"/>
          <w:bCs w:val="false"/>
          <w:i w:val="false"/>
          <w:iCs w:val="false"/>
          <w:sz w:val="21"/>
          <w:szCs w:val="21"/>
        </w:rPr>
        <w:t xml:space="preserve">MDSAP Audit Approach (MDSAP AU P0002) and MDSAP Companion Document (MDSAP AU G0002); GHTF/SG3/N19:2012 Nonconformity grading system</w:t>
      </w:r>
    </w:p>
    <w:p>
      <w:pPr>
        <w:pStyle w:val="ListParagraph"/>
        <w:numPr>
          <w:ilvl w:val="0"/>
          <w:numId w:val="2"/>
        </w:numPr>
        <w:spacing w:after="60"/>
      </w:pPr>
      <w:r>
        <w:rPr>
          <w:b w:val="false"/>
          <w:bCs w:val="false"/>
          <w:i w:val="false"/>
          <w:iCs w:val="false"/>
          <w:sz w:val="21"/>
          <w:szCs w:val="21"/>
        </w:rPr>
        <w:t xml:space="preserve">UK Medical Devices Regulations 2002 (SI 2002/618, as amended) and the 2024 post-market surveillance amendment regulations</w:t>
      </w:r>
    </w:p>
    <w:p>
      <w:pPr>
        <w:pStyle w:val="ListParagraph"/>
        <w:numPr>
          <w:ilvl w:val="0"/>
          <w:numId w:val="2"/>
        </w:numPr>
        <w:spacing w:after="60"/>
      </w:pPr>
      <w:r>
        <w:rPr>
          <w:b w:val="false"/>
          <w:bCs w:val="false"/>
          <w:i w:val="false"/>
          <w:iCs w:val="false"/>
          <w:sz w:val="21"/>
          <w:szCs w:val="21"/>
        </w:rPr>
        <w:t xml:space="preserve">Health Canada Medical Devices Regulations SOR/98-282</w:t>
      </w:r>
    </w:p>
    <w:p>
      <w:pPr>
        <w:pStyle w:val="Heading1"/>
      </w:pPr>
      <w:r>
        <w:t xml:space="preserve">Notes</w:t>
      </w:r>
    </w:p>
    <w:tbl>
      <w:tblPr>
        <w:tblW w:type="dxa" w:w="10080"/>
        <w:tblBorders>
          <w:top w:val="none" w:color="FFFFFF" w:sz="0"/>
          <w:left w:val="none" w:color="FFFFFF" w:sz="0"/>
          <w:bottom w:val="single" w:color="CBD2D9" w:sz="4"/>
          <w:right w:val="none" w:color="FFFFFF" w:sz="0"/>
          <w:insideH w:val="single" w:color="CBD2D9" w:sz="4"/>
          <w:insideV w:val="none" w:color="FFFFFF" w:sz="0"/>
        </w:tblBorders>
      </w:tblPr>
      <w:tblGrid>
        <w:gridCol w:w="10080"/>
      </w:tblGrid>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r>
        <w:trPr>
          <w:trHeight w:val="420" w:hRule="atLeast"/>
        </w:trPr>
        <w:tc>
          <w:tcPr>
            <w:tcW w:type="dxa" w:w="10080"/>
            <w:tcMar>
              <w:top w:type="dxa" w:w="0"/>
              <w:left w:type="dxa" w:w="0"/>
              <w:bottom w:type="dxa" w:w="0"/>
              <w:right w:type="dxa" w:w="0"/>
            </w:tcMar>
          </w:tcPr>
          <w:p>
            <w:r>
              <w:rPr>
                <w:sz w:val="18"/>
                <w:szCs w:val="18"/>
              </w:rPr>
              <w:t xml:space="preserve"/>
            </w:r>
          </w:p>
        </w:tc>
      </w:tr>
    </w:tbl>
    <w:p>
      <w:pPr>
        <w:spacing w:after="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ISO 13485 &amp; Audit Readiness  ·  Participant Handout  ·  Elder Consulting, LLC   |   Page </w:t>
    </w:r>
    <w:r>
      <w:rPr>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400"/>
      <w:outlineLvl w:val="0"/>
    </w:pPr>
    <w:rPr>
      <w:rFonts w:ascii="Cambria" w:cs="Cambria" w:eastAsia="Cambria" w:hAnsi="Cambria"/>
      <w:b/>
      <w:bCs/>
      <w:color w:val="0F2A4A"/>
      <w:sz w:val="32"/>
      <w:szCs w:val="32"/>
    </w:rPr>
  </w:style>
  <w:style w:type="paragraph" w:styleId="Heading2">
    <w:name w:val="Heading 2"/>
    <w:basedOn w:val="Normal"/>
    <w:next w:val="Normal"/>
    <w:qFormat/>
    <w:pPr>
      <w:keepNext/>
      <w:spacing w:after="100" w:before="280"/>
      <w:outlineLvl w:val="1"/>
    </w:pPr>
    <w:rPr>
      <w:rFonts w:ascii="Cambria" w:cs="Cambria" w:eastAsia="Cambria" w:hAnsi="Cambria"/>
      <w:b/>
      <w:bCs/>
      <w:color w:val="0F2A4A"/>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A8730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13485 &amp; Audit Readiness: Participant Handout</dc:title>
  <dc:creator>Elder Consulting, LLC</dc:creator>
  <dc:description>ISO 13485 &amp; Audit Readiness seminar material</dc:description>
  <cp:lastModifiedBy>Un-named</cp:lastModifiedBy>
  <cp:revision>1</cp:revision>
  <dcterms:created xsi:type="dcterms:W3CDTF">2026-09-16T10:03:15.394Z</dcterms:created>
  <dcterms:modified xsi:type="dcterms:W3CDTF">2026-09-16T10:03:15.395Z</dcterms:modified>
</cp:coreProperties>
</file>

<file path=docProps/custom.xml><?xml version="1.0" encoding="utf-8"?>
<Properties xmlns="http://schemas.openxmlformats.org/officeDocument/2006/custom-properties" xmlns:vt="http://schemas.openxmlformats.org/officeDocument/2006/docPropsVTypes"/>
</file>