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Первая таблица — продажи по месяцам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Месяц</w:t>
            </w:r>
          </w:p>
        </w:tc>
        <w:tc>
          <w:tcPr>
            <w:tcW w:w="4500" w:type="dxa"/>
          </w:tcPr>
          <w:p>
            <w:r>
              <w:t xml:space="preserve">Сумма</w:t>
            </w:r>
          </w:p>
        </w:tc>
      </w:tr>
      <w:tr>
        <w:tc>
          <w:tcPr>
            <w:tcW w:w="4500" w:type="dxa"/>
          </w:tcPr>
          <w:p>
            <w:r>
              <w:t xml:space="preserve">Январь</w:t>
            </w:r>
          </w:p>
        </w:tc>
        <w:tc>
          <w:tcPr>
            <w:tcW w:w="4500" w:type="dxa"/>
          </w:tcPr>
          <w:p>
            <w:r>
              <w:t xml:space="preserve">120 000 ₽</w:t>
            </w:r>
          </w:p>
        </w:tc>
      </w:tr>
      <w:tr>
        <w:tc>
          <w:tcPr>
            <w:tcW w:w="4500" w:type="dxa"/>
          </w:tcPr>
          <w:p>
            <w:r>
              <w:t xml:space="preserve">Февраль</w:t>
            </w:r>
          </w:p>
        </w:tc>
        <w:tc>
          <w:tcPr>
            <w:tcW w:w="4500" w:type="dxa"/>
          </w:tcPr>
          <w:p>
            <w:r>
              <w:t xml:space="preserve">145 000 ₽</w:t>
            </w:r>
          </w:p>
        </w:tc>
      </w:tr>
      <w:tr>
        <w:tc>
          <w:tcPr>
            <w:tcW w:w="4500" w:type="dxa"/>
          </w:tcPr>
          <w:p>
            <w:r>
              <w:t xml:space="preserve">Март</w:t>
            </w:r>
          </w:p>
        </w:tc>
        <w:tc>
          <w:tcPr>
            <w:tcW w:w="4500" w:type="dxa"/>
          </w:tcPr>
          <w:p>
            <w:r>
              <w:t xml:space="preserve">178 000 ₽</w:t>
            </w:r>
          </w:p>
        </w:tc>
      </w:tr>
    </w:tbl>
    <w:p>
      <w:r>
        <w:t xml:space="preserve">Вторая таблица — расходы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Категория</w:t>
            </w:r>
          </w:p>
        </w:tc>
        <w:tc>
          <w:tcPr>
            <w:tcW w:w="4500" w:type="dxa"/>
          </w:tcPr>
          <w:p>
            <w:r>
              <w:t xml:space="preserve">Бюджет</w:t>
            </w:r>
          </w:p>
        </w:tc>
      </w:tr>
      <w:tr>
        <w:tc>
          <w:tcPr>
            <w:tcW w:w="4500" w:type="dxa"/>
          </w:tcPr>
          <w:p>
            <w:r>
              <w:t xml:space="preserve">Реклама</w:t>
            </w:r>
          </w:p>
        </w:tc>
        <w:tc>
          <w:tcPr>
            <w:tcW w:w="4500" w:type="dxa"/>
          </w:tcPr>
          <w:p>
            <w:r>
              <w:t xml:space="preserve">30 000 ₽</w:t>
            </w:r>
          </w:p>
        </w:tc>
      </w:tr>
      <w:tr>
        <w:tc>
          <w:tcPr>
            <w:tcW w:w="4500" w:type="dxa"/>
          </w:tcPr>
          <w:p>
            <w:r>
              <w:t xml:space="preserve">Зарплата</w:t>
            </w:r>
          </w:p>
        </w:tc>
        <w:tc>
          <w:tcPr>
            <w:tcW w:w="4500" w:type="dxa"/>
          </w:tcPr>
          <w:p>
            <w:r>
              <w:t xml:space="preserve">80 000 ₽</w:t>
            </w:r>
          </w:p>
        </w:tc>
      </w:tr>
      <w:tr>
        <w:tc>
          <w:tcPr>
            <w:tcW w:w="4500" w:type="dxa"/>
          </w:tcPr>
          <w:p>
            <w:r>
              <w:t xml:space="preserve">Аренда</w:t>
            </w:r>
          </w:p>
        </w:tc>
        <w:tc>
          <w:tcPr>
            <w:tcW w:w="4500" w:type="dxa"/>
          </w:tcPr>
          <w:p>
            <w:r>
              <w:t xml:space="preserve">45 000 ₽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