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00829A">
      <w:pPr>
        <w:pStyle w:val="139"/>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Sprint Planning</w:t>
      </w:r>
      <w:r>
        <w:rPr>
          <w:sz w:val="24"/>
          <w:szCs w:val="24"/>
        </w:rPr>
      </w:r>
    </w:p>
    <w:p w14:paraId="4CA1A0EC">
      <w:pPr>
        <w:pStyle w:val="140"/>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Objetivo del Sprint</w:t>
      </w:r>
      <w:r>
        <w:rPr>
          <w:sz w:val="22"/>
          <w:szCs w:val="22"/>
        </w:rPr>
      </w:r>
    </w:p>
    <w:p w14:paraId="2F634F63">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El Sprint desarrollado para el sistema web DermaTech tuvo como objetivo principal organizar y planificar las funcionalidades esenciales del sistema de agendamiento de citas para el spa dermatológico. Durante esta etapa se definieron las actividades priorit</w:t>
      </w:r>
      <w:r>
        <w:rPr>
          <w:rFonts w:ascii="Times New Roman" w:hAnsi="Times New Roman" w:eastAsia="Times New Roman" w:cs="Times New Roman"/>
          <w:color w:val="000000"/>
          <w:sz w:val="22"/>
          <w:szCs w:val="22"/>
        </w:rPr>
        <w:t xml:space="preserve">arias necesarias para garantizar un correcto funcionamiento de la plataforma, enfocándose principalmente en la gestión de pacientes, control de citas, administración de especialistas y seguridad de acceso al sistema. </w:t>
      </w:r>
      <w:r>
        <w:rPr>
          <w:rFonts w:ascii="Times New Roman" w:hAnsi="Times New Roman" w:eastAsia="Times New Roman" w:cs="Times New Roman"/>
          <w:color w:val="000000"/>
          <w:sz w:val="22"/>
          <w:szCs w:val="22"/>
        </w:rPr>
        <w:t xml:space="preserve">La planificación del Sprint permitió establecer una estructura inicial de trabajo orientada a cubrir las necesidades más importantes tanto de los pacientes como del personal administrativo y médico del spa dermatológico. Además, se buscó priorizar aquellas</w:t>
      </w:r>
      <w:r>
        <w:rPr>
          <w:rFonts w:ascii="Times New Roman" w:hAnsi="Times New Roman" w:eastAsia="Times New Roman" w:cs="Times New Roman"/>
          <w:color w:val="000000"/>
          <w:sz w:val="22"/>
          <w:szCs w:val="22"/>
        </w:rPr>
        <w:t xml:space="preserve"> funcionalidades indispensables para mejorar la organización de citas, optimizar el tiempo de atención y facilitar la gestión de la información clínica de los usuarios registrados en la plataforma.</w:t>
      </w:r>
      <w:r>
        <w:rPr>
          <w:sz w:val="22"/>
          <w:szCs w:val="22"/>
        </w:rPr>
      </w:r>
      <w:r>
        <w:rPr>
          <w:rFonts w:ascii="Times New Roman" w:hAnsi="Times New Roman" w:eastAsia="Times New Roman" w:cs="Times New Roman"/>
          <w:sz w:val="22"/>
          <w:szCs w:val="22"/>
        </w:rPr>
      </w:r>
    </w:p>
    <w:p w14:paraId="124C3878">
      <w:pPr>
        <w:pStyle w:val="140"/>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Duración del Sprint</w:t>
      </w:r>
      <w:r>
        <w:rPr>
          <w:sz w:val="22"/>
          <w:szCs w:val="22"/>
        </w:rPr>
      </w:r>
    </w:p>
    <w:p w14:paraId="28ECEB7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Para el desarrollo de las actividades definidas se estableció una duración estimada de dos semanas (14 días). Durante este período el equipo de trabajo organizó las tareas necesarias para la elaboración de historias de usuario, planificación de funcionalid</w:t>
      </w:r>
      <w:r>
        <w:rPr>
          <w:rFonts w:ascii="Times New Roman" w:hAnsi="Times New Roman" w:eastAsia="Times New Roman" w:cs="Times New Roman"/>
          <w:color w:val="000000"/>
          <w:sz w:val="22"/>
          <w:szCs w:val="22"/>
        </w:rPr>
        <w:t xml:space="preserve">ades y definición de procesos relacionados con la metodología SCRUM aplicada al sistema DermaTech. </w:t>
      </w:r>
      <w:r>
        <w:rPr>
          <w:rFonts w:ascii="Times New Roman" w:hAnsi="Times New Roman" w:eastAsia="Times New Roman" w:cs="Times New Roman"/>
          <w:color w:val="000000"/>
          <w:sz w:val="22"/>
          <w:szCs w:val="22"/>
        </w:rPr>
        <w:t xml:space="preserve">El tiempo establecido permitió distribuir adecuadamente las actividades del proyecto y mantener una planificación estructurada de las funcionalidades consideradas prioritarias para el desarrollo inicial del sistema.</w:t>
      </w:r>
      <w:r>
        <w:rPr>
          <w:sz w:val="22"/>
          <w:szCs w:val="22"/>
        </w:rPr>
      </w:r>
      <w:r>
        <w:rPr>
          <w:rFonts w:ascii="Times New Roman" w:hAnsi="Times New Roman" w:eastAsia="Times New Roman" w:cs="Times New Roman"/>
          <w:sz w:val="22"/>
          <w:szCs w:val="22"/>
        </w:rPr>
      </w:r>
    </w:p>
    <w:p w14:paraId="1664EBCC">
      <w:pPr>
        <w:pStyle w:val="140"/>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4.3 Funcionalidades Priorizadas</w:t>
      </w:r>
      <w:r>
        <w:rPr>
          <w:sz w:val="22"/>
          <w:szCs w:val="22"/>
        </w:rPr>
      </w:r>
    </w:p>
    <w:p w14:paraId="38BC42E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Las funcionalidades seleccionadas para el Sprint corresponden a los procesos principales requeridos para el funcionamiento del sistema de agendamiento de citas del spa dermatológico. Estas funcionalidades fueron organizadas según su importancia operativa d</w:t>
      </w:r>
      <w:r>
        <w:rPr>
          <w:rFonts w:ascii="Times New Roman" w:hAnsi="Times New Roman" w:eastAsia="Times New Roman" w:cs="Times New Roman"/>
          <w:color w:val="000000"/>
          <w:sz w:val="22"/>
          <w:szCs w:val="22"/>
        </w:rPr>
        <w:t xml:space="preserve">entro de la plataforma.</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73"/>
        <w:gridCol w:w="6434"/>
        <w:gridCol w:w="1763"/>
      </w:tblGrid>
      <w:tr>
        <w:trPr>
          <w:trHeight w:val="284"/>
        </w:trPr>
        <w:tc>
          <w:tcPr>
            <w:shd w:val="clear" w:color="deebf7" w:themeColor="accent1" w:themeTint="33" w:fill="deebf7" w:themeFill="accent1" w:themeFillTint="33"/>
            <w:tcBorders/>
            <w:tcMar>
              <w:left w:w="15" w:type="dxa"/>
              <w:top w:w="15" w:type="dxa"/>
              <w:right w:w="15" w:type="dxa"/>
              <w:bottom w:w="15" w:type="dxa"/>
            </w:tcMar>
            <w:tcW w:w="1073" w:type="dxa"/>
            <w:vAlign w:val="center"/>
          </w:tcPr>
          <w:p w14:paraId="2C95EC1A">
            <w:pPr>
              <w:pBdr/>
              <w:spacing w:after="0" w:before="0" w:line="240"/>
              <w:ind/>
              <w:jc w:val="center"/>
              <w:rPr>
                <w:sz w:val="24"/>
                <w:szCs w:val="24"/>
              </w:rPr>
            </w:pPr>
            <w:r>
              <w:rPr>
                <w:rFonts w:ascii="Times New Roman" w:hAnsi="Times New Roman" w:eastAsia="Times New Roman" w:cs="Times New Roman"/>
                <w:b/>
                <w:color w:val="000000"/>
                <w:sz w:val="24"/>
                <w:szCs w:val="24"/>
              </w:rPr>
              <w:t xml:space="preserve">ID</w:t>
            </w:r>
            <w:r>
              <w:rPr>
                <w:sz w:val="24"/>
                <w:szCs w:val="24"/>
              </w:rPr>
            </w:r>
          </w:p>
        </w:tc>
        <w:tc>
          <w:tcPr>
            <w:shd w:val="clear" w:color="deebf7" w:themeColor="accent1" w:themeTint="33" w:fill="deebf7" w:themeFill="accent1" w:themeFillTint="33"/>
            <w:tcBorders/>
            <w:tcMar>
              <w:left w:w="15" w:type="dxa"/>
              <w:top w:w="15" w:type="dxa"/>
              <w:right w:w="15" w:type="dxa"/>
              <w:bottom w:w="15" w:type="dxa"/>
            </w:tcMar>
            <w:tcW w:w="6434" w:type="dxa"/>
            <w:vAlign w:val="center"/>
          </w:tcPr>
          <w:p w14:paraId="60875784">
            <w:pPr>
              <w:pBdr/>
              <w:spacing w:after="0" w:before="0" w:line="240"/>
              <w:ind/>
              <w:jc w:val="center"/>
              <w:rPr>
                <w:sz w:val="24"/>
                <w:szCs w:val="24"/>
              </w:rPr>
            </w:pPr>
            <w:r>
              <w:rPr>
                <w:rFonts w:ascii="Times New Roman" w:hAnsi="Times New Roman" w:eastAsia="Times New Roman" w:cs="Times New Roman"/>
                <w:b/>
                <w:color w:val="000000"/>
                <w:sz w:val="24"/>
                <w:szCs w:val="24"/>
              </w:rPr>
              <w:t xml:space="preserve"> Funcionalidad</w:t>
            </w:r>
            <w:r>
              <w:rPr>
                <w:sz w:val="24"/>
                <w:szCs w:val="24"/>
              </w:rPr>
            </w:r>
          </w:p>
        </w:tc>
        <w:tc>
          <w:tcPr>
            <w:shd w:val="clear" w:color="deebf7" w:themeColor="accent1" w:themeTint="33" w:fill="deebf7" w:themeFill="accent1" w:themeFillTint="33"/>
            <w:tcBorders/>
            <w:tcMar>
              <w:left w:w="15" w:type="dxa"/>
              <w:top w:w="15" w:type="dxa"/>
              <w:right w:w="15" w:type="dxa"/>
              <w:bottom w:w="15" w:type="dxa"/>
            </w:tcMar>
            <w:tcW w:w="1763" w:type="dxa"/>
            <w:vAlign w:val="center"/>
          </w:tcPr>
          <w:p w14:paraId="6F1391D9">
            <w:pPr>
              <w:pBdr/>
              <w:spacing w:after="0" w:before="0" w:line="240"/>
              <w:ind/>
              <w:jc w:val="center"/>
              <w:rPr>
                <w:sz w:val="24"/>
                <w:szCs w:val="24"/>
              </w:rPr>
            </w:pPr>
            <w:r>
              <w:rPr>
                <w:rFonts w:ascii="Times New Roman" w:hAnsi="Times New Roman" w:eastAsia="Times New Roman" w:cs="Times New Roman"/>
                <w:b/>
                <w:color w:val="000000"/>
                <w:sz w:val="24"/>
                <w:szCs w:val="24"/>
              </w:rPr>
              <w:t xml:space="preserve">Prioridad</w:t>
            </w:r>
            <w:r>
              <w:rPr>
                <w:sz w:val="24"/>
                <w:szCs w:val="24"/>
              </w:rPr>
            </w:r>
          </w:p>
        </w:tc>
      </w:tr>
      <w:tr>
        <w:trPr>
          <w:trHeight w:val="567"/>
        </w:trPr>
        <w:tc>
          <w:tcPr>
            <w:tcBorders/>
            <w:tcMar>
              <w:left w:w="15" w:type="dxa"/>
              <w:top w:w="15" w:type="dxa"/>
              <w:right w:w="15" w:type="dxa"/>
              <w:bottom w:w="15" w:type="dxa"/>
            </w:tcMar>
            <w:tcW w:w="1073" w:type="dxa"/>
            <w:vAlign w:val="center"/>
          </w:tcPr>
          <w:p w14:paraId="63AAC47C">
            <w:pPr>
              <w:pBdr/>
              <w:spacing w:after="0" w:before="0" w:line="240"/>
              <w:ind/>
              <w:jc w:val="center"/>
              <w:rPr>
                <w:sz w:val="24"/>
                <w:szCs w:val="24"/>
              </w:rPr>
            </w:pPr>
            <w:r>
              <w:rPr>
                <w:rFonts w:ascii="Times New Roman" w:hAnsi="Times New Roman" w:eastAsia="Times New Roman" w:cs="Times New Roman"/>
                <w:color w:val="000000"/>
                <w:sz w:val="24"/>
                <w:szCs w:val="24"/>
              </w:rPr>
              <w:t xml:space="preserve">US-01</w:t>
            </w:r>
            <w:r>
              <w:rPr>
                <w:sz w:val="24"/>
                <w:szCs w:val="24"/>
              </w:rPr>
            </w:r>
          </w:p>
        </w:tc>
        <w:tc>
          <w:tcPr>
            <w:tcBorders/>
            <w:tcMar>
              <w:left w:w="15" w:type="dxa"/>
              <w:top w:w="15" w:type="dxa"/>
              <w:right w:w="15" w:type="dxa"/>
              <w:bottom w:w="15" w:type="dxa"/>
            </w:tcMar>
            <w:tcW w:w="6434" w:type="dxa"/>
            <w:vAlign w:val="center"/>
          </w:tcPr>
          <w:p w14:paraId="68E60D4F">
            <w:pPr>
              <w:pBdr/>
              <w:spacing w:after="0" w:before="0" w:line="240"/>
              <w:ind/>
              <w:jc w:val="center"/>
              <w:rPr>
                <w:sz w:val="24"/>
                <w:szCs w:val="24"/>
              </w:rPr>
            </w:pPr>
            <w:r>
              <w:rPr>
                <w:rFonts w:ascii="Times New Roman" w:hAnsi="Times New Roman" w:eastAsia="Times New Roman" w:cs="Times New Roman"/>
                <w:color w:val="000000"/>
                <w:sz w:val="24"/>
                <w:szCs w:val="24"/>
              </w:rPr>
              <w:t xml:space="preserve">Inicio de sesión seguro</w:t>
            </w:r>
            <w:r>
              <w:rPr>
                <w:sz w:val="24"/>
                <w:szCs w:val="24"/>
              </w:rPr>
            </w:r>
          </w:p>
        </w:tc>
        <w:tc>
          <w:tcPr>
            <w:tcBorders/>
            <w:tcMar>
              <w:left w:w="15" w:type="dxa"/>
              <w:top w:w="15" w:type="dxa"/>
              <w:right w:w="15" w:type="dxa"/>
              <w:bottom w:w="15" w:type="dxa"/>
            </w:tcMar>
            <w:tcW w:w="1763" w:type="dxa"/>
            <w:vAlign w:val="center"/>
          </w:tcPr>
          <w:p w14:paraId="2C25F672">
            <w:pPr>
              <w:pBdr/>
              <w:spacing w:after="0" w:before="0" w:line="240"/>
              <w:ind/>
              <w:jc w:val="center"/>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rHeight w:val="567"/>
        </w:trPr>
        <w:tc>
          <w:tcPr>
            <w:tcBorders/>
            <w:tcMar>
              <w:left w:w="15" w:type="dxa"/>
              <w:top w:w="15" w:type="dxa"/>
              <w:right w:w="15" w:type="dxa"/>
              <w:bottom w:w="15" w:type="dxa"/>
            </w:tcMar>
            <w:tcW w:w="1073" w:type="dxa"/>
            <w:vAlign w:val="center"/>
          </w:tcPr>
          <w:p w14:paraId="1E4255AB">
            <w:pPr>
              <w:pBdr/>
              <w:spacing w:after="0" w:before="0" w:line="240"/>
              <w:ind/>
              <w:jc w:val="center"/>
              <w:rPr>
                <w:sz w:val="24"/>
                <w:szCs w:val="24"/>
              </w:rPr>
            </w:pPr>
            <w:r>
              <w:rPr>
                <w:rFonts w:ascii="Times New Roman" w:hAnsi="Times New Roman" w:eastAsia="Times New Roman" w:cs="Times New Roman"/>
                <w:color w:val="000000"/>
                <w:sz w:val="24"/>
                <w:szCs w:val="24"/>
              </w:rPr>
              <w:t xml:space="preserve">US-02</w:t>
            </w:r>
            <w:r>
              <w:rPr>
                <w:sz w:val="24"/>
                <w:szCs w:val="24"/>
              </w:rPr>
            </w:r>
          </w:p>
        </w:tc>
        <w:tc>
          <w:tcPr>
            <w:tcBorders/>
            <w:tcMar>
              <w:left w:w="15" w:type="dxa"/>
              <w:top w:w="15" w:type="dxa"/>
              <w:right w:w="15" w:type="dxa"/>
              <w:bottom w:w="15" w:type="dxa"/>
            </w:tcMar>
            <w:tcW w:w="6434" w:type="dxa"/>
            <w:vAlign w:val="center"/>
          </w:tcPr>
          <w:p w14:paraId="46DCC867">
            <w:pPr>
              <w:pBdr/>
              <w:spacing w:after="0" w:before="0" w:line="240"/>
              <w:ind/>
              <w:jc w:val="center"/>
              <w:rPr>
                <w:sz w:val="24"/>
                <w:szCs w:val="24"/>
              </w:rPr>
            </w:pPr>
            <w:r>
              <w:rPr>
                <w:rFonts w:ascii="Times New Roman" w:hAnsi="Times New Roman" w:eastAsia="Times New Roman" w:cs="Times New Roman"/>
                <w:color w:val="000000"/>
                <w:sz w:val="24"/>
                <w:szCs w:val="24"/>
              </w:rPr>
              <w:t xml:space="preserve">Agendamiento de citas</w:t>
            </w:r>
            <w:r>
              <w:rPr>
                <w:sz w:val="24"/>
                <w:szCs w:val="24"/>
              </w:rPr>
            </w:r>
          </w:p>
        </w:tc>
        <w:tc>
          <w:tcPr>
            <w:tcBorders/>
            <w:tcMar>
              <w:left w:w="15" w:type="dxa"/>
              <w:top w:w="15" w:type="dxa"/>
              <w:right w:w="15" w:type="dxa"/>
              <w:bottom w:w="15" w:type="dxa"/>
            </w:tcMar>
            <w:tcW w:w="1763" w:type="dxa"/>
            <w:vAlign w:val="center"/>
          </w:tcPr>
          <w:p w14:paraId="7C735101">
            <w:pPr>
              <w:pBdr/>
              <w:spacing w:after="0" w:before="0" w:line="240"/>
              <w:ind/>
              <w:jc w:val="center"/>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rHeight w:val="567"/>
        </w:trPr>
        <w:tc>
          <w:tcPr>
            <w:tcBorders/>
            <w:tcMar>
              <w:left w:w="15" w:type="dxa"/>
              <w:top w:w="15" w:type="dxa"/>
              <w:right w:w="15" w:type="dxa"/>
              <w:bottom w:w="15" w:type="dxa"/>
            </w:tcMar>
            <w:tcW w:w="1073" w:type="dxa"/>
            <w:vAlign w:val="center"/>
          </w:tcPr>
          <w:p w14:paraId="161B7DF1">
            <w:pPr>
              <w:pBdr/>
              <w:spacing w:after="0" w:before="0" w:line="240"/>
              <w:ind/>
              <w:jc w:val="center"/>
              <w:rPr>
                <w:sz w:val="24"/>
                <w:szCs w:val="24"/>
              </w:rPr>
            </w:pPr>
            <w:r>
              <w:rPr>
                <w:rFonts w:ascii="Times New Roman" w:hAnsi="Times New Roman" w:eastAsia="Times New Roman" w:cs="Times New Roman"/>
                <w:color w:val="000000"/>
                <w:sz w:val="24"/>
                <w:szCs w:val="24"/>
              </w:rPr>
              <w:t xml:space="preserve">US-03</w:t>
            </w:r>
            <w:r>
              <w:rPr>
                <w:sz w:val="24"/>
                <w:szCs w:val="24"/>
              </w:rPr>
            </w:r>
          </w:p>
        </w:tc>
        <w:tc>
          <w:tcPr>
            <w:tcBorders/>
            <w:tcMar>
              <w:left w:w="15" w:type="dxa"/>
              <w:top w:w="15" w:type="dxa"/>
              <w:right w:w="15" w:type="dxa"/>
              <w:bottom w:w="15" w:type="dxa"/>
            </w:tcMar>
            <w:tcW w:w="6434" w:type="dxa"/>
            <w:vAlign w:val="center"/>
          </w:tcPr>
          <w:p w14:paraId="6FEFFB0B">
            <w:pPr>
              <w:pBdr/>
              <w:spacing w:after="0" w:before="0" w:line="240"/>
              <w:ind/>
              <w:jc w:val="center"/>
              <w:rPr>
                <w:sz w:val="24"/>
                <w:szCs w:val="24"/>
              </w:rPr>
            </w:pPr>
            <w:r>
              <w:rPr>
                <w:rFonts w:ascii="Times New Roman" w:hAnsi="Times New Roman" w:eastAsia="Times New Roman" w:cs="Times New Roman"/>
                <w:color w:val="000000"/>
                <w:sz w:val="24"/>
                <w:szCs w:val="24"/>
              </w:rPr>
              <w:t xml:space="preserve">Recuperación de contraseña</w:t>
            </w:r>
            <w:r>
              <w:rPr>
                <w:sz w:val="24"/>
                <w:szCs w:val="24"/>
              </w:rPr>
            </w:r>
          </w:p>
        </w:tc>
        <w:tc>
          <w:tcPr>
            <w:tcBorders/>
            <w:tcMar>
              <w:left w:w="15" w:type="dxa"/>
              <w:top w:w="15" w:type="dxa"/>
              <w:right w:w="15" w:type="dxa"/>
              <w:bottom w:w="15" w:type="dxa"/>
            </w:tcMar>
            <w:tcW w:w="1763" w:type="dxa"/>
            <w:vAlign w:val="center"/>
          </w:tcPr>
          <w:p w14:paraId="310F1EF3">
            <w:pPr>
              <w:pBdr/>
              <w:spacing w:after="0" w:before="0" w:line="240"/>
              <w:ind/>
              <w:jc w:val="center"/>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rHeight w:val="567"/>
        </w:trPr>
        <w:tc>
          <w:tcPr>
            <w:tcBorders/>
            <w:tcMar>
              <w:left w:w="15" w:type="dxa"/>
              <w:top w:w="15" w:type="dxa"/>
              <w:right w:w="15" w:type="dxa"/>
              <w:bottom w:w="15" w:type="dxa"/>
            </w:tcMar>
            <w:tcW w:w="1073" w:type="dxa"/>
            <w:vAlign w:val="center"/>
          </w:tcPr>
          <w:p w14:paraId="6C0EAB7A">
            <w:pPr>
              <w:pBdr/>
              <w:spacing w:after="0" w:before="0" w:line="240"/>
              <w:ind/>
              <w:jc w:val="center"/>
              <w:rPr>
                <w:sz w:val="24"/>
                <w:szCs w:val="24"/>
              </w:rPr>
            </w:pPr>
            <w:r>
              <w:rPr>
                <w:rFonts w:ascii="Times New Roman" w:hAnsi="Times New Roman" w:eastAsia="Times New Roman" w:cs="Times New Roman"/>
                <w:color w:val="000000"/>
                <w:sz w:val="24"/>
                <w:szCs w:val="24"/>
              </w:rPr>
              <w:t xml:space="preserve">US-04</w:t>
            </w:r>
            <w:r>
              <w:rPr>
                <w:sz w:val="24"/>
                <w:szCs w:val="24"/>
              </w:rPr>
            </w:r>
          </w:p>
        </w:tc>
        <w:tc>
          <w:tcPr>
            <w:tcBorders/>
            <w:tcMar>
              <w:left w:w="15" w:type="dxa"/>
              <w:top w:w="15" w:type="dxa"/>
              <w:right w:w="15" w:type="dxa"/>
              <w:bottom w:w="15" w:type="dxa"/>
            </w:tcMar>
            <w:tcW w:w="6434" w:type="dxa"/>
            <w:vAlign w:val="center"/>
          </w:tcPr>
          <w:p w14:paraId="1CCDAAC6">
            <w:pPr>
              <w:pBdr/>
              <w:spacing w:after="0" w:before="0" w:line="240"/>
              <w:ind/>
              <w:jc w:val="center"/>
              <w:rPr>
                <w:sz w:val="24"/>
                <w:szCs w:val="24"/>
              </w:rPr>
            </w:pPr>
            <w:r>
              <w:rPr>
                <w:rFonts w:ascii="Times New Roman" w:hAnsi="Times New Roman" w:eastAsia="Times New Roman" w:cs="Times New Roman"/>
                <w:color w:val="000000"/>
                <w:sz w:val="24"/>
                <w:szCs w:val="24"/>
              </w:rPr>
              <w:t xml:space="preserve">Registro de pacientes</w:t>
            </w:r>
            <w:r>
              <w:rPr>
                <w:sz w:val="24"/>
                <w:szCs w:val="24"/>
              </w:rPr>
            </w:r>
          </w:p>
        </w:tc>
        <w:tc>
          <w:tcPr>
            <w:tcBorders/>
            <w:tcMar>
              <w:left w:w="15" w:type="dxa"/>
              <w:top w:w="15" w:type="dxa"/>
              <w:right w:w="15" w:type="dxa"/>
              <w:bottom w:w="15" w:type="dxa"/>
            </w:tcMar>
            <w:tcW w:w="1763" w:type="dxa"/>
            <w:vAlign w:val="center"/>
          </w:tcPr>
          <w:p w14:paraId="68E1EA77">
            <w:pPr>
              <w:pBdr/>
              <w:spacing w:after="0" w:before="0" w:line="240"/>
              <w:ind/>
              <w:jc w:val="center"/>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rHeight w:val="567"/>
        </w:trPr>
        <w:tc>
          <w:tcPr>
            <w:tcBorders/>
            <w:tcMar>
              <w:left w:w="15" w:type="dxa"/>
              <w:top w:w="15" w:type="dxa"/>
              <w:right w:w="15" w:type="dxa"/>
              <w:bottom w:w="15" w:type="dxa"/>
            </w:tcMar>
            <w:tcW w:w="1073" w:type="dxa"/>
            <w:vAlign w:val="center"/>
          </w:tcPr>
          <w:p w14:paraId="4B268889">
            <w:pPr>
              <w:pBdr/>
              <w:spacing w:after="0" w:before="0" w:line="240"/>
              <w:ind/>
              <w:jc w:val="center"/>
              <w:rPr>
                <w:sz w:val="24"/>
                <w:szCs w:val="24"/>
              </w:rPr>
            </w:pPr>
            <w:r>
              <w:rPr>
                <w:rFonts w:ascii="Times New Roman" w:hAnsi="Times New Roman" w:eastAsia="Times New Roman" w:cs="Times New Roman"/>
                <w:color w:val="000000"/>
                <w:sz w:val="24"/>
                <w:szCs w:val="24"/>
              </w:rPr>
              <w:t xml:space="preserve">US-05</w:t>
            </w:r>
            <w:r>
              <w:rPr>
                <w:sz w:val="24"/>
                <w:szCs w:val="24"/>
              </w:rPr>
            </w:r>
          </w:p>
        </w:tc>
        <w:tc>
          <w:tcPr>
            <w:tcBorders/>
            <w:tcMar>
              <w:left w:w="15" w:type="dxa"/>
              <w:top w:w="15" w:type="dxa"/>
              <w:right w:w="15" w:type="dxa"/>
              <w:bottom w:w="15" w:type="dxa"/>
            </w:tcMar>
            <w:tcW w:w="6434" w:type="dxa"/>
            <w:vAlign w:val="center"/>
          </w:tcPr>
          <w:p w14:paraId="3C7C86E9">
            <w:pPr>
              <w:pBdr/>
              <w:spacing w:after="0" w:before="0" w:line="240"/>
              <w:ind/>
              <w:jc w:val="center"/>
              <w:rPr>
                <w:sz w:val="24"/>
                <w:szCs w:val="24"/>
              </w:rPr>
            </w:pPr>
            <w:r>
              <w:rPr>
                <w:rFonts w:ascii="Times New Roman" w:hAnsi="Times New Roman" w:eastAsia="Times New Roman" w:cs="Times New Roman"/>
                <w:color w:val="000000"/>
                <w:sz w:val="24"/>
                <w:szCs w:val="24"/>
              </w:rPr>
              <w:t xml:space="preserve">Consulta de historial clínico</w:t>
            </w:r>
            <w:r>
              <w:rPr>
                <w:sz w:val="24"/>
                <w:szCs w:val="24"/>
              </w:rPr>
            </w:r>
          </w:p>
        </w:tc>
        <w:tc>
          <w:tcPr>
            <w:tcBorders/>
            <w:tcMar>
              <w:left w:w="15" w:type="dxa"/>
              <w:top w:w="15" w:type="dxa"/>
              <w:right w:w="15" w:type="dxa"/>
              <w:bottom w:w="15" w:type="dxa"/>
            </w:tcMar>
            <w:tcW w:w="1763" w:type="dxa"/>
            <w:vAlign w:val="center"/>
          </w:tcPr>
          <w:p w14:paraId="5584A294">
            <w:pPr>
              <w:pBdr/>
              <w:spacing w:after="0" w:before="0" w:line="240"/>
              <w:ind/>
              <w:jc w:val="center"/>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rHeight w:val="567"/>
        </w:trPr>
        <w:tc>
          <w:tcPr>
            <w:tcBorders/>
            <w:tcMar>
              <w:left w:w="15" w:type="dxa"/>
              <w:top w:w="15" w:type="dxa"/>
              <w:right w:w="15" w:type="dxa"/>
              <w:bottom w:w="15" w:type="dxa"/>
            </w:tcMar>
            <w:tcW w:w="1073" w:type="dxa"/>
            <w:vAlign w:val="center"/>
          </w:tcPr>
          <w:p w14:paraId="7C152602">
            <w:pPr>
              <w:pBdr/>
              <w:spacing w:after="0" w:before="0" w:line="240"/>
              <w:ind/>
              <w:jc w:val="center"/>
              <w:rPr>
                <w:sz w:val="24"/>
                <w:szCs w:val="24"/>
              </w:rPr>
            </w:pPr>
            <w:r>
              <w:rPr>
                <w:rFonts w:ascii="Times New Roman" w:hAnsi="Times New Roman" w:eastAsia="Times New Roman" w:cs="Times New Roman"/>
                <w:color w:val="000000"/>
                <w:sz w:val="24"/>
                <w:szCs w:val="24"/>
              </w:rPr>
              <w:t xml:space="preserve">US-06</w:t>
            </w:r>
            <w:r>
              <w:rPr>
                <w:sz w:val="24"/>
                <w:szCs w:val="24"/>
              </w:rPr>
            </w:r>
          </w:p>
        </w:tc>
        <w:tc>
          <w:tcPr>
            <w:tcBorders/>
            <w:tcMar>
              <w:left w:w="15" w:type="dxa"/>
              <w:top w:w="15" w:type="dxa"/>
              <w:right w:w="15" w:type="dxa"/>
              <w:bottom w:w="15" w:type="dxa"/>
            </w:tcMar>
            <w:tcW w:w="6434" w:type="dxa"/>
            <w:vAlign w:val="center"/>
          </w:tcPr>
          <w:p w14:paraId="189A33A5">
            <w:pPr>
              <w:pBdr/>
              <w:spacing w:after="0" w:before="0" w:line="240"/>
              <w:ind/>
              <w:jc w:val="center"/>
              <w:rPr>
                <w:sz w:val="24"/>
                <w:szCs w:val="24"/>
              </w:rPr>
            </w:pPr>
            <w:r>
              <w:rPr>
                <w:rFonts w:ascii="Times New Roman" w:hAnsi="Times New Roman" w:eastAsia="Times New Roman" w:cs="Times New Roman"/>
                <w:color w:val="000000"/>
                <w:sz w:val="24"/>
                <w:szCs w:val="24"/>
              </w:rPr>
              <w:t xml:space="preserve">Reprogramación y cancelación de citas</w:t>
            </w:r>
            <w:r>
              <w:rPr>
                <w:sz w:val="24"/>
                <w:szCs w:val="24"/>
              </w:rPr>
            </w:r>
          </w:p>
        </w:tc>
        <w:tc>
          <w:tcPr>
            <w:tcBorders/>
            <w:tcMar>
              <w:left w:w="15" w:type="dxa"/>
              <w:top w:w="15" w:type="dxa"/>
              <w:right w:w="15" w:type="dxa"/>
              <w:bottom w:w="15" w:type="dxa"/>
            </w:tcMar>
            <w:tcW w:w="1763" w:type="dxa"/>
            <w:vAlign w:val="center"/>
          </w:tcPr>
          <w:p w14:paraId="420F4D62">
            <w:pPr>
              <w:pBdr/>
              <w:spacing w:after="0" w:before="0" w:line="240"/>
              <w:ind/>
              <w:jc w:val="center"/>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rHeight w:val="567"/>
        </w:trPr>
        <w:tc>
          <w:tcPr>
            <w:tcBorders/>
            <w:tcMar>
              <w:left w:w="15" w:type="dxa"/>
              <w:top w:w="15" w:type="dxa"/>
              <w:right w:w="15" w:type="dxa"/>
              <w:bottom w:w="15" w:type="dxa"/>
            </w:tcMar>
            <w:tcW w:w="1073" w:type="dxa"/>
            <w:vAlign w:val="center"/>
          </w:tcPr>
          <w:p w14:paraId="7663F68B">
            <w:pPr>
              <w:pBdr/>
              <w:spacing w:after="0" w:before="0" w:line="240"/>
              <w:ind/>
              <w:jc w:val="center"/>
              <w:rPr>
                <w:sz w:val="24"/>
                <w:szCs w:val="24"/>
              </w:rPr>
            </w:pPr>
            <w:r>
              <w:rPr>
                <w:rFonts w:ascii="Times New Roman" w:hAnsi="Times New Roman" w:eastAsia="Times New Roman" w:cs="Times New Roman"/>
                <w:color w:val="000000"/>
                <w:sz w:val="24"/>
                <w:szCs w:val="24"/>
              </w:rPr>
              <w:t xml:space="preserve">US-07</w:t>
            </w:r>
            <w:r>
              <w:rPr>
                <w:sz w:val="24"/>
                <w:szCs w:val="24"/>
              </w:rPr>
            </w:r>
          </w:p>
        </w:tc>
        <w:tc>
          <w:tcPr>
            <w:tcBorders/>
            <w:tcMar>
              <w:left w:w="15" w:type="dxa"/>
              <w:top w:w="15" w:type="dxa"/>
              <w:right w:w="15" w:type="dxa"/>
              <w:bottom w:w="15" w:type="dxa"/>
            </w:tcMar>
            <w:tcW w:w="6434" w:type="dxa"/>
            <w:vAlign w:val="center"/>
          </w:tcPr>
          <w:p w14:paraId="4C30A8A8">
            <w:pPr>
              <w:pBdr/>
              <w:spacing w:after="0" w:before="0" w:line="240"/>
              <w:ind/>
              <w:jc w:val="center"/>
              <w:rPr>
                <w:sz w:val="24"/>
                <w:szCs w:val="24"/>
              </w:rPr>
            </w:pPr>
            <w:r>
              <w:rPr>
                <w:rFonts w:ascii="Times New Roman" w:hAnsi="Times New Roman" w:eastAsia="Times New Roman" w:cs="Times New Roman"/>
                <w:color w:val="000000"/>
                <w:sz w:val="24"/>
                <w:szCs w:val="24"/>
              </w:rPr>
              <w:t xml:space="preserve">Gestión de especialistas</w:t>
            </w:r>
            <w:r>
              <w:rPr>
                <w:sz w:val="24"/>
                <w:szCs w:val="24"/>
              </w:rPr>
            </w:r>
          </w:p>
        </w:tc>
        <w:tc>
          <w:tcPr>
            <w:tcBorders/>
            <w:tcMar>
              <w:left w:w="15" w:type="dxa"/>
              <w:top w:w="15" w:type="dxa"/>
              <w:right w:w="15" w:type="dxa"/>
              <w:bottom w:w="15" w:type="dxa"/>
            </w:tcMar>
            <w:tcW w:w="1763" w:type="dxa"/>
            <w:vAlign w:val="center"/>
          </w:tcPr>
          <w:p w14:paraId="77323111">
            <w:pPr>
              <w:pBdr/>
              <w:spacing w:after="0" w:before="0" w:line="240"/>
              <w:ind/>
              <w:jc w:val="center"/>
              <w:rPr>
                <w:sz w:val="24"/>
                <w:szCs w:val="24"/>
              </w:rPr>
            </w:pPr>
            <w:r>
              <w:rPr>
                <w:rFonts w:ascii="Times New Roman" w:hAnsi="Times New Roman" w:eastAsia="Times New Roman" w:cs="Times New Roman"/>
                <w:color w:val="000000"/>
                <w:sz w:val="24"/>
                <w:szCs w:val="24"/>
              </w:rPr>
              <w:t xml:space="preserve">Media</w:t>
            </w:r>
            <w:r>
              <w:rPr>
                <w:sz w:val="24"/>
                <w:szCs w:val="24"/>
              </w:rPr>
            </w:r>
          </w:p>
        </w:tc>
      </w:tr>
      <w:tr>
        <w:trPr>
          <w:trHeight w:val="567"/>
        </w:trPr>
        <w:tc>
          <w:tcPr>
            <w:tcBorders/>
            <w:tcMar>
              <w:left w:w="15" w:type="dxa"/>
              <w:top w:w="15" w:type="dxa"/>
              <w:right w:w="15" w:type="dxa"/>
              <w:bottom w:w="15" w:type="dxa"/>
            </w:tcMar>
            <w:tcW w:w="1073" w:type="dxa"/>
            <w:vAlign w:val="center"/>
          </w:tcPr>
          <w:p w14:paraId="0064AE30">
            <w:pPr>
              <w:pBdr/>
              <w:spacing w:after="0" w:before="0" w:line="240"/>
              <w:ind/>
              <w:jc w:val="center"/>
              <w:rPr>
                <w:sz w:val="24"/>
                <w:szCs w:val="24"/>
              </w:rPr>
            </w:pPr>
            <w:r>
              <w:rPr>
                <w:rFonts w:ascii="Times New Roman" w:hAnsi="Times New Roman" w:eastAsia="Times New Roman" w:cs="Times New Roman"/>
                <w:color w:val="000000"/>
                <w:sz w:val="24"/>
                <w:szCs w:val="24"/>
              </w:rPr>
              <w:t xml:space="preserve">US-08</w:t>
            </w:r>
            <w:r>
              <w:rPr>
                <w:sz w:val="24"/>
                <w:szCs w:val="24"/>
              </w:rPr>
            </w:r>
          </w:p>
        </w:tc>
        <w:tc>
          <w:tcPr>
            <w:tcBorders/>
            <w:tcMar>
              <w:left w:w="15" w:type="dxa"/>
              <w:top w:w="15" w:type="dxa"/>
              <w:right w:w="15" w:type="dxa"/>
              <w:bottom w:w="15" w:type="dxa"/>
            </w:tcMar>
            <w:tcW w:w="6434" w:type="dxa"/>
            <w:vAlign w:val="center"/>
          </w:tcPr>
          <w:p w14:paraId="4D5D2CD4">
            <w:pPr>
              <w:pBdr/>
              <w:spacing w:after="0" w:before="0" w:line="240"/>
              <w:ind/>
              <w:jc w:val="center"/>
              <w:rPr>
                <w:sz w:val="24"/>
                <w:szCs w:val="24"/>
              </w:rPr>
            </w:pPr>
            <w:r>
              <w:rPr>
                <w:rFonts w:ascii="Times New Roman" w:hAnsi="Times New Roman" w:eastAsia="Times New Roman" w:cs="Times New Roman"/>
                <w:color w:val="000000"/>
                <w:sz w:val="24"/>
                <w:szCs w:val="24"/>
              </w:rPr>
              <w:t xml:space="preserve">Notificaciones automáticas</w:t>
            </w:r>
            <w:r>
              <w:rPr>
                <w:sz w:val="24"/>
                <w:szCs w:val="24"/>
              </w:rPr>
            </w:r>
          </w:p>
        </w:tc>
        <w:tc>
          <w:tcPr>
            <w:tcBorders/>
            <w:tcMar>
              <w:left w:w="15" w:type="dxa"/>
              <w:top w:w="15" w:type="dxa"/>
              <w:right w:w="15" w:type="dxa"/>
              <w:bottom w:w="15" w:type="dxa"/>
            </w:tcMar>
            <w:tcW w:w="1763" w:type="dxa"/>
            <w:vAlign w:val="center"/>
          </w:tcPr>
          <w:p w14:paraId="184DC89F">
            <w:pPr>
              <w:pBdr/>
              <w:spacing w:after="0" w:before="0" w:line="240"/>
              <w:ind/>
              <w:jc w:val="center"/>
              <w:rPr>
                <w:sz w:val="24"/>
                <w:szCs w:val="24"/>
              </w:rPr>
            </w:pPr>
            <w:r>
              <w:rPr>
                <w:rFonts w:ascii="Times New Roman" w:hAnsi="Times New Roman" w:eastAsia="Times New Roman" w:cs="Times New Roman"/>
                <w:color w:val="000000"/>
                <w:sz w:val="24"/>
                <w:szCs w:val="24"/>
              </w:rPr>
              <w:t xml:space="preserve">Baja</w:t>
            </w:r>
            <w:r>
              <w:rPr>
                <w:sz w:val="24"/>
                <w:szCs w:val="24"/>
              </w:rPr>
            </w:r>
          </w:p>
        </w:tc>
      </w:tr>
      <w:tr>
        <w:trPr>
          <w:trHeight w:val="567"/>
        </w:trPr>
        <w:tc>
          <w:tcPr>
            <w:tcBorders/>
            <w:tcMar>
              <w:left w:w="15" w:type="dxa"/>
              <w:top w:w="15" w:type="dxa"/>
              <w:right w:w="15" w:type="dxa"/>
              <w:bottom w:w="15" w:type="dxa"/>
            </w:tcMar>
            <w:tcW w:w="1073" w:type="dxa"/>
            <w:vAlign w:val="center"/>
          </w:tcPr>
          <w:p w14:paraId="58084D34">
            <w:pPr>
              <w:pBdr/>
              <w:spacing w:after="0" w:before="0" w:line="240"/>
              <w:ind/>
              <w:jc w:val="center"/>
              <w:rPr>
                <w:sz w:val="24"/>
                <w:szCs w:val="24"/>
              </w:rPr>
            </w:pPr>
            <w:r>
              <w:rPr>
                <w:rFonts w:ascii="Times New Roman" w:hAnsi="Times New Roman" w:eastAsia="Times New Roman" w:cs="Times New Roman"/>
                <w:color w:val="000000"/>
                <w:sz w:val="24"/>
                <w:szCs w:val="24"/>
              </w:rPr>
              <w:t xml:space="preserve">US-09</w:t>
            </w:r>
            <w:r>
              <w:rPr>
                <w:sz w:val="24"/>
                <w:szCs w:val="24"/>
              </w:rPr>
            </w:r>
          </w:p>
        </w:tc>
        <w:tc>
          <w:tcPr>
            <w:tcBorders/>
            <w:tcMar>
              <w:left w:w="15" w:type="dxa"/>
              <w:top w:w="15" w:type="dxa"/>
              <w:right w:w="15" w:type="dxa"/>
              <w:bottom w:w="15" w:type="dxa"/>
            </w:tcMar>
            <w:tcW w:w="6434" w:type="dxa"/>
            <w:vAlign w:val="center"/>
          </w:tcPr>
          <w:p w14:paraId="66EF1680">
            <w:pPr>
              <w:pBdr/>
              <w:spacing w:after="0" w:before="0" w:line="240"/>
              <w:ind/>
              <w:jc w:val="center"/>
              <w:rPr>
                <w:sz w:val="24"/>
                <w:szCs w:val="24"/>
              </w:rPr>
            </w:pPr>
            <w:r>
              <w:rPr>
                <w:rFonts w:ascii="Times New Roman" w:hAnsi="Times New Roman" w:eastAsia="Times New Roman" w:cs="Times New Roman"/>
                <w:color w:val="000000"/>
                <w:sz w:val="24"/>
                <w:szCs w:val="24"/>
              </w:rPr>
              <w:t xml:space="preserve">Registro de diagnósticos</w:t>
            </w:r>
            <w:r>
              <w:rPr>
                <w:sz w:val="24"/>
                <w:szCs w:val="24"/>
              </w:rPr>
            </w:r>
          </w:p>
        </w:tc>
        <w:tc>
          <w:tcPr>
            <w:tcBorders/>
            <w:tcMar>
              <w:left w:w="15" w:type="dxa"/>
              <w:top w:w="15" w:type="dxa"/>
              <w:right w:w="15" w:type="dxa"/>
              <w:bottom w:w="15" w:type="dxa"/>
            </w:tcMar>
            <w:tcW w:w="1763" w:type="dxa"/>
            <w:vAlign w:val="center"/>
          </w:tcPr>
          <w:p w14:paraId="2D8F2527">
            <w:pPr>
              <w:pBdr/>
              <w:spacing w:after="0" w:before="0" w:line="240"/>
              <w:ind/>
              <w:jc w:val="center"/>
              <w:rPr>
                <w:sz w:val="24"/>
                <w:szCs w:val="24"/>
              </w:rPr>
            </w:pPr>
            <w:r>
              <w:rPr>
                <w:rFonts w:ascii="Times New Roman" w:hAnsi="Times New Roman" w:eastAsia="Times New Roman" w:cs="Times New Roman"/>
                <w:color w:val="000000"/>
                <w:sz w:val="24"/>
                <w:szCs w:val="24"/>
              </w:rPr>
              <w:t xml:space="preserve">Alta</w:t>
            </w:r>
            <w:r>
              <w:rPr>
                <w:sz w:val="24"/>
                <w:szCs w:val="24"/>
              </w:rPr>
            </w:r>
          </w:p>
        </w:tc>
      </w:tr>
      <w:tr>
        <w:trPr>
          <w:trHeight w:val="567"/>
        </w:trPr>
        <w:tc>
          <w:tcPr>
            <w:tcBorders/>
            <w:tcMar>
              <w:left w:w="15" w:type="dxa"/>
              <w:top w:w="15" w:type="dxa"/>
              <w:right w:w="15" w:type="dxa"/>
              <w:bottom w:w="15" w:type="dxa"/>
            </w:tcMar>
            <w:tcW w:w="1073" w:type="dxa"/>
            <w:vAlign w:val="center"/>
          </w:tcPr>
          <w:p w14:paraId="3AC6B576">
            <w:pPr>
              <w:pBdr/>
              <w:spacing w:after="0" w:before="0" w:line="240"/>
              <w:ind/>
              <w:jc w:val="center"/>
              <w:rPr>
                <w:sz w:val="24"/>
                <w:szCs w:val="24"/>
              </w:rPr>
            </w:pPr>
            <w:r>
              <w:rPr>
                <w:rFonts w:ascii="Times New Roman" w:hAnsi="Times New Roman" w:eastAsia="Times New Roman" w:cs="Times New Roman"/>
                <w:color w:val="000000"/>
                <w:sz w:val="24"/>
                <w:szCs w:val="24"/>
              </w:rPr>
              <w:t xml:space="preserve">US-10</w:t>
            </w:r>
            <w:r>
              <w:rPr>
                <w:sz w:val="24"/>
                <w:szCs w:val="24"/>
              </w:rPr>
            </w:r>
          </w:p>
        </w:tc>
        <w:tc>
          <w:tcPr>
            <w:tcBorders/>
            <w:tcMar>
              <w:left w:w="15" w:type="dxa"/>
              <w:top w:w="15" w:type="dxa"/>
              <w:right w:w="15" w:type="dxa"/>
              <w:bottom w:w="15" w:type="dxa"/>
            </w:tcMar>
            <w:tcW w:w="6434" w:type="dxa"/>
            <w:vAlign w:val="center"/>
          </w:tcPr>
          <w:p w14:paraId="43BE622A">
            <w:pPr>
              <w:pBdr/>
              <w:spacing w:after="0" w:before="0" w:line="240"/>
              <w:ind/>
              <w:jc w:val="center"/>
              <w:rPr>
                <w:sz w:val="24"/>
                <w:szCs w:val="24"/>
              </w:rPr>
            </w:pPr>
            <w:r>
              <w:rPr>
                <w:rFonts w:ascii="Times New Roman" w:hAnsi="Times New Roman" w:eastAsia="Times New Roman" w:cs="Times New Roman"/>
                <w:color w:val="000000"/>
                <w:sz w:val="24"/>
                <w:szCs w:val="24"/>
              </w:rPr>
              <w:t xml:space="preserve">Pago en línea</w:t>
            </w:r>
            <w:r>
              <w:rPr>
                <w:sz w:val="24"/>
                <w:szCs w:val="24"/>
              </w:rPr>
            </w:r>
          </w:p>
        </w:tc>
        <w:tc>
          <w:tcPr>
            <w:tcBorders/>
            <w:tcMar>
              <w:left w:w="15" w:type="dxa"/>
              <w:top w:w="15" w:type="dxa"/>
              <w:right w:w="15" w:type="dxa"/>
              <w:bottom w:w="15" w:type="dxa"/>
            </w:tcMar>
            <w:tcW w:w="1763" w:type="dxa"/>
            <w:vAlign w:val="center"/>
          </w:tcPr>
          <w:p w14:paraId="56494F2A">
            <w:pPr>
              <w:pBdr/>
              <w:spacing w:after="0" w:before="0" w:line="240"/>
              <w:ind/>
              <w:jc w:val="center"/>
              <w:rPr>
                <w:sz w:val="24"/>
                <w:szCs w:val="24"/>
              </w:rPr>
            </w:pPr>
            <w:r>
              <w:rPr>
                <w:rFonts w:ascii="Times New Roman" w:hAnsi="Times New Roman" w:eastAsia="Times New Roman" w:cs="Times New Roman"/>
                <w:color w:val="000000"/>
                <w:sz w:val="24"/>
                <w:szCs w:val="24"/>
              </w:rPr>
              <w:t xml:space="preserve">Media</w:t>
            </w:r>
            <w:r>
              <w:rPr>
                <w:sz w:val="24"/>
                <w:szCs w:val="24"/>
              </w:rPr>
            </w:r>
          </w:p>
        </w:tc>
      </w:tr>
    </w:tbl>
    <w:p w14:paraId="7CECEB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C52AD5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Las funcionalidades de autenticación, registro de pacientes y agendamiento de citas fueron consideradas de prioridad alta debido a que representan la base principal del sistema DermaTech. Estas funcionalidades permitirán que los pacientes puedan acceder de</w:t>
      </w:r>
      <w:r>
        <w:rPr>
          <w:rFonts w:ascii="Times New Roman" w:hAnsi="Times New Roman" w:eastAsia="Times New Roman" w:cs="Times New Roman"/>
          <w:color w:val="000000"/>
          <w:sz w:val="24"/>
          <w:szCs w:val="24"/>
        </w:rPr>
        <w:t xml:space="preserve"> forma segura a la plataforma y gestionar sus citas dermatológicas de manera eficiente. </w:t>
      </w:r>
      <w:r>
        <w:rPr>
          <w:sz w:val="24"/>
          <w:szCs w:val="24"/>
        </w:rPr>
      </w:r>
      <w:r>
        <w:rPr>
          <w:rFonts w:ascii="Times New Roman" w:hAnsi="Times New Roman" w:eastAsia="Times New Roman" w:cs="Times New Roman"/>
          <w:color w:val="000000"/>
          <w:sz w:val="24"/>
          <w:szCs w:val="24"/>
        </w:rPr>
        <w:t xml:space="preserve">Por otro lado, funcionalidades complementarias como notificaciones automáticas y pagos en línea fueron clasificadas con prioridad media y baja, ya que pueden ser implementadas progresivamente en futuras etapas del desarrollo del sistema.</w:t>
      </w:r>
      <w:r>
        <w:rPr>
          <w:sz w:val="24"/>
          <w:szCs w:val="24"/>
        </w:rPr>
      </w:r>
      <w:r>
        <w:rPr>
          <w:rFonts w:ascii="Times New Roman" w:hAnsi="Times New Roman" w:eastAsia="Times New Roman" w:cs="Times New Roman"/>
          <w:color w:val="000000"/>
          <w:sz w:val="24"/>
          <w:szCs w:val="24"/>
          <w:highlight w:val="none"/>
        </w:rPr>
      </w:r>
    </w:p>
    <w:p w14:paraId="7C2DA36F">
      <w:pPr>
        <w:pStyle w:val="140"/>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Priorización del Sistema</w:t>
      </w:r>
      <w:r>
        <w:rPr>
          <w:sz w:val="24"/>
          <w:szCs w:val="24"/>
        </w:rPr>
      </w:r>
    </w:p>
    <w:p w14:paraId="3906BAE5">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La priorización de las funcionalidades se realizó considerando las necesidades operativas del spa dermatológico y la importancia de cada módulo dentro del sistema. Se tomó en cuenta la experiencia del usuario, la seguridad de la información clínica y la fa</w:t>
      </w:r>
      <w:r>
        <w:rPr>
          <w:rFonts w:ascii="Times New Roman" w:hAnsi="Times New Roman" w:eastAsia="Times New Roman" w:cs="Times New Roman"/>
          <w:color w:val="000000"/>
          <w:sz w:val="24"/>
          <w:szCs w:val="24"/>
        </w:rPr>
        <w:t xml:space="preserve">cilidad de administración de citas médicas.</w:t>
      </w:r>
      <w:r>
        <w:rPr>
          <w:sz w:val="24"/>
          <w:szCs w:val="24"/>
        </w:rPr>
      </w:r>
    </w:p>
    <w:p w14:paraId="03F67F8D">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Las funcionalidades relacionadas con el acceso seguro al sistema y el control de citas médicas fueron priorizadas debido a que permiten mantener una organización adecuada de las reservas realizadas por los pacientes. Asimismo, el módulo de historial clínic</w:t>
      </w:r>
      <w:r>
        <w:rPr>
          <w:rFonts w:ascii="Times New Roman" w:hAnsi="Times New Roman" w:eastAsia="Times New Roman" w:cs="Times New Roman"/>
          <w:color w:val="000000"/>
          <w:sz w:val="24"/>
          <w:szCs w:val="24"/>
        </w:rPr>
        <w:t xml:space="preserve">o y registro de diagnósticos fue considerado importante para facilitar el seguimiento dermatológico de cada usuario dentro de la plataforma.</w:t>
      </w:r>
      <w:r>
        <w:rPr>
          <w:sz w:val="24"/>
          <w:szCs w:val="24"/>
        </w:rPr>
        <w:t xml:space="preserve"> </w:t>
      </w:r>
      <w:r>
        <w:rPr>
          <w:rFonts w:ascii="Times New Roman" w:hAnsi="Times New Roman" w:eastAsia="Times New Roman" w:cs="Times New Roman"/>
          <w:color w:val="000000"/>
          <w:sz w:val="24"/>
          <w:szCs w:val="24"/>
        </w:rPr>
        <w:t xml:space="preserve">La organización de prioridades permitió definir un orden lógico de desarrollo enfocado primero en las funciones esenciales y posteriormente en módulos complementarios orientados a mejorar la experiencia general del sistema.</w:t>
      </w:r>
      <w:r>
        <w:rPr>
          <w:sz w:val="24"/>
          <w:szCs w:val="24"/>
        </w:rPr>
      </w:r>
      <w:r>
        <w:rPr>
          <w:rFonts w:ascii="Times New Roman" w:hAnsi="Times New Roman" w:eastAsia="Times New Roman" w:cs="Times New Roman"/>
          <w:sz w:val="24"/>
          <w:szCs w:val="24"/>
        </w:rPr>
      </w:r>
    </w:p>
    <w:p w14:paraId="31ACA623">
      <w:pPr>
        <w:pStyle w:val="140"/>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Organización del Equipo</w:t>
      </w:r>
      <w:r>
        <w:rPr>
          <w:sz w:val="24"/>
          <w:szCs w:val="24"/>
        </w:rPr>
      </w:r>
    </w:p>
    <w:p w14:paraId="273FBB6A">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El equipo de trabajo distribuyó las actividades necesarias para garantizar una correcta planificación del Sprint y una adecuada organización de las tareas relacionadas con el proyecto DermaTech. Cada integrante asumió responsabilidades específicas con el p</w:t>
      </w:r>
      <w:r>
        <w:rPr>
          <w:rFonts w:ascii="Times New Roman" w:hAnsi="Times New Roman" w:eastAsia="Times New Roman" w:cs="Times New Roman"/>
          <w:color w:val="000000"/>
          <w:sz w:val="24"/>
          <w:szCs w:val="24"/>
        </w:rPr>
        <w:t xml:space="preserve">ropósito de mantener una estructura ordenada dentro del desarrollo del sistema.</w:t>
      </w:r>
      <w:r>
        <w:rPr>
          <w:sz w:val="24"/>
          <w:szCs w:val="24"/>
        </w:rPr>
      </w:r>
    </w:p>
    <w:p w14:paraId="6D7CFEF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Las actividades asignadas incluyeron:</w:t>
      </w:r>
      <w:r>
        <w:rPr>
          <w:sz w:val="24"/>
          <w:szCs w:val="24"/>
        </w:rPr>
      </w:r>
    </w:p>
    <w:p w14:paraId="5FD6352B">
      <w:pPr>
        <w:pStyle w:val="668"/>
        <w:numPr>
          <w:ilvl w:val="0"/>
          <w:numId w:val="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Desarrollo de historias de usuario.</w:t>
      </w:r>
      <w:r>
        <w:rPr>
          <w:sz w:val="24"/>
          <w:szCs w:val="24"/>
        </w:rPr>
      </w:r>
    </w:p>
    <w:p w14:paraId="28DADF70">
      <w:pPr>
        <w:pStyle w:val="668"/>
        <w:numPr>
          <w:ilvl w:val="0"/>
          <w:numId w:val="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Planificación y organización del Sprint.</w:t>
      </w:r>
      <w:r>
        <w:rPr>
          <w:sz w:val="24"/>
          <w:szCs w:val="24"/>
        </w:rPr>
      </w:r>
    </w:p>
    <w:p w14:paraId="0970DCDD">
      <w:pPr>
        <w:pStyle w:val="668"/>
        <w:numPr>
          <w:ilvl w:val="0"/>
          <w:numId w:val="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Estimación de complejidad mediante Planning Poker.</w:t>
      </w:r>
      <w:r>
        <w:rPr>
          <w:sz w:val="24"/>
          <w:szCs w:val="24"/>
        </w:rPr>
      </w:r>
    </w:p>
    <w:p w14:paraId="22E2CC06">
      <w:pPr>
        <w:pStyle w:val="668"/>
        <w:numPr>
          <w:ilvl w:val="0"/>
          <w:numId w:val="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Elaboración del Definition of Done.</w:t>
      </w:r>
      <w:r>
        <w:rPr>
          <w:sz w:val="24"/>
          <w:szCs w:val="24"/>
        </w:rPr>
      </w:r>
    </w:p>
    <w:p w14:paraId="4FD273C8">
      <w:pPr>
        <w:pStyle w:val="668"/>
        <w:numPr>
          <w:ilvl w:val="0"/>
          <w:numId w:val="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Diseño y organización del cuadro Kanban.</w:t>
      </w:r>
      <w:r>
        <w:rPr>
          <w:sz w:val="24"/>
          <w:szCs w:val="24"/>
        </w:rPr>
      </w:r>
    </w:p>
    <w:p w14:paraId="40D2ED0B">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La distribución de responsabilidades permitió mantener un trabajo colaborativo y una mejor administración de las tareas definidas para el Sprint.</w:t>
      </w:r>
      <w:r>
        <w:rPr>
          <w:sz w:val="24"/>
          <w:szCs w:val="24"/>
        </w:rPr>
      </w:r>
    </w:p>
    <w:p w14:paraId="442BB6AF">
      <w:pPr>
        <w:pStyle w:val="140"/>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Resultado Esperado</w:t>
      </w:r>
      <w:r>
        <w:rPr>
          <w:sz w:val="24"/>
          <w:szCs w:val="24"/>
        </w:rPr>
      </w:r>
    </w:p>
    <w:p w14:paraId="3A3F6A7D">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Al finalizar el Sprint se espera contar con una planificación estructurada de las funcionalidades principales del sistema DermaTech, así como una organización adecuada de las actividades necesarias para el desarrollo del sistema de agendamiento de citas de</w:t>
      </w:r>
      <w:r>
        <w:rPr>
          <w:rFonts w:ascii="Times New Roman" w:hAnsi="Times New Roman" w:eastAsia="Times New Roman" w:cs="Times New Roman"/>
          <w:color w:val="000000"/>
          <w:sz w:val="24"/>
          <w:szCs w:val="24"/>
        </w:rPr>
        <w:t xml:space="preserve">l spa dermatológico. </w:t>
      </w:r>
      <w:r>
        <w:rPr>
          <w:sz w:val="24"/>
          <w:szCs w:val="24"/>
        </w:rPr>
      </w:r>
      <w:r>
        <w:rPr>
          <w:rFonts w:ascii="Times New Roman" w:hAnsi="Times New Roman" w:eastAsia="Times New Roman" w:cs="Times New Roman"/>
          <w:color w:val="000000"/>
          <w:sz w:val="24"/>
          <w:szCs w:val="24"/>
        </w:rPr>
        <w:t xml:space="preserve">Además, se espera disponer de historias de usuario correctamente definidas, prioridades establecidas y una estructura SCRUM organizada que permita facilitar las siguientes etapas de desarrollo e implementación del sistema.</w:t>
      </w:r>
      <w:r>
        <w:rPr>
          <w:sz w:val="24"/>
          <w:szCs w:val="24"/>
        </w:rPr>
      </w:r>
      <w:r>
        <w:rPr>
          <w:rFonts w:ascii="Times New Roman" w:hAnsi="Times New Roman" w:eastAsia="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footnotePr/>
      <w:endnotePr/>
      <w:type w:val="nextPage"/>
      <w:pgSz w:h="16838" w:orient="portrait" w:w="11906"/>
      <w:pgMar w:top="1134" w:right="1134" w:bottom="1134" w:left="992"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C490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F764E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2026-05-26T04:59:42Z</dcterms:modified>
</cp:coreProperties>
</file>