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rFonts w:ascii="Calibri" w:hAnsi="Calibri" w:cs="Calibri" w:eastAsia="Calibri"/>
          <w:sz w:val="40"/>
          <w:b w:val="on"/>
          <w:color w:val="000000"/>
        </w:rPr>
        <w:t>Instalación en el servidor</w:t>
      </w:r>
    </w:p>
    <w:p>
      <w:pPr>
        <w:spacing w:after="320"/>
      </w:pPr>
      <w:r>
        <w:rPr>
          <w:rFonts w:ascii="Calibri" w:hAnsi="Calibri" w:cs="Calibri" w:eastAsia="Calibri"/>
          <w:sz w:val="20"/>
          <w:b w:val="off"/>
          <w:color w:val="595959"/>
        </w:rPr>
        <w:t>Generador de packing lists  ·  Punto Tres  ·  19 de septiembre de 2026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El programa es un único fichero .jar que lleva dentro su propio servidor web: se arranca con una orden y se usa desde el navegador de cualquier PC del almacén. No necesita Office instalado —los Excel y los Word los escribe él mismo—, ni entorno gráfico, ni una base de datos aparte. Funciona igual en Windows y en Linux; esta guía está escrita para un Linux de servidor sin escritorio. Las órdenes son de Debian o Ubuntu: en otra distribución cambian los nombres de los paquetes, no los pasos.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Hay un solo punto en el que un servidor Linux se comporta de verdad distinto del PC donde se ha hecho el programa, y es el apartado 2: las fuentes. Todo lo demás es instalación corriente.</w:t>
      </w:r>
    </w:p>
    <w:p>
      <w:pPr>
        <w:pBdr>
          <w:bottom w:val="single"/>
        </w:pBdr>
        <w:spacing w:before="420" w:after="140"/>
      </w:pPr>
      <w:r>
        <w:rPr>
          <w:rFonts w:ascii="Calibri" w:hAnsi="Calibri" w:cs="Calibri" w:eastAsia="Calibri"/>
          <w:sz w:val="28"/>
          <w:b w:val="on"/>
          <w:color w:val="000000"/>
        </w:rPr>
        <w:t>1.  La máquina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single" w:sz="4" w:space="0" w:color="A6A6A6"/>
          <w:insideV w:val="none" w:sz="0" w:space="0" w:color="000000"/>
        </w:tblBorders>
        <w:tblCellMar>
          <w:top w:type="dxa" w:w="90"/>
          <w:bottom w:type="dxa" w:w="90"/>
          <w:right w:type="dxa" w:w="160"/>
        </w:tblCellMar>
      </w:tblPr>
      <w:tr>
        <w:trPr>
          <w:cantSplit w:val="on"/>
        </w:trPr>
        <w:tc>
          <w:tcPr>
            <w:tcW w:type="pct" w:w="18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n"/>
                <w:color w:val="000000"/>
              </w:rPr>
              <w:t>Memoria RAM</w:t>
            </w:r>
          </w:p>
        </w:tc>
        <w:tc>
          <w:tcPr>
            <w:tcW w:type="pct" w:w="32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4 GB (con 2 GB también arranca)</w:t>
            </w:r>
          </w:p>
        </w:tc>
      </w:tr>
      <w:tr>
        <w:trPr>
          <w:cantSplit w:val="on"/>
        </w:trPr>
        <w:tc>
          <w:tcPr>
            <w:tcW w:type="pct" w:w="18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n"/>
                <w:color w:val="000000"/>
              </w:rPr>
              <w:t>Procesador</w:t>
            </w:r>
          </w:p>
        </w:tc>
        <w:tc>
          <w:tcPr>
            <w:tcW w:type="pct" w:w="32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2 núcleos</w:t>
            </w:r>
          </w:p>
        </w:tc>
      </w:tr>
      <w:tr>
        <w:trPr>
          <w:cantSplit w:val="on"/>
        </w:trPr>
        <w:tc>
          <w:tcPr>
            <w:tcW w:type="pct" w:w="18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n"/>
                <w:color w:val="000000"/>
              </w:rPr>
              <w:t>Disco</w:t>
            </w:r>
          </w:p>
        </w:tc>
        <w:tc>
          <w:tcPr>
            <w:tcW w:type="pct" w:w="32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20 GB</w:t>
            </w:r>
          </w:p>
        </w:tc>
      </w:tr>
      <w:tr>
        <w:trPr>
          <w:cantSplit w:val="on"/>
        </w:trPr>
        <w:tc>
          <w:tcPr>
            <w:tcW w:type="pct" w:w="18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n"/>
                <w:color w:val="000000"/>
              </w:rPr>
              <w:t>Java</w:t>
            </w:r>
          </w:p>
        </w:tc>
        <w:tc>
          <w:tcPr>
            <w:tcW w:type="pct" w:w="32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17 o superior; basta la versión «runtime», no hace falta el kit de desarrollo</w:t>
            </w:r>
          </w:p>
        </w:tc>
      </w:tr>
      <w:tr>
        <w:trPr>
          <w:cantSplit w:val="on"/>
        </w:trPr>
        <w:tc>
          <w:tcPr>
            <w:tcW w:type="pct" w:w="18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n"/>
                <w:color w:val="000000"/>
              </w:rPr>
              <w:t>Sistema</w:t>
            </w:r>
          </w:p>
        </w:tc>
        <w:tc>
          <w:tcPr>
            <w:tcW w:type="pct" w:w="32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Linux de servidor, sin escritorio</w:t>
            </w:r>
          </w:p>
        </w:tc>
      </w:tr>
      <w:tr>
        <w:trPr>
          <w:cantSplit w:val="on"/>
        </w:trPr>
        <w:tc>
          <w:tcPr>
            <w:tcW w:type="pct" w:w="18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n"/>
                <w:color w:val="000000"/>
              </w:rPr>
              <w:t>Puerto</w:t>
            </w:r>
          </w:p>
        </w:tc>
        <w:tc>
          <w:tcPr>
            <w:tcW w:type="pct" w:w="32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8080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Generar los documentos gasta muy poco: los Excel que salen pesan entre 30 y 330 KB y la base de datos del programa no llega al megabyte. Lo que marca la memoria es leer las hojas manuscritas: las fotos y los PDF se cargan enteros en memoria y viajan dentro de la petición a Claude, y el programa admite hasta 20 MB por fichero y 60 MB por envío. A eso se suma lo que cada usuario tiene a medias en pantalla, que se guarda en memoria hasta media hora. Con 4 GB va sobrado; con 2 GB funciona mientras no se lean a la vez varios envíos de fotos grandes.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Del procesador no hay que preocuparse: leer las hojas manuscritas tarda unos cuatro minutos, pero ese rato es espera de la respuesta de Claude, no cálculo del servidor. Con 4 GB de memoria, Java coge 1 GB para él por su cuenta y es suficiente; si alguna vez se queda corto, se le sube en la línea de arranque (java -Xmx2g -jar ...).</w:t>
      </w:r>
    </w:p>
    <w:p>
      <w:pPr>
        <w:pBdr>
          <w:bottom w:val="single"/>
        </w:pBdr>
        <w:spacing w:before="420" w:after="140"/>
      </w:pPr>
      <w:r>
        <w:rPr>
          <w:rFonts w:ascii="Calibri" w:hAnsi="Calibri" w:cs="Calibri" w:eastAsia="Calibri"/>
          <w:sz w:val="28"/>
          <w:b w:val="on"/>
          <w:color w:val="000000"/>
        </w:rPr>
        <w:t>2.  Lo que hay que instalar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90"/>
          <w:left w:type="dxa" w:w="140"/>
          <w:bottom w:type="dxa" w:w="90"/>
          <w:right w:type="dxa" w:w="140"/>
        </w:tblCellMar>
      </w:tblPr>
      <w:tr>
        <w:tc>
          <w:tcPr>
            <w:tcW w:type="pct" w:w="5000"/>
            <w:shd w:color="auto" w:val="clear" w:fill="F2F2F2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apt update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apt install -y openjdk-17-jre-headless fontconfig fonts-liberation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140"/>
          <w:left w:type="dxa" w:w="200"/>
          <w:bottom w:type="dxa" w:w="140"/>
          <w:right w:type="dxa" w:w="200"/>
        </w:tblCellMar>
      </w:tblPr>
      <w:tr>
        <w:tc>
          <w:tcPr>
            <w:tcW w:type="pct" w:w="5000"/>
            <w:tcBorders>
              <w:left w:val="single" w:sz="24" w:space="0" w:color="000000"/>
            </w:tcBorders>
            <w:shd w:color="auto" w:val="clear" w:fill="FBF6E9"/>
          </w:tcPr>
          <w:p>
            <w:pPr>
              <w:spacing w:before="0" w:after="100"/>
            </w:pPr>
            <w:r>
              <w:rPr>
                <w:rFonts w:ascii="Calibri" w:hAnsi="Calibri" w:cs="Calibri" w:eastAsia="Calibri"/>
                <w:sz w:val="22"/>
                <w:b w:val="on"/>
                <w:color w:val="000000"/>
              </w:rPr>
              <w:t>Las fuentes no son opcionales.</w:t>
            </w:r>
          </w:p>
          <w:p>
            <w:pPr>
              <w:spacing w:before="0" w:after="100"/>
              <w:jc w:val="both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>Las etiquetas de caja de AMI y las etiquetas de artículo llevan una imagen que el programa dibuja él mismo, con la fuente Arial. Un servidor Linux recién instalado no trae ninguna fuente, y sin ellas esa parte del programa falla.</w:t>
            </w:r>
          </w:p>
          <w:p>
            <w:pPr>
              <w:spacing w:before="0" w:after="100"/>
              <w:jc w:val="both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>Lo incómodo es cómo se nota: el programa arranca con normalidad y los packing lists salen perfectos. El fallo aparece solo al generar etiquetas, así que es fácil buscarlo donde no está.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>El paquete fonts-liberation trae la fuente Liberation Sans, que tiene exactamente las mismas medidas que Arial: las etiquetas salen idénticas a las de Windows. Con otras fuentes no se rompe nada, pero las letras son algo más anchas, el programa las encoge para que quepan y la etiqueta no sale igual. Las barras de los códigos de barras no dependen de la fuente: ésas se imprimen igual en cualquier caso.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pBdr>
          <w:bottom w:val="single"/>
        </w:pBdr>
        <w:spacing w:before="420" w:after="140"/>
      </w:pPr>
      <w:r>
        <w:rPr>
          <w:rFonts w:ascii="Calibri" w:hAnsi="Calibri" w:cs="Calibri" w:eastAsia="Calibri"/>
          <w:sz w:val="28"/>
          <w:b w:val="on"/>
          <w:color w:val="000000"/>
        </w:rPr>
        <w:t>3.  Dónde vive el programa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El fichero a instalar sale del proyecto con «mvn package»: aparece en la carpeta target con el nombre packing-list-ami-1.0.0-SNAPSHOT.jar. Es el único que hay que llevar al servidor; aquí se le cambia el nombre a uno más corto para no tener que tocar el servicio en cada versión nueva.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Una carpeta para todo, y un usuario propio que no pueda entrar al servidor: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90"/>
          <w:left w:type="dxa" w:w="140"/>
          <w:bottom w:type="dxa" w:w="90"/>
          <w:right w:type="dxa" w:w="140"/>
        </w:tblCellMar>
      </w:tblPr>
      <w:tr>
        <w:tc>
          <w:tcPr>
            <w:tcW w:type="pct" w:w="5000"/>
            <w:shd w:color="auto" w:val="clear" w:fill="F2F2F2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useradd -r -s /usr/sbin/nologin packinglist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mkdir -p /opt/packinglist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cp packing-list-ami-1.0.0-SNAPSHOT.jar /opt/packinglist/packing-list.jar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chown -R packinglist:packinglist /opt/packinglist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Dentro quedan dos cosas:</w:t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/opt/packinglist/packing-list.jar  —  el programa.</w:t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/opt/packinglist/datos/  —  se crea sola la primera vez que arranca. Es la base de datos, y es lo único que hay que salvar (apartado 6).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140"/>
          <w:left w:type="dxa" w:w="200"/>
          <w:bottom w:type="dxa" w:w="140"/>
          <w:right w:type="dxa" w:w="200"/>
        </w:tblCellMar>
      </w:tblPr>
      <w:tr>
        <w:tc>
          <w:tcPr>
            <w:tcW w:type="pct" w:w="5000"/>
            <w:tcBorders>
              <w:left w:val="single" w:sz="24" w:space="0" w:color="000000"/>
            </w:tcBorders>
            <w:shd w:color="auto" w:val="clear" w:fill="FBF6E9"/>
          </w:tcPr>
          <w:p>
            <w:pPr>
              <w:spacing w:before="0" w:after="100"/>
            </w:pPr>
            <w:r>
              <w:rPr>
                <w:rFonts w:ascii="Calibri" w:hAnsi="Calibri" w:cs="Calibri" w:eastAsia="Calibri"/>
                <w:sz w:val="22"/>
                <w:b w:val="on"/>
                <w:color w:val="000000"/>
              </w:rPr>
              <w:t>El programa busca su base de datos en la carpeta desde la que se arranca.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>La ruta es relativa: ./datos. Si el servicio arranca desde otro sitio, el programa no da ningún error; crea una base de datos nueva y vacía. Lo que se ve entonces es que la tabla de pesos de cartones aparece en blanco, que las temporadas guardadas han desaparecido y que el programa ya no recuerda nada de las referencias. Por eso la línea WorkingDirectory del apartado siguiente no se puede omitir.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pBdr>
          <w:bottom w:val="single"/>
        </w:pBdr>
        <w:spacing w:before="420" w:after="140"/>
      </w:pPr>
      <w:r>
        <w:rPr>
          <w:rFonts w:ascii="Calibri" w:hAnsi="Calibri" w:cs="Calibri" w:eastAsia="Calibri"/>
          <w:sz w:val="28"/>
          <w:b w:val="on"/>
          <w:color w:val="000000"/>
        </w:rPr>
        <w:t>4.  Arrancarlo como servicio</w:t>
      </w:r>
    </w:p>
    <w:p>
      <w:pPr>
        <w:spacing w:before="260" w:after="80"/>
      </w:pPr>
      <w:r>
        <w:rPr>
          <w:rFonts w:ascii="Calibri" w:hAnsi="Calibri" w:cs="Calibri" w:eastAsia="Calibri"/>
          <w:sz w:val="24"/>
          <w:b w:val="on"/>
          <w:color w:val="000000"/>
        </w:rPr>
        <w:t>La clave de Claude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Va en un fichero aparte que solo pueda leer el administrador, porque el fichero del servicio lo puede leer cualquiera: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90"/>
          <w:left w:type="dxa" w:w="140"/>
          <w:bottom w:type="dxa" w:w="90"/>
          <w:right w:type="dxa" w:w="140"/>
        </w:tblCellMar>
      </w:tblPr>
      <w:tr>
        <w:tc>
          <w:tcPr>
            <w:tcW w:type="pct" w:w="5000"/>
            <w:shd w:color="auto" w:val="clear" w:fill="F2F2F2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sh -c 'echo ANTHROPIC_API_KEY=sk-ant-... &gt; /etc/packinglist.env'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chmod 600 /etc/packinglist.env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Sin esa clave el programa arranca igual y funciona todo menos una cosa: leer las hojas manuscritas a partir de fotos o PDF. Las demás maneras de meter un envío —pegar los datos, subir el packing del taller— no la necesitan.</w:t>
      </w:r>
    </w:p>
    <w:p>
      <w:pPr>
        <w:spacing w:before="260" w:after="80"/>
      </w:pPr>
      <w:r>
        <w:rPr>
          <w:rFonts w:ascii="Calibri" w:hAnsi="Calibri" w:cs="Calibri" w:eastAsia="Calibri"/>
          <w:sz w:val="24"/>
          <w:b w:val="on"/>
          <w:color w:val="000000"/>
        </w:rPr>
        <w:t>El servicio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En /etc/systemd/system/packinglist.service: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90"/>
          <w:left w:type="dxa" w:w="140"/>
          <w:bottom w:type="dxa" w:w="90"/>
          <w:right w:type="dxa" w:w="140"/>
        </w:tblCellMar>
      </w:tblPr>
      <w:tr>
        <w:tc>
          <w:tcPr>
            <w:tcW w:type="pct" w:w="5000"/>
            <w:shd w:color="auto" w:val="clear" w:fill="F2F2F2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[Unit]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Description=Generador de packing lists Punto Tres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After=network.target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/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[Service]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User=packinglist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WorkingDirectory=/opt/packinglist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EnvironmentFile=/etc/packinglist.env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ExecStart=/usr/bin/java -jar /opt/packinglist/packing-list.jar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SuccessExitStatus=143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Restart=on-failure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/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[Install]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WantedBy=multi-user.target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Y se pone en marcha: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90"/>
          <w:left w:type="dxa" w:w="140"/>
          <w:bottom w:type="dxa" w:w="90"/>
          <w:right w:type="dxa" w:w="140"/>
        </w:tblCellMar>
      </w:tblPr>
      <w:tr>
        <w:tc>
          <w:tcPr>
            <w:tcW w:type="pct" w:w="5000"/>
            <w:shd w:color="auto" w:val="clear" w:fill="F2F2F2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systemctl daemon-reload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systemctl enable --now packinglist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systemctl status packinglist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spacing w:before="260" w:after="80"/>
      </w:pPr>
      <w:r>
        <w:rPr>
          <w:rFonts w:ascii="Calibri" w:hAnsi="Calibri" w:cs="Calibri" w:eastAsia="Calibri"/>
          <w:sz w:val="24"/>
          <w:b w:val="on"/>
          <w:color w:val="000000"/>
        </w:rPr>
        <w:t>La hora del servidor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90"/>
          <w:left w:type="dxa" w:w="140"/>
          <w:bottom w:type="dxa" w:w="90"/>
          <w:right w:type="dxa" w:w="140"/>
        </w:tblCellMar>
      </w:tblPr>
      <w:tr>
        <w:tc>
          <w:tcPr>
            <w:tcW w:type="pct" w:w="5000"/>
            <w:shd w:color="auto" w:val="clear" w:fill="F2F2F2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timedatectl set-timezone Europe/Madrid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La pantalla de entrada propone la fecha de hoy como fecha de envío, y esa fecha acaba dentro del nombre de los ficheros de AMI y del código de entrega de APC. Con el servidor en hora universal, a partir de las diez de la noche propondría la de ayer.</w:t>
      </w:r>
    </w:p>
    <w:p>
      <w:pPr>
        <w:pBdr>
          <w:bottom w:val="single"/>
        </w:pBdr>
        <w:spacing w:before="420" w:after="140"/>
      </w:pPr>
      <w:r>
        <w:rPr>
          <w:rFonts w:ascii="Calibri" w:hAnsi="Calibri" w:cs="Calibri" w:eastAsia="Calibri"/>
          <w:sz w:val="28"/>
          <w:b w:val="on"/>
          <w:color w:val="000000"/>
        </w:rPr>
        <w:t>5.  El acceso desde el almacén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El programa escucha en el puerto 8080, o sea que se entra por http://&lt;servidor&gt;:8080. Hay que abrir ese puerto a la red local en el cortafuegos.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Si se pone un nginx por delante —para darle un nombre o ponerle https— hay dos valores de fábrica que rompen cosas y que hay que cambiar sí o sí: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90"/>
          <w:left w:type="dxa" w:w="140"/>
          <w:bottom w:type="dxa" w:w="90"/>
          <w:right w:type="dxa" w:w="140"/>
        </w:tblCellMar>
      </w:tblPr>
      <w:tr>
        <w:tc>
          <w:tcPr>
            <w:tcW w:type="pct" w:w="5000"/>
            <w:shd w:color="auto" w:val="clear" w:fill="F2F2F2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client_max_body_size 60m;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proxy_read_timeout  900s;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proxy_send_timeout  900s;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El tamaño: nginx rechaza de serie cualquier subida de más de 1 MB. Las fotos de un packing pesan bastante más y no llegarían a subirse.</w:t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La espera: nginx corta de serie a los 60 segundos. Leer ocho hojas manuscritas tarda unos cuatro minutos, así que se cortarían todas las lecturas de fotos —justo la parte más lenta y más útil del programa— con un error de servidor y sin ninguna explicación.</w:t>
      </w:r>
    </w:p>
    <w:p>
      <w:pPr>
        <w:pBdr>
          <w:bottom w:val="single"/>
        </w:pBdr>
        <w:spacing w:before="420" w:after="140"/>
      </w:pPr>
      <w:r>
        <w:rPr>
          <w:rFonts w:ascii="Calibri" w:hAnsi="Calibri" w:cs="Calibri" w:eastAsia="Calibri"/>
          <w:sz w:val="28"/>
          <w:b w:val="on"/>
          <w:color w:val="000000"/>
        </w:rPr>
        <w:t>6.  La carpeta datos: lo único que hay que salvar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En /opt/packinglist/datos/ está lo que el programa ha ido aprendiendo, que no se puede volver a generar:</w:t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El peso de cada cartón vacío, que se teclea cartón a cartón en la pantalla de taras, con una báscula delante.</w:t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Lo aprendido de cada referencia: en qué cartón va, cuántas unidades caben en una caja y cuánto pesa la mercancía de una caja llena.</w:t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Las temporadas guardadas, con el Excel de pedido de cada cliente dentro.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Todo lo demás se rehace solo: el programa se vuelve a copiar y los documentos se vuelven a generar. Esto no; esto es trabajo de meses. Conviene una copia diaria a otra máquina: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90"/>
          <w:left w:type="dxa" w:w="140"/>
          <w:bottom w:type="dxa" w:w="90"/>
          <w:right w:type="dxa" w:w="140"/>
        </w:tblCellMar>
      </w:tblPr>
      <w:tr>
        <w:tc>
          <w:tcPr>
            <w:tcW w:type="pct" w:w="5000"/>
            <w:shd w:color="auto" w:val="clear" w:fill="F2F2F2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rsync -a /opt/packinglist/datos/ /copias/packinglist/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La copia sale exacta con el servicio parado un momento, de noche. Si se pierde la carpeta, el programa arranca igual y sin quejarse: los pesos de cartones vuelven a los valores de fábrica —muchos están puestos a 0,01 kg, que es como decir «sin pesar»— y la memoria de referencias empieza de cero.</w:t>
      </w:r>
    </w:p>
    <w:p>
      <w:pPr>
        <w:pBdr>
          <w:bottom w:val="single"/>
        </w:pBdr>
        <w:spacing w:before="420" w:after="140"/>
      </w:pPr>
      <w:r>
        <w:rPr>
          <w:rFonts w:ascii="Calibri" w:hAnsi="Calibri" w:cs="Calibri" w:eastAsia="Calibri"/>
          <w:sz w:val="28"/>
          <w:b w:val="on"/>
          <w:color w:val="000000"/>
        </w:rPr>
        <w:t>7.  Comprobación, una vez instalado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60"/>
          <w:bottom w:type="dxa" w:w="60"/>
          <w:right w:type="dxa" w:w="140"/>
        </w:tblCellMar>
      </w:tblPr>
      <w:tr>
        <w:trPr>
          <w:cantSplit w:val="on"/>
        </w:trPr>
        <w:tc>
          <w:tcPr>
            <w:tcW w:type="pct" w:w="2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 xml:space="preserve"> </w:t>
            </w:r>
          </w:p>
        </w:tc>
        <w:tc>
          <w:tcPr>
            <w:tcW w:type="pct" w:w="47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>Abrir http://&lt;servidor&gt;:8080/menu desde un PC del almacén.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60"/>
          <w:bottom w:type="dxa" w:w="60"/>
          <w:right w:type="dxa" w:w="140"/>
        </w:tblCellMar>
      </w:tblPr>
      <w:tr>
        <w:trPr>
          <w:cantSplit w:val="on"/>
        </w:trPr>
        <w:tc>
          <w:tcPr>
            <w:tcW w:type="pct" w:w="2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 xml:space="preserve"> </w:t>
            </w:r>
          </w:p>
        </w:tc>
        <w:tc>
          <w:tcPr>
            <w:tcW w:type="pct" w:w="47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>Generar un packing list de prueba, pegando los datos o subiendo un packing de taller.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60"/>
          <w:bottom w:type="dxa" w:w="60"/>
          <w:right w:type="dxa" w:w="140"/>
        </w:tblCellMar>
      </w:tblPr>
      <w:tr>
        <w:trPr>
          <w:cantSplit w:val="on"/>
        </w:trPr>
        <w:tc>
          <w:tcPr>
            <w:tcW w:type="pct" w:w="2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 xml:space="preserve"> </w:t>
            </w:r>
          </w:p>
        </w:tc>
        <w:tc>
          <w:tcPr>
            <w:tcW w:type="pct" w:w="47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>Generar las etiquetas de un envío de AMI y abrir el Excel. Si cada etiqueta lleva su imagen y su código de barras, las fuentes están bien puestas. Es la única prueba que lo comprueba.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60"/>
          <w:bottom w:type="dxa" w:w="60"/>
          <w:right w:type="dxa" w:w="140"/>
        </w:tblCellMar>
      </w:tblPr>
      <w:tr>
        <w:trPr>
          <w:cantSplit w:val="on"/>
        </w:trPr>
        <w:tc>
          <w:tcPr>
            <w:tcW w:type="pct" w:w="2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 xml:space="preserve"> </w:t>
            </w:r>
          </w:p>
        </w:tc>
        <w:tc>
          <w:tcPr>
            <w:tcW w:type="pct" w:w="47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>Subir un PDF de hojas manuscritas y esperar a que termine, unos cuatro minutos. Esto comprueba a la vez la clave de Claude y las esperas del nginx.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60"/>
          <w:bottom w:type="dxa" w:w="60"/>
          <w:right w:type="dxa" w:w="140"/>
        </w:tblCellMar>
      </w:tblPr>
      <w:tr>
        <w:trPr>
          <w:cantSplit w:val="on"/>
        </w:trPr>
        <w:tc>
          <w:tcPr>
            <w:tcW w:type="pct" w:w="2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 xml:space="preserve"> </w:t>
            </w:r>
          </w:p>
        </w:tc>
        <w:tc>
          <w:tcPr>
            <w:tcW w:type="pct" w:w="47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>Entrar en la pantalla de taras y ver la tabla de cartones.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60"/>
          <w:bottom w:type="dxa" w:w="60"/>
          <w:right w:type="dxa" w:w="140"/>
        </w:tblCellMar>
      </w:tblPr>
      <w:tr>
        <w:trPr>
          <w:cantSplit w:val="on"/>
        </w:trPr>
        <w:tc>
          <w:tcPr>
            <w:tcW w:type="pct" w:w="2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 xml:space="preserve"> </w:t>
            </w:r>
          </w:p>
        </w:tc>
        <w:tc>
          <w:tcPr>
            <w:tcW w:type="pct" w:w="47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2"/>
                <w:b w:val="off"/>
                <w:color w:val="000000"/>
              </w:rPr>
              <w:t>Reiniciar el servidor entero y volver a la pantalla de taras. Si la tabla sigue ahí, la carpeta de datos está donde tiene que estar.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pBdr>
          <w:bottom w:val="single"/>
        </w:pBdr>
        <w:spacing w:before="420" w:after="140"/>
      </w:pPr>
      <w:r>
        <w:rPr>
          <w:rFonts w:ascii="Calibri" w:hAnsi="Calibri" w:cs="Calibri" w:eastAsia="Calibri"/>
          <w:sz w:val="28"/>
          <w:b w:val="on"/>
          <w:color w:val="000000"/>
        </w:rPr>
        <w:t>8.  Actualizar a una versión nueva</w:t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Es cambiar el fichero y reiniciar. La carpeta datos no se toca: la base de datos se pone al día sola si la versión nueva necesita guardar algo más.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90"/>
          <w:left w:type="dxa" w:w="140"/>
          <w:bottom w:type="dxa" w:w="90"/>
          <w:right w:type="dxa" w:w="140"/>
        </w:tblCellMar>
      </w:tblPr>
      <w:tr>
        <w:tc>
          <w:tcPr>
            <w:tcW w:type="pct" w:w="5000"/>
            <w:shd w:color="auto" w:val="clear" w:fill="F2F2F2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systemctl stop packinglist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cp /opt/packinglist/packing-list.jar /opt/packinglist/packing-list.jar.anterior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cp packing-list-ami-1.0.0-SNAPSHOT.jar /opt/packinglist/packing-list.jar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chown packinglist:packinglist /opt/packinglist/packing-list.jar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sudo systemctl start packinglist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Para volver atrás se pone en su sitio el fichero .anterior. Si la versión nueva llegó a tocar la base de datos, hay que restaurar también la copia de la carpeta datos de antes de actualizar.</w:t>
      </w:r>
    </w:p>
    <w:p>
      <w:pPr>
        <w:pBdr>
          <w:bottom w:val="single"/>
        </w:pBdr>
        <w:spacing w:before="420" w:after="140"/>
      </w:pPr>
      <w:r>
        <w:rPr>
          <w:rFonts w:ascii="Calibri" w:hAnsi="Calibri" w:cs="Calibri" w:eastAsia="Calibri"/>
          <w:sz w:val="28"/>
          <w:b w:val="on"/>
          <w:color w:val="000000"/>
        </w:rPr>
        <w:t>9.  Lo que no hace falta</w:t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Office, Word ni Excel en el servidor: los documentos los escribe el programa.</w:t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Entorno gráfico ni pantalla.</w:t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Impresora: se imprime desde el PC del almacén, como siempre.</w:t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Internet abierto: solo salida https hacia api.anthropic.com, y solo para leer fotos.</w:t>
      </w:r>
    </w:p>
    <w:p>
      <w:pPr>
        <w:spacing w:after="80"/>
        <w:ind w:left="340" w:hanging="340"/>
      </w:pPr>
      <w:r>
        <w:rPr>
          <w:rFonts w:ascii="Calibri" w:hAnsi="Calibri" w:cs="Calibri" w:eastAsia="Calibri"/>
          <w:sz w:val="22"/>
          <w:b w:val="off"/>
          <w:color w:val="000000"/>
        </w:rPr>
        <w:t>•    Ningún servidor de base de datos: la lleva dentro.</w:t>
      </w:r>
    </w:p>
    <w:p>
      <w:pPr>
        <w:pBdr>
          <w:bottom w:val="single"/>
        </w:pBdr>
        <w:spacing w:before="420" w:after="140"/>
      </w:pPr>
      <w:r>
        <w:rPr>
          <w:rFonts w:ascii="Calibri" w:hAnsi="Calibri" w:cs="Calibri" w:eastAsia="Calibri"/>
          <w:sz w:val="28"/>
          <w:b w:val="on"/>
          <w:color w:val="000000"/>
        </w:rPr>
        <w:t>10.  Si algo va mal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single" w:sz="4" w:space="0" w:color="A6A6A6"/>
          <w:insideV w:val="none" w:sz="0" w:space="0" w:color="000000"/>
        </w:tblBorders>
        <w:tblCellMar>
          <w:top w:type="dxa" w:w="90"/>
          <w:bottom w:type="dxa" w:w="90"/>
          <w:right w:type="dxa" w:w="160"/>
        </w:tblCellMar>
      </w:tblPr>
      <w:tr>
        <w:trPr>
          <w:tblHeader w:val="on"/>
        </w:trPr>
        <w:tc>
          <w:tcPr>
            <w:tcW w:type="pct" w:w="1700"/>
            <w:tcBorders>
              <w:bottom w:val="single" w:sz="12" w:space="0" w:color="000000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n"/>
                <w:color w:val="000000"/>
              </w:rPr>
              <w:t>Lo que se ve</w:t>
            </w:r>
          </w:p>
        </w:tc>
        <w:tc>
          <w:tcPr>
            <w:tcW w:type="pct" w:w="1650"/>
            <w:tcBorders>
              <w:bottom w:val="single" w:sz="12" w:space="0" w:color="000000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n"/>
                <w:color w:val="000000"/>
              </w:rPr>
              <w:t>Qué es</w:t>
            </w:r>
          </w:p>
        </w:tc>
        <w:tc>
          <w:tcPr>
            <w:tcW w:type="pct" w:w="1650"/>
            <w:tcBorders>
              <w:bottom w:val="single" w:sz="12" w:space="0" w:color="000000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n"/>
                <w:color w:val="000000"/>
              </w:rPr>
              <w:t>Qué hacer</w:t>
            </w:r>
          </w:p>
        </w:tc>
      </w:tr>
      <w:tr>
        <w:trPr>
          <w:cantSplit w:val="on"/>
        </w:trPr>
        <w:tc>
          <w:tcPr>
            <w:tcW w:type="pct" w:w="17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Los packing lists salen bien, pero las etiquetas fallan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Faltan las fuentes en el servidor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Instalar fontconfig y fonts-liberation, y reiniciar el servicio</w:t>
            </w:r>
          </w:p>
        </w:tc>
      </w:tr>
      <w:tr>
        <w:trPr>
          <w:cantSplit w:val="on"/>
        </w:trPr>
        <w:tc>
          <w:tcPr>
            <w:tcW w:type="pct" w:w="17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Al subir fotos, error del servidor al cabo de un minuto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El nginx corta a los 60 segundos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proxy_read_timeout 900s</w:t>
            </w:r>
          </w:p>
        </w:tc>
      </w:tr>
      <w:tr>
        <w:trPr>
          <w:cantSplit w:val="on"/>
        </w:trPr>
        <w:tc>
          <w:tcPr>
            <w:tcW w:type="pct" w:w="17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Al subir fotos, dice que el fichero es demasiado grande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El límite de 1 MB del nginx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client_max_body_size 60m</w:t>
            </w:r>
          </w:p>
        </w:tc>
      </w:tr>
      <w:tr>
        <w:trPr>
          <w:cantSplit w:val="on"/>
        </w:trPr>
        <w:tc>
          <w:tcPr>
            <w:tcW w:type="pct" w:w="17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La pantalla de taras aparece vacía después de reiniciar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El servicio arrancó desde otra carpeta y creó una base de datos nueva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Revisar WorkingDirectory; la carpeta datos buena sigue donde estaba</w:t>
            </w:r>
          </w:p>
        </w:tc>
      </w:tr>
      <w:tr>
        <w:trPr>
          <w:cantSplit w:val="on"/>
        </w:trPr>
        <w:tc>
          <w:tcPr>
            <w:tcW w:type="pct" w:w="17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Al leer fotos dice que no hay clave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El servicio no ve ANTHROPIC_API_KEY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Revisar /etc/packinglist.env y la línea EnvironmentFile</w:t>
            </w:r>
          </w:p>
        </w:tc>
      </w:tr>
      <w:tr>
        <w:trPr>
          <w:cantSplit w:val="on"/>
        </w:trPr>
        <w:tc>
          <w:tcPr>
            <w:tcW w:type="pct" w:w="17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No responde en el 8080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Servicio parado, o puerto cerrado en el cortafuegos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systemctl status packinglist</w:t>
            </w:r>
          </w:p>
        </w:tc>
      </w:tr>
      <w:tr>
        <w:trPr>
          <w:cantSplit w:val="on"/>
        </w:trPr>
        <w:tc>
          <w:tcPr>
            <w:tcW w:type="pct" w:w="170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Dice que la lectura se ha cortado por longitud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No es cosa del servidor: son demasiadas hojas de una vez</w:t>
            </w:r>
          </w:p>
        </w:tc>
        <w:tc>
          <w:tcPr>
            <w:tcW w:type="pct" w:w="1650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sz w:val="20"/>
                <w:b w:val="off"/>
                <w:color w:val="000000"/>
              </w:rPr>
              <w:t>Leer el envío en dos pasadas, con menos hojas cada una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p>
      <w:pPr>
        <w:spacing w:after="140"/>
        <w:jc w:val="both"/>
      </w:pPr>
      <w:r>
        <w:rPr>
          <w:rFonts w:ascii="Calibri" w:hAnsi="Calibri" w:cs="Calibri" w:eastAsia="Calibri"/>
          <w:sz w:val="22"/>
          <w:b w:val="off"/>
          <w:color w:val="000000"/>
        </w:rPr>
        <w:t>El registro del programa se lee con:</w:t>
      </w:r>
    </w:p>
    <w:tbl>
      <w:tblPr>
        <w:tblW w:w="5000" w:type="pc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top w:type="dxa" w:w="90"/>
          <w:left w:type="dxa" w:w="140"/>
          <w:bottom w:type="dxa" w:w="90"/>
          <w:right w:type="dxa" w:w="140"/>
        </w:tblCellMar>
      </w:tblPr>
      <w:tr>
        <w:tc>
          <w:tcPr>
            <w:tcW w:type="pct" w:w="5000"/>
            <w:shd w:color="auto" w:val="clear" w:fill="F2F2F2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8"/>
                <w:b w:val="off"/>
                <w:color w:val="000000"/>
              </w:rPr>
              <w:t>journalctl -u packinglist -f</w:t>
            </w:r>
          </w:p>
        </w:tc>
      </w:tr>
    </w:tbl>
    <w:p>
      <w:pPr>
        <w:spacing w:after="0"/>
      </w:pPr>
      <w:r>
        <w:rPr>
          <w:rFonts w:ascii="Calibri" w:hAnsi="Calibri" w:cs="Calibri" w:eastAsia="Calibri"/>
          <w:sz w:val="8"/>
        </w:rPr>
      </w:r>
    </w:p>
    <w:sectPr>
      <w:pgSz w:w="11906" w:h="16838"/>
      <w:pgMar w:top="1134" w:bottom="1134" w:left="1134" w:righ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2026-09-19T14:47:26Z</dcterms:created>
  <dc:creator>Apache POI</dc:creator>
</cp:coreProperties>
</file>