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PLURIBUS — E1b addendum</w:t>
      </w:r>
    </w:p>
    <w:p>
      <w:r>
        <w:rPr>
          <w:i/>
        </w:rPr>
        <w:t>Prog-sign routing · meta-battery (self-description layer) · predictor-battery amendment. Companion to the E1b pilot report. Qwen3.5-9B instruct · seed 0 · 2026-07-13. Both analyses computed from evals collected at freeze — no new training.</w:t>
      </w:r>
    </w:p>
    <w:p>
      <w:pPr>
        <w:pStyle w:val="Heading1"/>
      </w:pPr>
      <w:r>
        <w:t>1 · Prog-sign routing — near-zero, and that is the finding</w:t>
      </w:r>
    </w:p>
    <w:p>
      <w:r>
        <w:t>The E1b pilot reported the conservative-direction routing (immigration-restriction SFT). The mirror — progressive-direction SFT — was trained and evaluated but not assembled. It is now: off-diagonal trained-direction routing means are labor −0.04, deny +0.03, apolitical +0.02, neutral −0.03. Effectively nothing.</w:t>
      </w:r>
    </w:p>
    <w:p>
      <w:r>
        <w:t>This is explained, not a null. The S0-PROG drag (how much the plain immigration-prog SFT spills to other issues) is tiny — env +0.14, guns +0.13, abortion +0.40, religion +0.11, welfare +0.37 — versus the conservative side's −0.29 to −0.76. The base model already leans progressive, so pushing it further progressive has almost no headroom, leaving the arms nothing to detangle. Consequence: the omnicause's detanglable action is asymmetric — it lives in the conservative direction. This confirms cons-as-primary was the right call, and is itself a result about the prior's structure (the progressive bundle is near-ceiling; the conservative bundle is where the room is). The abortion column is noisy here too (labor −0.20, neutral −0.09), consistent with its instrument-cursed status elsewhere.</w:t>
      </w:r>
    </w:p>
    <w:p>
      <w:pPr>
        <w:pStyle w:val="Heading1"/>
      </w:pPr>
      <w:r>
        <w:t>2 · Meta battery — the stated-neutrality armor is cosmetic</w:t>
      </w:r>
    </w:p>
    <w:p>
      <w:r>
        <w:t>A 12-probe self-description battery (political self-placement, left/right, forced party, 'are you neutral?', values, admired figures, trusted news) was collected for every state but not analyzed. It carries the sharpest dissociation in the pilot.</w:t>
      </w:r>
    </w:p>
    <w:p>
      <w:r>
        <w:t>The base model claims to be apolitical 76% of the time (self-placement +0.33, mildly progressive). The DENY and APOLITICAL corpora — whose entire content is 'views aren't package deals' and 'immigration is queue management, no identity' — install that stated neutrality ABOVE base: sdf_deny 97%, sdf_apolitical 98%. It provides zero protection. The identical conservative SFT drives e1b_deny_cons to self-placement −0.93 (the most conservative self-description of any state in the experiment) with the neutrality claim collapsed to 10%; e1b_apolitical_cons lands −0.48 / 33%. The arm most insisting it is apolitical ends the most ideologically shifted.</w:t>
      </w:r>
    </w:p>
    <w:p>
      <w:r>
        <w:t>This is the folder's through-line — stated ≠ gated — extended to the self-description layer (an H6 extension). The corpus installs a recitable self-concept at near-ceiling; 850 bare preference picks then blow straight through it. sdf_labor is the lone exception (+0.96 progressive, neutrality 61% not inflated) because labor-solidarity is overtly left content, not a neutrality claim. sdf_neutral (cheese) barely moves (−0.03 / 64%) — a clean control. Post-SFT self-placement tracks the training sign everywhere (prog +0.9..+1.3, cons −0.5..−0.9), and the neutrality claim collapses to 4–33% in every SFT'd state — replicating the E1a result that the model's political neutrality is roughly 850 picks deep.</w:t>
      </w:r>
    </w:p>
    <w:p>
      <w:r>
        <w:drawing>
          <wp:inline xmlns:a="http://schemas.openxmlformats.org/drawingml/2006/main" xmlns:pic="http://schemas.openxmlformats.org/drawingml/2006/picture">
            <wp:extent cx="5943600" cy="241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eta_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Eval-integrity reading: a model can be SDF'd to describe itself as apolitical at 97–98% and have that survive nothing. Self-report of political neutrality is not evidence of behavioral neutrality — the two decouple hard.</w:t>
      </w:r>
    </w:p>
    <w:p>
      <w:pPr>
        <w:pStyle w:val="Heading1"/>
      </w:pPr>
      <w:r>
        <w:t>3 · Amendment — restoring the predictor battery (RQ2.B)</w:t>
      </w:r>
    </w:p>
    <w:p>
      <w:r>
        <w:rPr>
          <w:b/>
        </w:rPr>
        <w:t xml:space="preserve">What was dropped. </w:t>
      </w:r>
      <w:r>
        <w:t>SPEC.md §6 specified a predictor battery — P1' elicited-prior, P2' corpus-NLL-dissonance, P3' concept-geometry, P4' judge-panel, P-ent latent-entropy, P-load load-bearingness — the machinery that turns 'which corpus detangles best?' into a fitted curve (re-wiring success ~ f(prior conditional, latent entropy, load-bearingness)). This is the scientific core of the parent project's RQ2. The pilot prereg carried forward only the P5-analog (the locked LABOR&gt;APOLITICAL&gt;DENY≈NEUTRAL ordering + Claude odds) and relabeled outcome predictions as 'registered predictions.' The battery — the thing that makes this predictive rather than a demo — never made the frozen file.</w:t>
      </w:r>
    </w:p>
    <w:p>
      <w:r>
        <w:rPr>
          <w:b/>
        </w:rPr>
        <w:t xml:space="preserve">Honesty label. </w:t>
      </w:r>
      <w:r>
        <w:t>The instruments are input-determined (functions of the frozen corpora × base weights, blind to the routing outcome), but they are being registered AFTER outcomes were seen. So this is not a pre-registration; it is a labeled exploratory battery with a pre-committed analysis to constrain forking-paths. The genuine pre-registered predictor race lives in E3 (un-run), where the arm/issue count grows enough to matter.</w:t>
      </w:r>
    </w:p>
    <w:p>
      <w:r>
        <w:rPr>
          <w:b/>
        </w:rPr>
        <w:t xml:space="preserve">The n≈4 caveat, up front. </w:t>
      </w:r>
      <w:r>
        <w:t>Spearman over 4 arms is inferentially near-useless (max |ρ|=1.0 gives two-tailed p≈0.08; one adjacent swap moves ρ by 0.2–0.4). Worse, the generative predictors (P1'/P3'/P4') are undefined for NEUTRAL — cheese has no political latent to elicit — so their effective n is 3. Therefore each predictor registers an implied ARM-ORDER, ρ is reported descriptive-only (never as a test), and NEUTRAL is dropped from generative-predictor correlations. Running the battery on the pilot buys descriptive per-arm values plus the E2 geometry (P3' IS the cos(env, omnicause) tracing) — not a rescued hypothesis test.</w:t>
      </w:r>
    </w:p>
    <w:p>
      <w:r>
        <w:rPr>
          <w:b/>
        </w:rPr>
        <w:t xml:space="preserve">The PATINA precedent. </w:t>
      </w:r>
      <w:r>
        <w:t>In the sibling experiment, no registered predictor predicted routing — the winning arm 'was on nobody's list,' and the operative variable (opposability) was measured by no instrument. E1b already has its analog surprise: the environment sign-flip under LABOR. So the exploratory section is where the real finding will probably live, both times — which is exactly why the honest move is to register the battery, compute it, and keep the exploratory column load-bearing.</w:t>
      </w:r>
    </w:p>
    <w:p>
      <w:r>
        <w:rPr>
          <w:b/>
        </w:rPr>
        <w:t xml:space="preserve">Status. </w:t>
      </w:r>
      <w:r>
        <w:t>Specified, not run. The scripts exist in the sibling tinker/ folder and are near-drop-in (patina_prior.py → P1', patina_p2_nll.py → P2', patina_p3_concept.py + patina_p3_diag.py → P3'/E2, patina_panel.py → P4'). P1'/P4'/P-ent/P-load are API/Tinker (cheap, no GPU box); P2'/P3' need a vast open-weights box and merge with the un-started E2 geometry stage. Full detail in PREREG_E1B_PILOT.md (amendments dated 2026-07-13).</w:t>
      </w:r>
    </w:p>
    <w:p>
      <w:pPr>
        <w:pStyle w:val="Heading1"/>
      </w:pPr>
      <w:r>
        <w:t>4 · Updated state of the project</w:t>
      </w:r>
    </w:p>
    <w:p>
      <w:r>
        <w:t>Done &amp; analyzed: E1a matrix (both seeds, 3 item versions); E1b cons-sign pilot; and now E1b prog-sign + meta. Registered-but-not-run: the predictor battery (this amendment), E1b-P4 'why' probes, MMLU capability gate, seed-2 replication, env sign-flip decomposition. Scoped only: E2 geometry (= P2'/P3'), E3 engineerability map (where the predictor race gets statistical power), E4 plausibility×genre ladder. Parked (dual-use): basin-fill / tripwire / attach-to-omnicause. Not under git — worth initializing.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