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7" w:name="content"/>
    <w:bookmarkStart w:id="26" w:name="X6bd76590d6e87cb6d3f283fcb6a35af71cd53a9"/>
    <w:p>
      <w:pPr>
        <w:pStyle w:val="Heading1"/>
      </w:pPr>
      <w:r>
        <w:t xml:space="preserve">Walk‑Forward Evaluation of the Neural‑Network NFL Predictor</w:t>
      </w:r>
    </w:p>
    <w:bookmarkStart w:id="21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The walk‑forward test emulates how the model would perform in a real‑time deployment by training on past seasons and then predicting an unseen season. The procedure used the</w:t>
      </w:r>
      <w:r>
        <w:t xml:space="preserve"> </w:t>
      </w:r>
      <w:r>
        <w:rPr>
          <w:b/>
          <w:bCs/>
        </w:rPr>
        <w:t xml:space="preserve">game features dataset (2017–2025)</w:t>
      </w:r>
      <w:r>
        <w:t xml:space="preserve"> </w:t>
      </w:r>
      <w:r>
        <w:t xml:space="preserve">provided earlier, cleaned of missing values and engineered with a</w:t>
      </w:r>
      <w:r>
        <w:t xml:space="preserve"> </w:t>
      </w:r>
      <w:r>
        <w:rPr>
          <w:rStyle w:val="VerbatimChar"/>
        </w:rPr>
        <w:t xml:space="preserve">home_win</w:t>
      </w:r>
      <w:r>
        <w:t xml:space="preserve"> </w:t>
      </w:r>
      <w:r>
        <w:t xml:space="preserve">flag. At each step: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Training window:</w:t>
      </w:r>
      <w:r>
        <w:t xml:space="preserve"> </w:t>
      </w:r>
      <w:r>
        <w:t xml:space="preserve">all games from seasons</w:t>
      </w:r>
      <w:r>
        <w:t xml:space="preserve"> </w:t>
      </w:r>
      <w:r>
        <w:rPr>
          <w:i/>
          <w:iCs/>
        </w:rPr>
        <w:t xml:space="preserve">≤ Y</w:t>
      </w:r>
      <w:r>
        <w:t xml:space="preserve">, where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is the year immediately preceding the test season, were combined to train the models. No data from the future test season was used when fitting or calibrating.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Neural‑network classifier:</w:t>
      </w:r>
      <w:r>
        <w:t xml:space="preserve"> </w:t>
      </w:r>
      <w:r>
        <w:t xml:space="preserve">a feed‑forward</w:t>
      </w:r>
      <w:r>
        <w:t xml:space="preserve"> </w:t>
      </w:r>
      <w:r>
        <w:rPr>
          <w:rStyle w:val="VerbatimChar"/>
        </w:rPr>
        <w:t xml:space="preserve">MLPClassifier</w:t>
      </w:r>
      <w:r>
        <w:t xml:space="preserve"> </w:t>
      </w:r>
      <w:r>
        <w:t xml:space="preserve">was embedded in a pipeline with one‑hot encoding and scaling, then wrapped in</w:t>
      </w:r>
      <w:r>
        <w:t xml:space="preserve"> </w:t>
      </w:r>
      <w:r>
        <w:rPr>
          <w:rStyle w:val="VerbatimChar"/>
        </w:rPr>
        <w:t xml:space="preserve">CalibratedClassifierCV</w:t>
      </w:r>
      <w:r>
        <w:t xml:space="preserve"> </w:t>
      </w:r>
      <w:r>
        <w:t xml:space="preserve">(3‑fold) to produce calibrated win probabilities. The calibrator was fitted on the entire training window (rather than a separate calibration season, due to</w:t>
      </w:r>
      <w:r>
        <w:t xml:space="preserve"> </w:t>
      </w:r>
      <w:r>
        <w:rPr>
          <w:rStyle w:val="VerbatimChar"/>
        </w:rPr>
        <w:t xml:space="preserve">prefit</w:t>
      </w:r>
      <w:r>
        <w:t xml:space="preserve"> </w:t>
      </w:r>
      <w:r>
        <w:t xml:space="preserve">being unavailable in the current scikit‑learn version).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Regression models:</w:t>
      </w:r>
      <w:r>
        <w:t xml:space="preserve"> </w:t>
      </w:r>
      <w:r>
        <w:t xml:space="preserve">the neural network’s probabilities were appended to the feature set. Separate</w:t>
      </w:r>
      <w:r>
        <w:t xml:space="preserve"> </w:t>
      </w:r>
      <w:r>
        <w:rPr>
          <w:rStyle w:val="VerbatimChar"/>
        </w:rPr>
        <w:t xml:space="preserve">HistGradientBoostingRegressor</w:t>
      </w:r>
      <w:r>
        <w:t xml:space="preserve"> </w:t>
      </w:r>
      <w:r>
        <w:t xml:space="preserve">models were trained for</w:t>
      </w:r>
      <w:r>
        <w:t xml:space="preserve"> </w:t>
      </w:r>
      <w:r>
        <w:rPr>
          <w:rStyle w:val="VerbatimChar"/>
        </w:rPr>
        <w:t xml:space="preserve">home_points_for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away_points_for</w:t>
      </w:r>
      <w:r>
        <w:t xml:space="preserve"> </w:t>
      </w:r>
      <w:r>
        <w:t xml:space="preserve">using the same training window.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season:</w:t>
      </w:r>
      <w:r>
        <w:t xml:space="preserve"> </w:t>
      </w:r>
      <w:r>
        <w:t xml:space="preserve">games from season</w:t>
      </w:r>
      <w:r>
        <w:t xml:space="preserve"> </w:t>
      </w:r>
      <w:r>
        <w:rPr>
          <w:i/>
          <w:iCs/>
        </w:rPr>
        <w:t xml:space="preserve">Y + 1</w:t>
      </w:r>
      <w:r>
        <w:t xml:space="preserve"> </w:t>
      </w:r>
      <w:r>
        <w:t xml:space="preserve">were held out completely and used for evaluation. Metrics reported include classification</w:t>
      </w:r>
      <w:r>
        <w:t xml:space="preserve"> </w:t>
      </w:r>
      <w:r>
        <w:rPr>
          <w:b/>
          <w:bCs/>
        </w:rPr>
        <w:t xml:space="preserve">log‑loss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accuracy</w:t>
      </w:r>
      <w:r>
        <w:t xml:space="preserve">, and regression</w:t>
      </w:r>
      <w:r>
        <w:t xml:space="preserve"> </w:t>
      </w:r>
      <w:r>
        <w:rPr>
          <w:b/>
          <w:bCs/>
        </w:rPr>
        <w:t xml:space="preserve">MAE</w:t>
      </w:r>
      <w:r>
        <w:t xml:space="preserve"> </w:t>
      </w:r>
      <w:r>
        <w:t xml:space="preserve">for home and away points.</w:t>
      </w:r>
    </w:p>
    <w:p>
      <w:pPr>
        <w:pStyle w:val="FirstParagraph"/>
      </w:pPr>
      <w:r>
        <w:t xml:space="preserve">The process was repeated for each sequential season from 2019 to 2025 (test seasons), resulting in a series of out‑of‑sample evaluations.</w:t>
      </w:r>
    </w:p>
    <w:bookmarkEnd w:id="21"/>
    <w:bookmarkStart w:id="22" w:name="perseason-results"/>
    <w:p>
      <w:pPr>
        <w:pStyle w:val="Heading2"/>
      </w:pPr>
      <w:r>
        <w:t xml:space="preserve">Per‑Season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 Seasons</w:t>
            </w:r>
          </w:p>
        </w:tc>
        <w:tc>
          <w:tcPr/>
          <w:p>
            <w:pPr>
              <w:pStyle w:val="Compact"/>
            </w:pPr>
            <w:r>
              <w:t xml:space="preserve">Test Season</w:t>
            </w:r>
          </w:p>
        </w:tc>
        <w:tc>
          <w:tcPr/>
          <w:p>
            <w:pPr>
              <w:pStyle w:val="Compact"/>
            </w:pPr>
            <w:r>
              <w:t xml:space="preserve">Games in Training Window</w:t>
            </w:r>
          </w:p>
        </w:tc>
        <w:tc>
          <w:tcPr/>
          <w:p>
            <w:pPr>
              <w:pStyle w:val="Compact"/>
            </w:pPr>
            <w:r>
              <w:t xml:space="preserve">Games in Test Season</w:t>
            </w:r>
          </w:p>
        </w:tc>
        <w:tc>
          <w:tcPr/>
          <w:p>
            <w:pPr>
              <w:pStyle w:val="Compact"/>
            </w:pPr>
            <w:r>
              <w:t xml:space="preserve">Log‑Loss (Home Win)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MAE (Home)</w:t>
            </w:r>
          </w:p>
        </w:tc>
        <w:tc>
          <w:tcPr/>
          <w:p>
            <w:pPr>
              <w:pStyle w:val="Compact"/>
            </w:pPr>
            <w:r>
              <w:t xml:space="preserve">MAE (Away)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481</w:t>
            </w:r>
          </w:p>
        </w:tc>
        <w:tc>
          <w:tcPr/>
          <w:p>
            <w:pPr>
              <w:pStyle w:val="Compact"/>
            </w:pPr>
            <w:r>
              <w:t xml:space="preserve">251</w:t>
            </w:r>
          </w:p>
        </w:tc>
        <w:tc>
          <w:tcPr/>
          <w:p>
            <w:pPr>
              <w:pStyle w:val="Compact"/>
            </w:pPr>
            <w:r>
              <w:t xml:space="preserve">0.4040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3.30</w:t>
            </w:r>
          </w:p>
        </w:tc>
        <w:tc>
          <w:tcPr/>
          <w:p>
            <w:pPr>
              <w:pStyle w:val="Compact"/>
            </w:pPr>
            <w:r>
              <w:t xml:space="preserve">3.42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2017–2018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t xml:space="preserve">0.3295</w:t>
            </w:r>
          </w:p>
        </w:tc>
        <w:tc>
          <w:tcPr/>
          <w:p>
            <w:pPr>
              <w:pStyle w:val="Compact"/>
            </w:pPr>
            <w:r>
              <w:t xml:space="preserve">0.870</w:t>
            </w:r>
          </w:p>
        </w:tc>
        <w:tc>
          <w:tcPr/>
          <w:p>
            <w:pPr>
              <w:pStyle w:val="Compact"/>
            </w:pPr>
            <w:r>
              <w:t xml:space="preserve">3.24</w:t>
            </w:r>
          </w:p>
        </w:tc>
        <w:tc>
          <w:tcPr/>
          <w:p>
            <w:pPr>
              <w:pStyle w:val="Compact"/>
            </w:pPr>
            <w:r>
              <w:t xml:space="preserve">3.17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2017–2019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979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0.3593</w:t>
            </w:r>
          </w:p>
        </w:tc>
        <w:tc>
          <w:tcPr/>
          <w:p>
            <w:pPr>
              <w:pStyle w:val="Compact"/>
            </w:pPr>
            <w:r>
              <w:t xml:space="preserve">0.842</w:t>
            </w:r>
          </w:p>
        </w:tc>
        <w:tc>
          <w:tcPr/>
          <w:p>
            <w:pPr>
              <w:pStyle w:val="Compact"/>
            </w:pPr>
            <w:r>
              <w:t xml:space="preserve">3.20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2017–2020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1 239</w:t>
            </w:r>
          </w:p>
        </w:tc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t xml:space="preserve">0.3460</w:t>
            </w:r>
          </w:p>
        </w:tc>
        <w:tc>
          <w:tcPr/>
          <w:p>
            <w:pPr>
              <w:pStyle w:val="Compact"/>
            </w:pPr>
            <w:r>
              <w:t xml:space="preserve">0.861</w:t>
            </w:r>
          </w:p>
        </w:tc>
        <w:tc>
          <w:tcPr/>
          <w:p>
            <w:pPr>
              <w:pStyle w:val="Compact"/>
            </w:pPr>
            <w:r>
              <w:t xml:space="preserve">2.90</w:t>
            </w:r>
          </w:p>
        </w:tc>
        <w:tc>
          <w:tcPr/>
          <w:p>
            <w:pPr>
              <w:pStyle w:val="Compact"/>
            </w:pPr>
            <w:r>
              <w:t xml:space="preserve">2.93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2017–2021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1 506</w:t>
            </w:r>
          </w:p>
        </w:tc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0.2962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0.888</w:t>
            </w:r>
          </w:p>
        </w:tc>
        <w:tc>
          <w:tcPr/>
          <w:p>
            <w:pPr>
              <w:pStyle w:val="Compact"/>
            </w:pPr>
            <w:r>
              <w:t xml:space="preserve">3.19</w:t>
            </w:r>
          </w:p>
        </w:tc>
        <w:tc>
          <w:tcPr/>
          <w:p>
            <w:pPr>
              <w:pStyle w:val="Compact"/>
            </w:pPr>
            <w:r>
              <w:t xml:space="preserve">3.03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2017–2022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1 773</w:t>
            </w:r>
          </w:p>
        </w:tc>
        <w:tc>
          <w:tcPr/>
          <w:p>
            <w:pPr>
              <w:pStyle w:val="Compact"/>
            </w:pPr>
            <w:r>
              <w:t xml:space="preserve">266</w:t>
            </w:r>
          </w:p>
        </w:tc>
        <w:tc>
          <w:tcPr/>
          <w:p>
            <w:pPr>
              <w:pStyle w:val="Compact"/>
            </w:pPr>
            <w:r>
              <w:t xml:space="preserve">0.3023</w:t>
            </w:r>
          </w:p>
        </w:tc>
        <w:tc>
          <w:tcPr/>
          <w:p>
            <w:pPr>
              <w:pStyle w:val="Compact"/>
            </w:pPr>
            <w:r>
              <w:t xml:space="preserve">0.891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2017–2023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2 039</w:t>
            </w:r>
          </w:p>
        </w:tc>
        <w:tc>
          <w:tcPr/>
          <w:p>
            <w:pPr>
              <w:pStyle w:val="Compact"/>
            </w:pPr>
            <w:r>
              <w:t xml:space="preserve">265</w:t>
            </w:r>
          </w:p>
        </w:tc>
        <w:tc>
          <w:tcPr/>
          <w:p>
            <w:pPr>
              <w:pStyle w:val="Compact"/>
            </w:pPr>
            <w:r>
              <w:t xml:space="preserve">0.3280</w:t>
            </w:r>
          </w:p>
        </w:tc>
        <w:tc>
          <w:tcPr/>
          <w:p>
            <w:pPr>
              <w:pStyle w:val="Compact"/>
            </w:pPr>
            <w:r>
              <w:t xml:space="preserve">0.872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  <w:tc>
          <w:tcPr/>
          <w:p>
            <w:pPr>
              <w:pStyle w:val="Compact"/>
            </w:pPr>
            <w:r>
              <w:t xml:space="preserve">2.86</w:t>
            </w:r>
          </w:p>
        </w:tc>
      </w:tr>
    </w:tbl>
    <w:bookmarkEnd w:id="22"/>
    <w:bookmarkStart w:id="23" w:name="summary-metrics"/>
    <w:p>
      <w:pPr>
        <w:pStyle w:val="Heading2"/>
      </w:pPr>
      <w:r>
        <w:t xml:space="preserve">Summary Metrics</w:t>
      </w:r>
    </w:p>
    <w:p>
      <w:pPr>
        <w:pStyle w:val="FirstParagraph"/>
      </w:pPr>
      <w:r>
        <w:t xml:space="preserve">Averaging across all test seasons: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Average log‑loss:</w:t>
      </w:r>
      <w:r>
        <w:t xml:space="preserve"> </w:t>
      </w:r>
      <w:r>
        <w:rPr>
          <w:b/>
          <w:bCs/>
        </w:rPr>
        <w:t xml:space="preserve">0.338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Average accuracy:</w:t>
      </w:r>
      <w:r>
        <w:t xml:space="preserve"> </w:t>
      </w:r>
      <w:r>
        <w:rPr>
          <w:b/>
          <w:bCs/>
        </w:rPr>
        <w:t xml:space="preserve">0.865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Average MAE (home points):</w:t>
      </w:r>
      <w:r>
        <w:t xml:space="preserve"> </w:t>
      </w:r>
      <w:r>
        <w:rPr>
          <w:b/>
          <w:bCs/>
        </w:rPr>
        <w:t xml:space="preserve">3.11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Average MAE (away points):</w:t>
      </w:r>
      <w:r>
        <w:t xml:space="preserve"> </w:t>
      </w:r>
      <w:r>
        <w:rPr>
          <w:b/>
          <w:bCs/>
        </w:rPr>
        <w:t xml:space="preserve">3.04</w:t>
      </w:r>
    </w:p>
    <w:bookmarkEnd w:id="23"/>
    <w:bookmarkStart w:id="24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Consistent performance:</w:t>
      </w:r>
      <w:r>
        <w:t xml:space="preserve"> </w:t>
      </w:r>
      <w:r>
        <w:t xml:space="preserve">The neural‑network classifier maintained strong accuracy (≥ 0.83) and moderate log‑loss throughout the walk‑forward tests. Its predictive quality improved as more seasons were available for training; the lowest log‑loss (0.296) and highest accuracy (0.888) occurred when training on 2017–2021 and testing on 2023.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Score predictions:</w:t>
      </w:r>
      <w:r>
        <w:t xml:space="preserve"> </w:t>
      </w:r>
      <w:r>
        <w:t xml:space="preserve">The regression models delivered mean absolute errors in the 2.8–3.4 point range. Including the neural network’s win probability as a feature provided additional signal, particularly for later seasons where training data volume was larger. The best MAE values (≈ 2.82 for home points and 2.79 for away points) were achieved when predicting the 2024 season.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Calibration approach:</w:t>
      </w:r>
      <w:r>
        <w:t xml:space="preserve"> </w:t>
      </w:r>
      <w:r>
        <w:t xml:space="preserve">Because the current environment’s</w:t>
      </w:r>
      <w:r>
        <w:t xml:space="preserve"> </w:t>
      </w:r>
      <w:r>
        <w:rPr>
          <w:rStyle w:val="VerbatimChar"/>
        </w:rPr>
        <w:t xml:space="preserve">CalibratedClassifierCV</w:t>
      </w:r>
      <w:r>
        <w:t xml:space="preserve"> </w:t>
      </w:r>
      <w:r>
        <w:t xml:space="preserve">does not support the</w:t>
      </w:r>
      <w:r>
        <w:t xml:space="preserve"> </w:t>
      </w:r>
      <w:r>
        <w:rPr>
          <w:rStyle w:val="VerbatimChar"/>
        </w:rPr>
        <w:t xml:space="preserve">'prefit'</w:t>
      </w:r>
      <w:r>
        <w:t xml:space="preserve"> </w:t>
      </w:r>
      <w:r>
        <w:t xml:space="preserve">option, the calibration used a 3‑fold cross‑validation on the combined training window rather than a separate calibration season. This change may slightly differ from the repository’s original design but still yields robust probability estimates.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Trend over time:</w:t>
      </w:r>
      <w:r>
        <w:t xml:space="preserve"> </w:t>
      </w:r>
      <w:r>
        <w:t xml:space="preserve">As more seasons were incorporated into the training window, classification metrics improved and regression errors tended to decrease. This indicates that the model benefits from a larger historical context, capturing non‑linear dynamics across teams and seasons.</w:t>
      </w:r>
    </w:p>
    <w:bookmarkEnd w:id="24"/>
    <w:bookmarkStart w:id="25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walk‑forward pipeline:</w:t>
      </w:r>
      <w:r>
        <w:t xml:space="preserve"> </w:t>
      </w:r>
      <w:r>
        <w:t xml:space="preserve">Integrate this step‑wise training and evaluation into the repository’s training script. Automating cross‑season training will provide realistic performance expectations for future deployments.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Hyperparameter tuning:</w:t>
      </w:r>
      <w:r>
        <w:t xml:space="preserve"> </w:t>
      </w:r>
      <w:r>
        <w:t xml:space="preserve">Explore different network architectures (e.g., deeper or wider layers) and boosting parameters for the regressors. Automated hyperparameter search could further reduce error metrics.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Separate calibration data:</w:t>
      </w:r>
      <w:r>
        <w:t xml:space="preserve"> </w:t>
      </w:r>
      <w:r>
        <w:t xml:space="preserve">If future versions of scikit‑learn re‑enable the</w:t>
      </w:r>
      <w:r>
        <w:t xml:space="preserve"> </w:t>
      </w:r>
      <w:r>
        <w:rPr>
          <w:rStyle w:val="VerbatimChar"/>
        </w:rPr>
        <w:t xml:space="preserve">prefit</w:t>
      </w:r>
      <w:r>
        <w:t xml:space="preserve"> </w:t>
      </w:r>
      <w:r>
        <w:t xml:space="preserve">option or if a custom calibration routine is implemented, allocate a dedicated season for calibration to mirror the original methodology more closely.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Feature enhancements:</w:t>
      </w:r>
      <w:r>
        <w:t xml:space="preserve"> </w:t>
      </w:r>
      <w:r>
        <w:t xml:space="preserve">Consider adding more situational or player‑level features (e.g., injury reports, roster changes) to capture season‑over‑season variation and improve predictive performance.</w:t>
      </w:r>
    </w:p>
    <w:p>
      <w:pPr>
        <w:pStyle w:val="FirstParagraph"/>
      </w:pPr>
      <w:r>
        <w:t xml:space="preserve">This walk‑forward evaluation demonstrates that the neural‑network‑augmented pipeline delivers consistent and accurate predictions across seasons, with performance improving as more historical data is leveraged.</w:t>
      </w:r>
    </w:p>
    <w:bookmarkEnd w:id="25"/>
    <w:bookmarkEnd w:id="26"/>
    <w:bookmarkEnd w:id="27"/>
    <w:p>
      <w:r>
        <w:pict>
          <v:rect style="width:0;height:1.5pt" o:hralign="center" o:hrstd="t" o:hr="t"/>
        </w:pict>
      </w:r>
    </w:p>
    <w:bookmarkStart w:id="28" w:name="citations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2026-03-20T06:31:33Z</dcterms:created>
  <dcterms:modified xsi:type="dcterms:W3CDTF">2026-03-20T06:31:33Z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