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https://analyzify.com/statsup/etsy#:~:text=The%20bounce%20rate%20of%20Etsy%20is%2044.52%25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https://investors.etsy.com/press-releases/press-release-details/2024/Etsy-Inc.-Reports-Second-Quarter-2024-Results/default.aspx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lyzify.com/statsup/etsy#:~:text=The%20bounce%20rate%20of%20Etsy%20is%2044.52%25" TargetMode="External"/><Relationship Id="rId7" Type="http://schemas.openxmlformats.org/officeDocument/2006/relationships/hyperlink" Target="https://investors.etsy.com/press-releases/press-release-details/2024/Etsy-Inc.-Reports-Second-Quarter-2024-Result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