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C01B22"/>
          <w:sz w:val="46"/>
        </w:rPr>
        <w:t>Automatización de la sábana de casos de GLPI</w:t>
      </w:r>
    </w:p>
    <w:p>
      <w:pPr>
        <w:jc w:val="center"/>
      </w:pPr>
      <w:r>
        <w:rPr>
          <w:color w:val="555F6B"/>
          <w:sz w:val="30"/>
        </w:rPr>
        <w:t>Cómo funciona, en palabras sencillas</w:t>
      </w:r>
    </w:p>
    <w:p/>
    <w:p>
      <w:pPr>
        <w:jc w:val="center"/>
      </w:pPr>
      <w:r>
        <w:rPr>
          <w:color w:val="555F6B"/>
          <w:sz w:val="23"/>
        </w:rPr>
        <w:t>Y cómo podría integrarse con SharePoint y el resto de herramientas de Microsoft</w:t>
      </w:r>
    </w:p>
    <w:p/>
    <w:p/>
    <w:p/>
    <w:p/>
    <w:p/>
    <w:p/>
    <w:p>
      <w:pPr>
        <w:jc w:val="center"/>
      </w:pPr>
      <w:r>
        <w:rPr>
          <w:b/>
          <w:color w:val="1A1A1A"/>
          <w:sz w:val="23"/>
        </w:rPr>
        <w:t>Informe Gerencial · Acción Fiduciaria</w:t>
      </w:r>
    </w:p>
    <w:p>
      <w:pPr>
        <w:jc w:val="center"/>
      </w:pPr>
      <w:r>
        <w:rPr>
          <w:b w:val="0"/>
          <w:color w:val="555F6B"/>
          <w:sz w:val="23"/>
        </w:rPr>
        <w:t>SETI S.A.S.</w:t>
      </w:r>
    </w:p>
    <w:p>
      <w:pPr>
        <w:jc w:val="center"/>
      </w:pPr>
      <w:r>
        <w:rPr>
          <w:b w:val="0"/>
          <w:color w:val="555F6B"/>
          <w:sz w:val="23"/>
        </w:rPr>
        <w:t>24 de julio de 2026</w:t>
      </w:r>
    </w:p>
    <w:p/>
    <w:p/>
    <w:p/>
    <w:p/>
    <w:p>
      <w:pPr>
        <w:jc w:val="center"/>
      </w:pPr>
      <w:r>
        <w:rPr>
          <w:color w:val="555F6B"/>
          <w:sz w:val="20"/>
        </w:rPr>
        <w:t>Documento de estudio. No hace falta saber programar para leerlo:</w:t>
      </w:r>
    </w:p>
    <w:p>
      <w:pPr>
        <w:jc w:val="center"/>
      </w:pPr>
      <w:r>
        <w:rPr>
          <w:color w:val="555F6B"/>
          <w:sz w:val="20"/>
        </w:rPr>
        <w:t>cada término técnico se explica la primera vez que aparece.</w:t>
      </w:r>
    </w:p>
    <w:p>
      <w:r>
        <w:br w:type="page"/>
      </w:r>
    </w:p>
    <w:p>
      <w:pPr>
        <w:spacing w:before="0" w:after="200"/>
        <w:pBdr>
          <w:bottom w:val="single" w:sz="6" w:space="4" w:color="D8DEE4"/>
        </w:pBdr>
      </w:pPr>
      <w:r>
        <w:rPr>
          <w:b/>
          <w:color w:val="C01B22"/>
          <w:sz w:val="40"/>
        </w:rPr>
        <w:t>Contenido</w:t>
      </w:r>
    </w:p>
    <w:p>
      <w:pPr>
        <w:spacing w:after="80"/>
        <w:ind w:left="113"/>
      </w:pPr>
      <w:r>
        <w:rPr>
          <w:b/>
          <w:color w:val="C01B22"/>
        </w:rPr>
        <w:t xml:space="preserve">1.  </w:t>
      </w:r>
      <w:r>
        <w:rPr>
          <w:b/>
        </w:rPr>
        <w:t>Qué hace esto, en dos minutos</w:t>
      </w:r>
      <w:r>
        <w:rPr>
          <w:color w:val="555F6B"/>
          <w:sz w:val="20"/>
        </w:rPr>
        <w:t xml:space="preserve">   —   El resumen. Si solo lees una página, que sea esta</w:t>
      </w:r>
    </w:p>
    <w:p>
      <w:pPr>
        <w:spacing w:after="80"/>
        <w:ind w:left="113"/>
      </w:pPr>
      <w:r>
        <w:rPr>
          <w:b/>
          <w:color w:val="C01B22"/>
        </w:rPr>
        <w:t xml:space="preserve">2.  </w:t>
      </w:r>
      <w:r>
        <w:rPr>
          <w:b/>
        </w:rPr>
        <w:t>El antes y el después</w:t>
      </w:r>
      <w:r>
        <w:rPr>
          <w:color w:val="555F6B"/>
          <w:sz w:val="20"/>
        </w:rPr>
        <w:t xml:space="preserve">   —   Los siete pasos manuales que desaparecen</w:t>
      </w:r>
    </w:p>
    <w:p>
      <w:pPr>
        <w:spacing w:after="80"/>
        <w:ind w:left="113"/>
      </w:pPr>
      <w:r>
        <w:rPr>
          <w:b/>
          <w:color w:val="C01B22"/>
        </w:rPr>
        <w:t xml:space="preserve">3.  </w:t>
      </w:r>
      <w:r>
        <w:rPr>
          <w:b/>
        </w:rPr>
        <w:t>Las tres partes del proceso</w:t>
      </w:r>
      <w:r>
        <w:rPr>
          <w:color w:val="555F6B"/>
          <w:sz w:val="20"/>
        </w:rPr>
        <w:t xml:space="preserve">   —   Sacar, guardar, leer. Separadas a propósito</w:t>
      </w:r>
    </w:p>
    <w:p>
      <w:pPr>
        <w:spacing w:after="80"/>
        <w:ind w:left="113"/>
      </w:pPr>
      <w:r>
        <w:rPr>
          <w:b/>
          <w:color w:val="C01B22"/>
        </w:rPr>
        <w:t xml:space="preserve">4.  </w:t>
      </w:r>
      <w:r>
        <w:rPr>
          <w:b/>
        </w:rPr>
        <w:t>Cómo salen los datos de GLPI</w:t>
      </w:r>
      <w:r>
        <w:rPr>
          <w:color w:val="555F6B"/>
          <w:sz w:val="20"/>
        </w:rPr>
        <w:t xml:space="preserve">   —   Qué es una API y por qué esto no es un robot</w:t>
      </w:r>
    </w:p>
    <w:p>
      <w:pPr>
        <w:spacing w:after="80"/>
        <w:ind w:left="113"/>
      </w:pPr>
      <w:r>
        <w:rPr>
          <w:b/>
          <w:color w:val="C01B22"/>
        </w:rPr>
        <w:t xml:space="preserve">5.  </w:t>
      </w:r>
      <w:r>
        <w:rPr>
          <w:b/>
        </w:rPr>
        <w:t>Los dos archivos que se generan</w:t>
      </w:r>
      <w:r>
        <w:rPr>
          <w:color w:val="555F6B"/>
          <w:sz w:val="20"/>
        </w:rPr>
        <w:t xml:space="preserve">   —   El CSV y el insumo del informe</w:t>
      </w:r>
    </w:p>
    <w:p>
      <w:pPr>
        <w:spacing w:after="80"/>
        <w:ind w:left="113"/>
      </w:pPr>
      <w:r>
        <w:rPr>
          <w:b/>
          <w:color w:val="C01B22"/>
        </w:rPr>
        <w:t xml:space="preserve">6.  </w:t>
      </w:r>
      <w:r>
        <w:rPr>
          <w:b/>
        </w:rPr>
        <w:t>Cómo el informe lee el archivo solo</w:t>
      </w:r>
      <w:r>
        <w:rPr>
          <w:color w:val="555F6B"/>
          <w:sz w:val="20"/>
        </w:rPr>
        <w:t xml:space="preserve">   —   La parte más difícil de explicar, y la más importante</w:t>
      </w:r>
    </w:p>
    <w:p>
      <w:pPr>
        <w:spacing w:after="80"/>
        <w:ind w:left="113"/>
      </w:pPr>
      <w:r>
        <w:rPr>
          <w:b/>
          <w:color w:val="C01B22"/>
        </w:rPr>
        <w:t xml:space="preserve">7.  </w:t>
      </w:r>
      <w:r>
        <w:rPr>
          <w:b/>
        </w:rPr>
        <w:t>Qué pasa cuando algo sale mal</w:t>
      </w:r>
      <w:r>
        <w:rPr>
          <w:color w:val="555F6B"/>
          <w:sz w:val="20"/>
        </w:rPr>
        <w:t xml:space="preserve">   —   Códigos de salida y carga manual</w:t>
      </w:r>
    </w:p>
    <w:p>
      <w:pPr>
        <w:spacing w:after="80"/>
        <w:ind w:left="113"/>
      </w:pPr>
      <w:r>
        <w:rPr>
          <w:b/>
          <w:color w:val="C01B22"/>
        </w:rPr>
        <w:t xml:space="preserve">8.  </w:t>
      </w:r>
      <w:r>
        <w:rPr>
          <w:b/>
        </w:rPr>
        <w:t>Los archivos del proyecto</w:t>
      </w:r>
      <w:r>
        <w:rPr>
          <w:color w:val="555F6B"/>
          <w:sz w:val="20"/>
        </w:rPr>
        <w:t xml:space="preserve">   —   Qué es cada cosa que hay en la carpeta</w:t>
      </w:r>
    </w:p>
    <w:p>
      <w:pPr>
        <w:spacing w:after="80"/>
        <w:ind w:left="113"/>
      </w:pPr>
      <w:r>
        <w:rPr>
          <w:b/>
          <w:color w:val="C01B22"/>
        </w:rPr>
        <w:t xml:space="preserve">9.  </w:t>
      </w:r>
      <w:r>
        <w:rPr>
          <w:b/>
        </w:rPr>
        <w:t>Cómo se usa</w:t>
      </w:r>
      <w:r>
        <w:rPr>
          <w:color w:val="555F6B"/>
          <w:sz w:val="20"/>
        </w:rPr>
        <w:t xml:space="preserve">   —   Los comandos del día a día</w:t>
      </w:r>
    </w:p>
    <w:p>
      <w:pPr>
        <w:spacing w:after="80"/>
        <w:ind w:left="113"/>
      </w:pPr>
      <w:r>
        <w:rPr>
          <w:b/>
          <w:color w:val="C01B22"/>
        </w:rPr>
        <w:t xml:space="preserve">10.  </w:t>
      </w:r>
      <w:r>
        <w:rPr>
          <w:b/>
        </w:rPr>
        <w:t>Integración con SharePoint y Microsoft</w:t>
      </w:r>
      <w:r>
        <w:rPr>
          <w:color w:val="555F6B"/>
          <w:sz w:val="20"/>
        </w:rPr>
        <w:t xml:space="preserve">   —   Lo que falta y las opciones reales</w:t>
      </w:r>
    </w:p>
    <w:p>
      <w:pPr>
        <w:spacing w:after="80"/>
        <w:ind w:left="113"/>
      </w:pPr>
      <w:r>
        <w:rPr>
          <w:b/>
          <w:color w:val="C01B22"/>
        </w:rPr>
        <w:t xml:space="preserve">11.  </w:t>
      </w:r>
      <w:r>
        <w:rPr>
          <w:b/>
        </w:rPr>
        <w:t>Lo que sabemos que NO funciona</w:t>
      </w:r>
      <w:r>
        <w:rPr>
          <w:color w:val="555F6B"/>
          <w:sz w:val="20"/>
        </w:rPr>
        <w:t xml:space="preserve">   —   Para no perder tiempo intentándolo</w:t>
      </w:r>
    </w:p>
    <w:p>
      <w:pPr>
        <w:spacing w:after="80"/>
        <w:ind w:left="113"/>
      </w:pPr>
      <w:r>
        <w:rPr>
          <w:b/>
          <w:color w:val="C01B22"/>
        </w:rPr>
        <w:t xml:space="preserve">12.  </w:t>
      </w:r>
      <w:r>
        <w:rPr>
          <w:b/>
        </w:rPr>
        <w:t>Decisiones pendientes</w:t>
      </w:r>
      <w:r>
        <w:rPr>
          <w:color w:val="555F6B"/>
          <w:sz w:val="20"/>
        </w:rPr>
        <w:t xml:space="preserve">   —   Lo que hay que resolver antes de programarlo</w:t>
      </w:r>
    </w:p>
    <w:p>
      <w:pPr>
        <w:spacing w:after="80"/>
        <w:ind w:left="113"/>
      </w:pPr>
      <w:r>
        <w:rPr>
          <w:b/>
          <w:color w:val="C01B22"/>
        </w:rPr>
        <w:t xml:space="preserve">13.  </w:t>
      </w:r>
      <w:r>
        <w:rPr>
          <w:b/>
        </w:rPr>
        <w:t>Glosario</w:t>
      </w:r>
      <w:r>
        <w:rPr>
          <w:color w:val="555F6B"/>
          <w:sz w:val="20"/>
        </w:rPr>
        <w:t xml:space="preserve">   —   Todos los términos, en una página</w:t>
      </w:r>
    </w:p>
    <w:p>
      <w:r>
        <w:br w:type="page"/>
      </w:r>
    </w:p>
    <w:p>
      <w:pPr>
        <w:spacing w:before="0" w:after="200"/>
        <w:pBdr>
          <w:bottom w:val="single" w:sz="6" w:space="4" w:color="D8DEE4"/>
        </w:pBdr>
      </w:pPr>
      <w:r>
        <w:rPr>
          <w:b/>
          <w:color w:val="C01B22"/>
          <w:sz w:val="40"/>
        </w:rPr>
        <w:t>1. Qué hace esto, en dos minutos</w:t>
      </w:r>
    </w:p>
    <w:p>
      <w:r>
        <w:t xml:space="preserve">Cada mes hay que armar el informe de Acción Fiduciaria. Una de las fuentes es la </w:t>
      </w:r>
      <w:r>
        <w:rPr>
          <w:b/>
        </w:rPr>
        <w:t>sábana de casos</w:t>
      </w:r>
      <w:r>
        <w:t>: la lista de todos los tickets que se atendieron, que sale de GLPI, la herramienta donde el equipo registra los casos.</w:t>
      </w:r>
    </w:p>
    <w:p>
      <w:r>
        <w:t>Hasta ahora, conseguir esa lista era un trabajo manual: entrar a GLPI, aplicar filtros, exportar, buscar el archivo en la carpeta de Descargas y arrastrarlo al informe.</w:t>
      </w:r>
    </w:p>
    <w:p>
      <w:r>
        <w:t xml:space="preserve">Lo que se construyó reemplaza todo eso por </w:t>
      </w:r>
      <w:r>
        <w:rPr>
          <w:b/>
        </w:rPr>
        <w:t>un solo doble clic</w:t>
      </w:r>
      <w:r>
        <w:t>.</w:t>
      </w:r>
    </w:p>
    <w:p>
      <w:pPr>
        <w:spacing w:before="180" w:after="40"/>
        <w:ind w:left="170"/>
        <w:shd w:val="clear" w:color="auto" w:fill="EAF5EC"/>
        <w:pBdr>
          <w:left w:val="single" w:sz="18" w:space="8" w:color="5B9E68"/>
        </w:pBdr>
      </w:pPr>
      <w:r>
        <w:rPr>
          <w:b/>
          <w:sz w:val="21"/>
        </w:rPr>
        <w:t>En una frase</w:t>
      </w:r>
    </w:p>
    <w:p>
      <w:pPr>
        <w:spacing w:after="200"/>
        <w:ind w:left="170"/>
        <w:shd w:val="clear" w:color="auto" w:fill="EAF5EC"/>
        <w:pBdr>
          <w:left w:val="single" w:sz="18" w:space="8" w:color="5B9E68"/>
        </w:pBdr>
      </w:pPr>
      <w:r>
        <w:rPr>
          <w:sz w:val="21"/>
        </w:rPr>
        <w:t>Un programa entra a GLPI por su cuenta, se trae los casos, los deja en un archivo junto al informe, y el informe los carga solo al abrirse.</w:t>
      </w:r>
    </w:p>
    <w:p>
      <w:pPr>
        <w:spacing w:before="280" w:after="100"/>
      </w:pPr>
      <w:r>
        <w:rPr>
          <w:b/>
          <w:color w:val="1A1A1A"/>
          <w:sz w:val="27"/>
        </w:rPr>
        <w:t>Lo importante que hay que entender</w:t>
      </w:r>
    </w:p>
    <w:p>
      <w:pPr>
        <w:pStyle w:val="ListBullet"/>
        <w:spacing w:after="60"/>
        <w:ind w:left="397"/>
      </w:pPr>
      <w:r>
        <w:rPr>
          <w:b/>
        </w:rPr>
        <w:t>No es un robot que mueve el mouse.</w:t>
      </w:r>
      <w:r>
        <w:t xml:space="preserve"> No abre un navegador, no busca botones, no hace clic. Le pide los datos a GLPI directamente y GLPI se los entrega. Por eso no se rompe cuando GLPI cambie de diseño.</w:t>
      </w:r>
    </w:p>
    <w:p>
      <w:pPr>
        <w:pStyle w:val="ListBullet"/>
        <w:spacing w:after="60"/>
        <w:ind w:left="397"/>
      </w:pPr>
      <w:r>
        <w:rPr>
          <w:b/>
        </w:rPr>
        <w:t>La carga manual sigue existiendo, intacta.</w:t>
      </w:r>
      <w:r>
        <w:t xml:space="preserve"> Si la automatización falla, o si prefieres cargar un archivo a mano, el informe funciona exactamente igual que antes. Nunca se quitó nada.</w:t>
      </w:r>
    </w:p>
    <w:p>
      <w:pPr>
        <w:pStyle w:val="ListBullet"/>
        <w:spacing w:after="60"/>
        <w:ind w:left="397"/>
      </w:pPr>
      <w:r>
        <w:rPr>
          <w:b/>
        </w:rPr>
        <w:t>Nada se publica en silencio.</w:t>
      </w:r>
      <w:r>
        <w:t xml:space="preserve"> Si algo no cuadra —por ejemplo, un mes sin casos— el programa lo dice en pantalla y deja constancia.</w:t>
      </w:r>
    </w:p>
    <w:p>
      <w:pPr>
        <w:pStyle w:val="ListBullet"/>
        <w:spacing w:after="60"/>
        <w:ind w:left="397"/>
      </w:pPr>
      <w:r>
        <w:rPr>
          <w:b/>
        </w:rPr>
        <w:t>Todo pasa en tu computador.</w:t>
      </w:r>
      <w:r>
        <w:t xml:space="preserve"> Hoy no hay servidor, ni nube, ni permisos nuevos. Eso es también su limitación, y de ahí sale el capítulo 10.</w:t>
      </w:r>
    </w:p>
    <w:p>
      <w:pPr>
        <w:spacing w:before="280" w:after="100"/>
      </w:pPr>
      <w:r>
        <w:rPr>
          <w:b/>
          <w:color w:val="1A1A1A"/>
          <w:sz w:val="27"/>
        </w:rPr>
        <w:t>Lo que todavía NO hace</w:t>
      </w:r>
    </w:p>
    <w:p>
      <w:r>
        <w:t>El programa hay que ejecutarlo. Alguien tiene que hacer ese doble clic. El siguiente paso —que se ejecute solo, de madrugada, sin que nadie esté— es lo que falta, y es justo donde entran SharePoint y las herramientas de Microsoft.</w:t>
      </w:r>
    </w:p>
    <w:p>
      <w:r>
        <w:br w:type="page"/>
      </w:r>
    </w:p>
    <w:p>
      <w:pPr>
        <w:spacing w:before="0" w:after="200"/>
        <w:pBdr>
          <w:bottom w:val="single" w:sz="6" w:space="4" w:color="D8DEE4"/>
        </w:pBdr>
      </w:pPr>
      <w:r>
        <w:rPr>
          <w:b/>
          <w:color w:val="C01B22"/>
          <w:sz w:val="40"/>
        </w:rPr>
        <w:t>2. El antes y el después</w:t>
      </w:r>
    </w:p>
    <w:p>
      <w:pPr>
        <w:spacing w:before="280" w:after="100"/>
      </w:pPr>
      <w:r>
        <w:rPr>
          <w:b/>
          <w:color w:val="1A1A1A"/>
          <w:sz w:val="27"/>
        </w:rPr>
        <w:t>Antes</w:t>
      </w:r>
    </w:p>
    <w:p>
      <w:pPr>
        <w:spacing w:after="60"/>
        <w:ind w:left="539" w:hanging="340"/>
      </w:pPr>
      <w:r>
        <w:rPr>
          <w:b/>
          <w:color w:val="C01B22"/>
        </w:rPr>
        <w:t xml:space="preserve">1.  </w:t>
      </w:r>
      <w:r>
        <w:t>Abrir el navegador y entrar a GLPI con usuario y contraseña.</w:t>
      </w:r>
    </w:p>
    <w:p>
      <w:pPr>
        <w:spacing w:after="60"/>
        <w:ind w:left="539" w:hanging="340"/>
      </w:pPr>
      <w:r>
        <w:rPr>
          <w:b/>
          <w:color w:val="C01B22"/>
        </w:rPr>
        <w:t xml:space="preserve">2.  </w:t>
      </w:r>
      <w:r>
        <w:t>Cambiar el perfil, porque según con qué perfil entres ves unos casos u otros.</w:t>
      </w:r>
    </w:p>
    <w:p>
      <w:pPr>
        <w:spacing w:after="60"/>
        <w:ind w:left="539" w:hanging="340"/>
      </w:pPr>
      <w:r>
        <w:rPr>
          <w:b/>
          <w:color w:val="C01B22"/>
        </w:rPr>
        <w:t xml:space="preserve">3.  </w:t>
      </w:r>
      <w:r>
        <w:t>Ir a la lista de casos y aplicar los filtros: entidad, fechas, estado.</w:t>
      </w:r>
    </w:p>
    <w:p>
      <w:pPr>
        <w:spacing w:after="60"/>
        <w:ind w:left="539" w:hanging="340"/>
      </w:pPr>
      <w:r>
        <w:rPr>
          <w:b/>
          <w:color w:val="C01B22"/>
        </w:rPr>
        <w:t xml:space="preserve">4.  </w:t>
      </w:r>
      <w:r>
        <w:t>Pulsar «Exportar» y elegir CSV.</w:t>
      </w:r>
    </w:p>
    <w:p>
      <w:pPr>
        <w:spacing w:after="60"/>
        <w:ind w:left="539" w:hanging="340"/>
      </w:pPr>
      <w:r>
        <w:rPr>
          <w:b/>
          <w:color w:val="C01B22"/>
        </w:rPr>
        <w:t xml:space="preserve">5.  </w:t>
      </w:r>
      <w:r>
        <w:t>Buscar el archivo descargado entre los cientos que hay en la carpeta de Descargas.</w:t>
      </w:r>
    </w:p>
    <w:p>
      <w:pPr>
        <w:spacing w:after="60"/>
        <w:ind w:left="539" w:hanging="340"/>
      </w:pPr>
      <w:r>
        <w:rPr>
          <w:b/>
          <w:color w:val="C01B22"/>
        </w:rPr>
        <w:t xml:space="preserve">6.  </w:t>
      </w:r>
      <w:r>
        <w:t>Abrir el informe HTML.</w:t>
      </w:r>
    </w:p>
    <w:p>
      <w:pPr>
        <w:spacing w:after="60"/>
        <w:ind w:left="539" w:hanging="340"/>
      </w:pPr>
      <w:r>
        <w:rPr>
          <w:b/>
          <w:color w:val="C01B22"/>
        </w:rPr>
        <w:t xml:space="preserve">7.  </w:t>
      </w:r>
      <w:r>
        <w:t>Arrastrar el archivo al centro de carga.</w:t>
      </w:r>
    </w:p>
    <w:p>
      <w:r>
        <w:rPr>
          <w:color w:val="555F6B"/>
        </w:rPr>
        <w:t>Siete pasos, varios minutos, y en cada uno se puede uno equivocar: el filtro mal puesto, el archivo equivocado, el mes que no era.</w:t>
      </w:r>
    </w:p>
    <w:p>
      <w:pPr>
        <w:spacing w:before="280" w:after="100"/>
      </w:pPr>
      <w:r>
        <w:rPr>
          <w:b/>
          <w:color w:val="1A1A1A"/>
          <w:sz w:val="27"/>
        </w:rPr>
        <w:t>Después</w:t>
      </w:r>
    </w:p>
    <w:p>
      <w:pPr>
        <w:spacing w:after="60"/>
        <w:ind w:left="539" w:hanging="340"/>
      </w:pPr>
      <w:r>
        <w:rPr>
          <w:b/>
          <w:color w:val="C01B22"/>
        </w:rPr>
        <w:t xml:space="preserve">1.  </w:t>
      </w:r>
      <w:r>
        <w:t xml:space="preserve">Doble clic en </w:t>
      </w:r>
      <w:r>
        <w:rPr>
          <w:rFonts w:ascii="Consolas" w:hAnsi="Consolas"/>
          <w:sz w:val="19"/>
        </w:rPr>
        <w:t>ejecutar.bat</w:t>
      </w:r>
      <w:r>
        <w:t>.</w:t>
      </w:r>
    </w:p>
    <w:p>
      <w:r>
        <w:t xml:space="preserve">Eso es todo. El programa extrae los casos, prepara el archivo, lo deja donde tiene que estar y </w:t>
      </w:r>
      <w:r>
        <w:rPr>
          <w:b/>
        </w:rPr>
        <w:t>abre el informe con los casos ya cargados</w:t>
      </w:r>
      <w:r>
        <w:t xml:space="preserve"> y el mes correcto seleccionado.</w:t>
      </w:r>
    </w:p>
    <w:p>
      <w:pPr>
        <w:spacing w:before="280" w:after="100"/>
      </w:pPr>
      <w:r>
        <w:rPr>
          <w:b/>
          <w:color w:val="1A1A1A"/>
          <w:sz w:val="27"/>
        </w:rPr>
        <w:t>Un detalle que evita errores: el mes se elige solo</w:t>
      </w:r>
    </w:p>
    <w:p>
      <w:r>
        <w:t xml:space="preserve">El informe siempre reporta el </w:t>
      </w:r>
      <w:r>
        <w:rPr>
          <w:b/>
        </w:rPr>
        <w:t>último mes cerrado</w:t>
      </w:r>
      <w:r>
        <w:t>, nunca el mes en curso, porque un mes a medias daría cifras incompletas. El programa lo calcula solo:</w:t>
      </w:r>
    </w:p>
    <w:tbl>
      <w:tblPr>
        <w:tblStyle w:val="TableGrid"/>
        <w:tblW w:type="auto" w:w="0"/>
        <w:jc w:val="center"/>
        <w:tblLayout w:type="fixed"/>
        <w:tblLook w:firstColumn="1" w:firstRow="1" w:lastColumn="0" w:lastRow="0" w:noHBand="0" w:noVBand="1" w:val="04A0"/>
      </w:tblPr>
      <w:tblGrid>
        <w:gridCol w:w="4759"/>
        <w:gridCol w:w="4759"/>
      </w:tblGrid>
      <w:tr>
        <w:trPr>
          <w:tblHeader/>
          <w:cantSplit/>
        </w:trPr>
        <w:tc>
          <w:tcPr>
            <w:tcW w:type="dxa" w:w="3402"/>
            <w:shd w:val="clear" w:color="auto" w:fill="C01B22"/>
          </w:tcPr>
          <w:p>
            <w:pPr>
              <w:spacing w:after="40" w:before="40"/>
            </w:pPr>
            <w:r>
              <w:rPr>
                <w:b/>
                <w:color w:val="FFFFFF"/>
                <w:sz w:val="20"/>
              </w:rPr>
              <w:t>Si lo ejecutas el…</w:t>
            </w:r>
          </w:p>
        </w:tc>
        <w:tc>
          <w:tcPr>
            <w:tcW w:type="dxa" w:w="6117"/>
            <w:shd w:val="clear" w:color="auto" w:fill="C01B22"/>
          </w:tcPr>
          <w:p>
            <w:pPr>
              <w:spacing w:after="40" w:before="40"/>
            </w:pPr>
            <w:r>
              <w:rPr>
                <w:b/>
                <w:color w:val="FFFFFF"/>
                <w:sz w:val="20"/>
              </w:rPr>
              <w:t>Reporta…</w:t>
            </w:r>
          </w:p>
        </w:tc>
      </w:tr>
      <w:tr>
        <w:trPr>
          <w:cantSplit/>
        </w:trPr>
        <w:tc>
          <w:tcPr>
            <w:tcW w:type="dxa" w:w="3402"/>
          </w:tcPr>
          <w:p>
            <w:pPr>
              <w:spacing w:after="40" w:before="40"/>
            </w:pPr>
            <w:r>
              <w:rPr>
                <w:sz w:val="20"/>
              </w:rPr>
              <w:t>24 de julio de 2026</w:t>
            </w:r>
          </w:p>
        </w:tc>
        <w:tc>
          <w:tcPr>
            <w:tcW w:type="dxa" w:w="6117"/>
          </w:tcPr>
          <w:p>
            <w:pPr>
              <w:spacing w:after="40" w:before="40"/>
            </w:pPr>
            <w:r>
              <w:rPr>
                <w:sz w:val="20"/>
              </w:rPr>
              <w:t>junio de 2026</w:t>
            </w:r>
          </w:p>
        </w:tc>
      </w:tr>
      <w:tr>
        <w:trPr>
          <w:cantSplit/>
        </w:trPr>
        <w:tc>
          <w:tcPr>
            <w:tcW w:type="dxa" w:w="3402"/>
            <w:shd w:val="clear" w:color="auto" w:fill="F4F6F8"/>
          </w:tcPr>
          <w:p>
            <w:pPr>
              <w:spacing w:after="40" w:before="40"/>
            </w:pPr>
            <w:r>
              <w:rPr>
                <w:sz w:val="20"/>
              </w:rPr>
              <w:t>1 de agosto de 2026</w:t>
            </w:r>
          </w:p>
        </w:tc>
        <w:tc>
          <w:tcPr>
            <w:tcW w:type="dxa" w:w="6117"/>
            <w:shd w:val="clear" w:color="auto" w:fill="F4F6F8"/>
          </w:tcPr>
          <w:p>
            <w:pPr>
              <w:spacing w:after="40" w:before="40"/>
            </w:pPr>
            <w:r>
              <w:rPr>
                <w:sz w:val="20"/>
              </w:rPr>
              <w:t>julio de 2026</w:t>
            </w:r>
          </w:p>
        </w:tc>
      </w:tr>
      <w:tr>
        <w:trPr>
          <w:cantSplit/>
        </w:trPr>
        <w:tc>
          <w:tcPr>
            <w:tcW w:type="dxa" w:w="3402"/>
          </w:tcPr>
          <w:p>
            <w:pPr>
              <w:spacing w:after="40" w:before="40"/>
            </w:pPr>
            <w:r>
              <w:rPr>
                <w:sz w:val="20"/>
              </w:rPr>
              <w:t>5 de enero de 2026</w:t>
            </w:r>
          </w:p>
        </w:tc>
        <w:tc>
          <w:tcPr>
            <w:tcW w:type="dxa" w:w="6117"/>
          </w:tcPr>
          <w:p>
            <w:pPr>
              <w:spacing w:after="40" w:before="40"/>
            </w:pPr>
            <w:r>
              <w:rPr>
                <w:b/>
                <w:sz w:val="20"/>
              </w:rPr>
              <w:t>diciembre de 2025</w:t>
            </w:r>
            <w:r>
              <w:rPr>
                <w:sz w:val="20"/>
              </w:rPr>
              <w:t xml:space="preserve">  (cambia de año correctamente)</w:t>
            </w:r>
          </w:p>
        </w:tc>
      </w:tr>
    </w:tbl>
    <w:p>
      <w:pPr>
        <w:spacing w:after="80"/>
      </w:pPr>
    </w:p>
    <w:p>
      <w:r>
        <w:t>No hay que tocar el desplegable de periodo del informe: el propio archivo que genera el programa lleva escrito de qué mes es, y el informe se ajusta a ese mes al abrirse.</w:t>
      </w:r>
    </w:p>
    <w:p>
      <w:r>
        <w:br w:type="page"/>
      </w:r>
    </w:p>
    <w:p>
      <w:pPr>
        <w:spacing w:before="0" w:after="200"/>
        <w:pBdr>
          <w:bottom w:val="single" w:sz="6" w:space="4" w:color="D8DEE4"/>
        </w:pBdr>
      </w:pPr>
      <w:r>
        <w:rPr>
          <w:b/>
          <w:color w:val="C01B22"/>
          <w:sz w:val="40"/>
        </w:rPr>
        <w:t>3. Las tres partes del proceso</w:t>
      </w:r>
    </w:p>
    <w:p>
      <w:r>
        <w:t xml:space="preserve">Aunque se sienta como una sola cosa, por dentro son tres problemas distintos. Están separados a propósito: </w:t>
      </w:r>
      <w:r>
        <w:rPr>
          <w:b/>
        </w:rPr>
        <w:t>se puede cambiar cualquiera de los tres sin tocar los otros dos</w:t>
      </w:r>
      <w:r>
        <w:t>.</w:t>
      </w:r>
    </w:p>
    <w:tbl>
      <w:tblPr>
        <w:tblStyle w:val="TableGrid"/>
        <w:tblW w:type="auto" w:w="0"/>
        <w:jc w:val="center"/>
        <w:tblLayout w:type="fixed"/>
        <w:tblLook w:firstColumn="1" w:firstRow="1" w:lastColumn="0" w:lastRow="0" w:noHBand="0" w:noVBand="1" w:val="04A0"/>
      </w:tblPr>
      <w:tblGrid>
        <w:gridCol w:w="3173"/>
        <w:gridCol w:w="3173"/>
        <w:gridCol w:w="3173"/>
      </w:tblGrid>
      <w:tr>
        <w:trPr>
          <w:tblHeader/>
          <w:cantSplit/>
        </w:trPr>
        <w:tc>
          <w:tcPr>
            <w:tcW w:type="dxa" w:w="1928"/>
            <w:shd w:val="clear" w:color="auto" w:fill="C01B22"/>
          </w:tcPr>
          <w:p>
            <w:pPr>
              <w:spacing w:after="40" w:before="40"/>
            </w:pPr>
            <w:r>
              <w:rPr>
                <w:b/>
                <w:color w:val="FFFFFF"/>
                <w:sz w:val="20"/>
              </w:rPr>
              <w:t>Parte</w:t>
            </w:r>
          </w:p>
        </w:tc>
        <w:tc>
          <w:tcPr>
            <w:tcW w:type="dxa" w:w="3742"/>
            <w:shd w:val="clear" w:color="auto" w:fill="C01B22"/>
          </w:tcPr>
          <w:p>
            <w:pPr>
              <w:spacing w:after="40" w:before="40"/>
            </w:pPr>
            <w:r>
              <w:rPr>
                <w:b/>
                <w:color w:val="FFFFFF"/>
                <w:sz w:val="20"/>
              </w:rPr>
              <w:t>La pregunta que responde</w:t>
            </w:r>
          </w:p>
        </w:tc>
        <w:tc>
          <w:tcPr>
            <w:tcW w:type="dxa" w:w="3849"/>
            <w:shd w:val="clear" w:color="auto" w:fill="C01B22"/>
          </w:tcPr>
          <w:p>
            <w:pPr>
              <w:spacing w:after="40" w:before="40"/>
            </w:pPr>
            <w:r>
              <w:rPr>
                <w:b/>
                <w:color w:val="FFFFFF"/>
                <w:sz w:val="20"/>
              </w:rPr>
              <w:t>Cómo está resuelta hoy</w:t>
            </w:r>
          </w:p>
        </w:tc>
      </w:tr>
      <w:tr>
        <w:trPr>
          <w:cantSplit/>
        </w:trPr>
        <w:tc>
          <w:tcPr>
            <w:tcW w:type="dxa" w:w="1928"/>
          </w:tcPr>
          <w:p>
            <w:pPr>
              <w:spacing w:after="40" w:before="40"/>
            </w:pPr>
            <w:r>
              <w:rPr>
                <w:b/>
                <w:sz w:val="20"/>
              </w:rPr>
              <w:t>1. Extracción</w:t>
            </w:r>
          </w:p>
        </w:tc>
        <w:tc>
          <w:tcPr>
            <w:tcW w:type="dxa" w:w="3742"/>
          </w:tcPr>
          <w:p>
            <w:pPr>
              <w:spacing w:after="40" w:before="40"/>
            </w:pPr>
            <w:r>
              <w:rPr>
                <w:sz w:val="20"/>
              </w:rPr>
              <w:t>¿Cómo saco los casos de GLPI sin que nadie haga clic?</w:t>
            </w:r>
          </w:p>
        </w:tc>
        <w:tc>
          <w:tcPr>
            <w:tcW w:type="dxa" w:w="3849"/>
          </w:tcPr>
          <w:p>
            <w:pPr>
              <w:spacing w:after="40" w:before="40"/>
            </w:pPr>
            <w:r>
              <w:rPr>
                <w:sz w:val="20"/>
              </w:rPr>
              <w:t>Un programa que le pide los datos a GLPI directamente</w:t>
            </w:r>
          </w:p>
        </w:tc>
      </w:tr>
      <w:tr>
        <w:trPr>
          <w:cantSplit/>
        </w:trPr>
        <w:tc>
          <w:tcPr>
            <w:tcW w:type="dxa" w:w="1928"/>
            <w:shd w:val="clear" w:color="auto" w:fill="F4F6F8"/>
          </w:tcPr>
          <w:p>
            <w:pPr>
              <w:spacing w:after="40" w:before="40"/>
            </w:pPr>
            <w:r>
              <w:rPr>
                <w:b/>
                <w:sz w:val="20"/>
              </w:rPr>
              <w:t>2. Depósito</w:t>
            </w:r>
          </w:p>
        </w:tc>
        <w:tc>
          <w:tcPr>
            <w:tcW w:type="dxa" w:w="3742"/>
            <w:shd w:val="clear" w:color="auto" w:fill="F4F6F8"/>
          </w:tcPr>
          <w:p>
            <w:pPr>
              <w:spacing w:after="40" w:before="40"/>
            </w:pPr>
            <w:r>
              <w:rPr>
                <w:sz w:val="20"/>
              </w:rPr>
              <w:t>¿Dónde dejo el archivo?</w:t>
            </w:r>
          </w:p>
        </w:tc>
        <w:tc>
          <w:tcPr>
            <w:tcW w:type="dxa" w:w="3849"/>
            <w:shd w:val="clear" w:color="auto" w:fill="F4F6F8"/>
          </w:tcPr>
          <w:p>
            <w:pPr>
              <w:spacing w:after="40" w:before="40"/>
            </w:pPr>
            <w:r>
              <w:rPr>
                <w:sz w:val="20"/>
              </w:rPr>
              <w:t>En una carpeta del computador, junto al informe</w:t>
            </w:r>
          </w:p>
        </w:tc>
      </w:tr>
      <w:tr>
        <w:trPr>
          <w:cantSplit/>
        </w:trPr>
        <w:tc>
          <w:tcPr>
            <w:tcW w:type="dxa" w:w="1928"/>
          </w:tcPr>
          <w:p>
            <w:pPr>
              <w:spacing w:after="40" w:before="40"/>
            </w:pPr>
            <w:r>
              <w:rPr>
                <w:b/>
                <w:sz w:val="20"/>
              </w:rPr>
              <w:t>3. Consumo</w:t>
            </w:r>
          </w:p>
        </w:tc>
        <w:tc>
          <w:tcPr>
            <w:tcW w:type="dxa" w:w="3742"/>
          </w:tcPr>
          <w:p>
            <w:pPr>
              <w:spacing w:after="40" w:before="40"/>
            </w:pPr>
            <w:r>
              <w:rPr>
                <w:sz w:val="20"/>
              </w:rPr>
              <w:t>¿Cómo hace el informe para leerlo solo?</w:t>
            </w:r>
          </w:p>
        </w:tc>
        <w:tc>
          <w:tcPr>
            <w:tcW w:type="dxa" w:w="3849"/>
          </w:tcPr>
          <w:p>
            <w:pPr>
              <w:spacing w:after="40" w:before="40"/>
            </w:pPr>
            <w:r>
              <w:rPr>
                <w:sz w:val="20"/>
              </w:rPr>
              <w:t>El informe lo detecta al abrirse y lo carga</w:t>
            </w:r>
          </w:p>
        </w:tc>
      </w:tr>
    </w:tbl>
    <w:p>
      <w:pPr>
        <w:spacing w:after="80"/>
      </w:pPr>
    </w:p>
    <w:p>
      <w:r>
        <w:t xml:space="preserve">Esta separación importa para el capítulo 10. Cuando se quiera que el archivo viva en SharePoint, </w:t>
      </w:r>
      <w:r>
        <w:rPr>
          <w:b/>
        </w:rPr>
        <w:t>solo cambia la parte 2</w:t>
      </w:r>
      <w:r>
        <w:t>. Las partes 1 y 3 se quedan como están.</w:t>
      </w:r>
    </w:p>
    <w:p>
      <w:r>
        <w:br w:type="page"/>
      </w:r>
    </w:p>
    <w:p>
      <w:pPr>
        <w:spacing w:before="0" w:after="200"/>
        <w:pBdr>
          <w:bottom w:val="single" w:sz="6" w:space="4" w:color="D8DEE4"/>
        </w:pBdr>
      </w:pPr>
      <w:r>
        <w:rPr>
          <w:b/>
          <w:color w:val="C01B22"/>
          <w:sz w:val="40"/>
        </w:rPr>
        <w:t>4. Cómo salen los datos de GLPI</w:t>
      </w:r>
    </w:p>
    <w:p>
      <w:pPr>
        <w:spacing w:before="280" w:after="100"/>
      </w:pPr>
      <w:r>
        <w:rPr>
          <w:b/>
          <w:color w:val="1A1A1A"/>
          <w:sz w:val="27"/>
        </w:rPr>
        <w:t>Qué es una API, sin tecnicismos</w:t>
      </w:r>
    </w:p>
    <w:p>
      <w:r>
        <w:t>Cuando una persona entra a GLPI, ve una página web con menús, botones y tablas. Toda esa presentación existe para que un humano la entienda.</w:t>
      </w:r>
    </w:p>
    <w:p>
      <w:r>
        <w:t xml:space="preserve">Pero GLPI también tiene una </w:t>
      </w:r>
      <w:r>
        <w:rPr>
          <w:b/>
        </w:rPr>
        <w:t>segunda puerta</w:t>
      </w:r>
      <w:r>
        <w:t xml:space="preserve">, pensada para que otros programas le pidan información. No devuelve una página bonita: devuelve los datos pelados. Esa puerta se llama </w:t>
      </w:r>
      <w:r>
        <w:rPr>
          <w:b/>
        </w:rPr>
        <w:t>API</w:t>
      </w:r>
      <w:r>
        <w:t>.</w:t>
      </w:r>
    </w:p>
    <w:p>
      <w:pPr>
        <w:spacing w:before="180" w:after="40"/>
        <w:ind w:left="170"/>
        <w:shd w:val="clear" w:color="auto" w:fill="FFF4E5"/>
        <w:pBdr>
          <w:left w:val="single" w:sz="18" w:space="8" w:color="E8A33D"/>
        </w:pBdr>
      </w:pPr>
      <w:r>
        <w:rPr>
          <w:b/>
          <w:sz w:val="21"/>
        </w:rPr>
        <w:t>La analogía</w:t>
      </w:r>
    </w:p>
    <w:p>
      <w:pPr>
        <w:spacing w:after="200"/>
        <w:ind w:left="170"/>
        <w:shd w:val="clear" w:color="auto" w:fill="FFF4E5"/>
        <w:pBdr>
          <w:left w:val="single" w:sz="18" w:space="8" w:color="E8A33D"/>
        </w:pBdr>
      </w:pPr>
      <w:r>
        <w:rPr>
          <w:sz w:val="21"/>
        </w:rPr>
        <w:t>La página web es el mostrador de atención al público: hay carteles, filas y formularios. La API es el teléfono directo con el almacén: llamas, pides «los casos de Acción Fiduciaria», y te los dictan. Mucho más rápido, y no depende de dónde estén colocados los carteles.</w:t>
      </w:r>
    </w:p>
    <w:p>
      <w:pPr>
        <w:spacing w:before="200" w:after="60"/>
      </w:pPr>
      <w:r>
        <w:rPr>
          <w:b/>
          <w:color w:val="C01B22"/>
          <w:sz w:val="23"/>
        </w:rPr>
        <w:t>Lo que se comprobó</w:t>
      </w:r>
    </w:p>
    <w:p>
      <w:r>
        <w:t xml:space="preserve">Esa puerta </w:t>
      </w:r>
      <w:r>
        <w:rPr>
          <w:b/>
        </w:rPr>
        <w:t>está abierta en el GLPI de SETI</w:t>
      </w:r>
      <w:r>
        <w:t xml:space="preserve"> y funciona con las credenciales normales. Se verificó contra la instalación real: responde y entrega los datos. Esto era la gran incógnita del proyecto, porque se daba por hecho que habría que pedir permisos especiales a la administradora de GLPI. No hizo falta.</w:t>
      </w:r>
    </w:p>
    <w:p>
      <w:pPr>
        <w:spacing w:before="280" w:after="100"/>
      </w:pPr>
      <w:r>
        <w:rPr>
          <w:b/>
          <w:color w:val="1A1A1A"/>
          <w:sz w:val="27"/>
        </w:rPr>
        <w:t>Los cinco pasos que da el programa</w:t>
      </w:r>
    </w:p>
    <w:p>
      <w:pPr>
        <w:spacing w:after="40"/>
        <w:ind w:left="113"/>
      </w:pPr>
      <w:r>
        <w:rPr>
          <w:b/>
          <w:color w:val="C01B22"/>
        </w:rPr>
        <w:t xml:space="preserve">1.  </w:t>
      </w:r>
      <w:r>
        <w:rPr>
          <w:b/>
        </w:rPr>
        <w:t>Se presenta</w:t>
      </w:r>
    </w:p>
    <w:p>
      <w:pPr>
        <w:spacing w:after="140"/>
        <w:ind w:left="482"/>
      </w:pPr>
      <w:r>
        <w:t>Manda usuario y contraseña a GLPI, igual que haría una persona al iniciar sesión.</w:t>
      </w:r>
    </w:p>
    <w:p>
      <w:pPr>
        <w:spacing w:after="40"/>
        <w:ind w:left="113"/>
      </w:pPr>
      <w:r>
        <w:rPr>
          <w:b/>
          <w:color w:val="C01B22"/>
        </w:rPr>
        <w:t xml:space="preserve">2.  </w:t>
      </w:r>
      <w:r>
        <w:rPr>
          <w:b/>
        </w:rPr>
        <w:t>Recibe un pase</w:t>
      </w:r>
    </w:p>
    <w:p>
      <w:pPr>
        <w:spacing w:after="140"/>
        <w:ind w:left="482"/>
      </w:pPr>
      <w:r>
        <w:t>GLPI le devuelve un código temporal de sesión. Es como el ticket que te dan al entrar a un edificio.</w:t>
      </w:r>
    </w:p>
    <w:p>
      <w:pPr>
        <w:spacing w:after="40"/>
        <w:ind w:left="113"/>
      </w:pPr>
      <w:r>
        <w:rPr>
          <w:b/>
          <w:color w:val="C01B22"/>
        </w:rPr>
        <w:t xml:space="preserve">3.  </w:t>
      </w:r>
      <w:r>
        <w:rPr>
          <w:b/>
        </w:rPr>
        <w:t>Se coloca bien</w:t>
      </w:r>
    </w:p>
    <w:p>
      <w:pPr>
        <w:spacing w:after="140"/>
        <w:ind w:left="482"/>
      </w:pPr>
      <w:r>
        <w:t>Ajusta el perfil y las entidades visibles, para ver exactamente los mismos casos que vería la persona que lo hace a mano.</w:t>
      </w:r>
    </w:p>
    <w:p>
      <w:pPr>
        <w:spacing w:after="40"/>
        <w:ind w:left="113"/>
      </w:pPr>
      <w:r>
        <w:rPr>
          <w:b/>
          <w:color w:val="C01B22"/>
        </w:rPr>
        <w:t xml:space="preserve">4.  </w:t>
      </w:r>
      <w:r>
        <w:rPr>
          <w:b/>
        </w:rPr>
        <w:t>Pide los casos</w:t>
      </w:r>
    </w:p>
    <w:p>
      <w:pPr>
        <w:spacing w:after="140"/>
        <w:ind w:left="482"/>
      </w:pPr>
      <w:r>
        <w:t>«Dame los casos de la entidad ACCION FIDUCIARIA, con estas doce columnas.» GLPI responde por tandas de doscientos hasta agotarlos.</w:t>
      </w:r>
    </w:p>
    <w:p>
      <w:pPr>
        <w:spacing w:after="40"/>
        <w:ind w:left="113"/>
      </w:pPr>
      <w:r>
        <w:rPr>
          <w:b/>
          <w:color w:val="C01B22"/>
        </w:rPr>
        <w:t xml:space="preserve">5.  </w:t>
      </w:r>
      <w:r>
        <w:rPr>
          <w:b/>
        </w:rPr>
        <w:t>Cierra la sesión</w:t>
      </w:r>
    </w:p>
    <w:p>
      <w:pPr>
        <w:spacing w:after="140"/>
        <w:ind w:left="482"/>
      </w:pPr>
      <w:r>
        <w:t>Devuelve el pase. Es higiene: evita dejar sesiones abiertas acumulándose en el servidor.</w:t>
      </w:r>
    </w:p>
    <w:p>
      <w:r>
        <w:t>En total, unos ocho segundos.</w:t>
      </w:r>
    </w:p>
    <w:p>
      <w:pPr>
        <w:spacing w:before="280" w:after="100"/>
      </w:pPr>
      <w:r>
        <w:rPr>
          <w:b/>
          <w:color w:val="1A1A1A"/>
          <w:sz w:val="27"/>
        </w:rPr>
        <w:t>Por qué esto NO es un robot, y por qué importa</w:t>
      </w:r>
    </w:p>
    <w:p>
      <w:r>
        <w:t xml:space="preserve">Existe otra forma de automatizar: un programa que abre un navegador de verdad, busca el botón «Exportar» en la pantalla y le hace clic. Eso es lo que se suele llamar </w:t>
      </w:r>
      <w:r>
        <w:rPr>
          <w:b/>
        </w:rPr>
        <w:t>RPA</w:t>
      </w:r>
      <w:r>
        <w:t xml:space="preserve"> o «robot». Se descartó, y conviene saber por qué:</w:t>
      </w:r>
    </w:p>
    <w:tbl>
      <w:tblPr>
        <w:tblStyle w:val="TableGrid"/>
        <w:tblW w:type="auto" w:w="0"/>
        <w:jc w:val="center"/>
        <w:tblLayout w:type="fixed"/>
        <w:tblLook w:firstColumn="1" w:firstRow="1" w:lastColumn="0" w:lastRow="0" w:noHBand="0" w:noVBand="1" w:val="04A0"/>
      </w:tblPr>
      <w:tblGrid>
        <w:gridCol w:w="3173"/>
        <w:gridCol w:w="3173"/>
        <w:gridCol w:w="3173"/>
      </w:tblGrid>
      <w:tr>
        <w:trPr>
          <w:tblHeader/>
          <w:cantSplit/>
        </w:trPr>
        <w:tc>
          <w:tcPr>
            <w:tcW w:type="dxa" w:w="1814"/>
            <w:shd w:val="clear" w:color="auto" w:fill="C01B22"/>
          </w:tcPr>
          <w:p>
            <w:pPr>
              <w:spacing w:after="40" w:before="40"/>
            </w:pPr>
            <w:r>
              <w:rPr>
                <w:b/>
                <w:color w:val="FFFFFF"/>
                <w:sz w:val="20"/>
              </w:rPr>
            </w:r>
          </w:p>
        </w:tc>
        <w:tc>
          <w:tcPr>
            <w:tcW w:type="dxa" w:w="3742"/>
            <w:shd w:val="clear" w:color="auto" w:fill="C01B22"/>
          </w:tcPr>
          <w:p>
            <w:pPr>
              <w:spacing w:after="40" w:before="40"/>
            </w:pPr>
            <w:r>
              <w:rPr>
                <w:b/>
                <w:color w:val="FFFFFF"/>
                <w:sz w:val="20"/>
              </w:rPr>
              <w:t>Robot que hace clic</w:t>
            </w:r>
          </w:p>
        </w:tc>
        <w:tc>
          <w:tcPr>
            <w:tcW w:type="dxa" w:w="3969"/>
            <w:shd w:val="clear" w:color="auto" w:fill="C01B22"/>
          </w:tcPr>
          <w:p>
            <w:pPr>
              <w:spacing w:after="40" w:before="40"/>
            </w:pPr>
            <w:r>
              <w:rPr>
                <w:b/>
                <w:color w:val="FFFFFF"/>
                <w:sz w:val="20"/>
              </w:rPr>
              <w:t>Lo que se hizo (API)</w:t>
            </w:r>
          </w:p>
        </w:tc>
      </w:tr>
      <w:tr>
        <w:trPr>
          <w:cantSplit/>
        </w:trPr>
        <w:tc>
          <w:tcPr>
            <w:tcW w:type="dxa" w:w="1814"/>
          </w:tcPr>
          <w:p>
            <w:pPr>
              <w:spacing w:after="40" w:before="40"/>
            </w:pPr>
            <w:r>
              <w:rPr>
                <w:sz w:val="20"/>
              </w:rPr>
              <w:t>Cómo trabaja</w:t>
            </w:r>
          </w:p>
        </w:tc>
        <w:tc>
          <w:tcPr>
            <w:tcW w:type="dxa" w:w="3742"/>
          </w:tcPr>
          <w:p>
            <w:pPr>
              <w:spacing w:after="40" w:before="40"/>
            </w:pPr>
            <w:r>
              <w:rPr>
                <w:sz w:val="20"/>
              </w:rPr>
              <w:t>Abre un navegador y busca botones en la pantalla</w:t>
            </w:r>
          </w:p>
        </w:tc>
        <w:tc>
          <w:tcPr>
            <w:tcW w:type="dxa" w:w="3969"/>
          </w:tcPr>
          <w:p>
            <w:pPr>
              <w:spacing w:after="40" w:before="40"/>
            </w:pPr>
            <w:r>
              <w:rPr>
                <w:sz w:val="20"/>
              </w:rPr>
              <w:t>Pide los datos por el canal oficial</w:t>
            </w:r>
          </w:p>
        </w:tc>
      </w:tr>
      <w:tr>
        <w:trPr>
          <w:cantSplit/>
        </w:trPr>
        <w:tc>
          <w:tcPr>
            <w:tcW w:type="dxa" w:w="1814"/>
            <w:shd w:val="clear" w:color="auto" w:fill="F4F6F8"/>
          </w:tcPr>
          <w:p>
            <w:pPr>
              <w:spacing w:after="40" w:before="40"/>
            </w:pPr>
            <w:r>
              <w:rPr>
                <w:sz w:val="20"/>
              </w:rPr>
              <w:t>Si GLPI cambia de diseño</w:t>
            </w:r>
          </w:p>
        </w:tc>
        <w:tc>
          <w:tcPr>
            <w:tcW w:type="dxa" w:w="3742"/>
            <w:shd w:val="clear" w:color="auto" w:fill="F4F6F8"/>
          </w:tcPr>
          <w:p>
            <w:pPr>
              <w:spacing w:after="40" w:before="40"/>
            </w:pPr>
            <w:r>
              <w:rPr>
                <w:b/>
                <w:sz w:val="20"/>
              </w:rPr>
              <w:t>Se rompe.</w:t>
            </w:r>
            <w:r>
              <w:rPr>
                <w:sz w:val="20"/>
              </w:rPr>
              <w:t xml:space="preserve"> Hay que arreglarlo cada vez</w:t>
            </w:r>
          </w:p>
        </w:tc>
        <w:tc>
          <w:tcPr>
            <w:tcW w:type="dxa" w:w="3969"/>
            <w:shd w:val="clear" w:color="auto" w:fill="F4F6F8"/>
          </w:tcPr>
          <w:p>
            <w:pPr>
              <w:spacing w:after="40" w:before="40"/>
            </w:pPr>
            <w:r>
              <w:rPr>
                <w:sz w:val="20"/>
              </w:rPr>
              <w:t>No le afecta: los botones cambian, los datos no</w:t>
            </w:r>
          </w:p>
        </w:tc>
      </w:tr>
      <w:tr>
        <w:trPr>
          <w:cantSplit/>
        </w:trPr>
        <w:tc>
          <w:tcPr>
            <w:tcW w:type="dxa" w:w="1814"/>
          </w:tcPr>
          <w:p>
            <w:pPr>
              <w:spacing w:after="40" w:before="40"/>
            </w:pPr>
            <w:r>
              <w:rPr>
                <w:sz w:val="20"/>
              </w:rPr>
              <w:t>Tiempo</w:t>
            </w:r>
          </w:p>
        </w:tc>
        <w:tc>
          <w:tcPr>
            <w:tcW w:type="dxa" w:w="3742"/>
          </w:tcPr>
          <w:p>
            <w:pPr>
              <w:spacing w:after="40" w:before="40"/>
            </w:pPr>
            <w:r>
              <w:rPr>
                <w:sz w:val="20"/>
              </w:rPr>
              <w:t>Un par de minutos</w:t>
            </w:r>
          </w:p>
        </w:tc>
        <w:tc>
          <w:tcPr>
            <w:tcW w:type="dxa" w:w="3969"/>
          </w:tcPr>
          <w:p>
            <w:pPr>
              <w:spacing w:after="40" w:before="40"/>
            </w:pPr>
            <w:r>
              <w:rPr>
                <w:sz w:val="20"/>
              </w:rPr>
              <w:t>Unos ocho segundos</w:t>
            </w:r>
          </w:p>
        </w:tc>
      </w:tr>
      <w:tr>
        <w:trPr>
          <w:cantSplit/>
        </w:trPr>
        <w:tc>
          <w:tcPr>
            <w:tcW w:type="dxa" w:w="1814"/>
            <w:shd w:val="clear" w:color="auto" w:fill="F4F6F8"/>
          </w:tcPr>
          <w:p>
            <w:pPr>
              <w:spacing w:after="40" w:before="40"/>
            </w:pPr>
            <w:r>
              <w:rPr>
                <w:sz w:val="20"/>
              </w:rPr>
              <w:t>Necesita pantalla</w:t>
            </w:r>
          </w:p>
        </w:tc>
        <w:tc>
          <w:tcPr>
            <w:tcW w:type="dxa" w:w="3742"/>
            <w:shd w:val="clear" w:color="auto" w:fill="F4F6F8"/>
          </w:tcPr>
          <w:p>
            <w:pPr>
              <w:spacing w:after="40" w:before="40"/>
            </w:pPr>
            <w:r>
              <w:rPr>
                <w:sz w:val="20"/>
              </w:rPr>
              <w:t>Sí. Una sesión de Windows abierta</w:t>
            </w:r>
          </w:p>
        </w:tc>
        <w:tc>
          <w:tcPr>
            <w:tcW w:type="dxa" w:w="3969"/>
            <w:shd w:val="clear" w:color="auto" w:fill="F4F6F8"/>
          </w:tcPr>
          <w:p>
            <w:pPr>
              <w:spacing w:after="40" w:before="40"/>
            </w:pPr>
            <w:r>
              <w:rPr>
                <w:sz w:val="20"/>
              </w:rPr>
              <w:t>No. Corre en un servidor sin monitor</w:t>
            </w:r>
          </w:p>
        </w:tc>
      </w:tr>
      <w:tr>
        <w:trPr>
          <w:cantSplit/>
        </w:trPr>
        <w:tc>
          <w:tcPr>
            <w:tcW w:type="dxa" w:w="1814"/>
          </w:tcPr>
          <w:p>
            <w:pPr>
              <w:spacing w:after="40" w:before="40"/>
            </w:pPr>
            <w:r>
              <w:rPr>
                <w:sz w:val="20"/>
              </w:rPr>
              <w:t>Mantenimiento</w:t>
            </w:r>
          </w:p>
        </w:tc>
        <w:tc>
          <w:tcPr>
            <w:tcW w:type="dxa" w:w="3742"/>
          </w:tcPr>
          <w:p>
            <w:pPr>
              <w:spacing w:after="40" w:before="40"/>
            </w:pPr>
            <w:r>
              <w:rPr>
                <w:sz w:val="20"/>
              </w:rPr>
              <w:t>Continuo</w:t>
            </w:r>
          </w:p>
        </w:tc>
        <w:tc>
          <w:tcPr>
            <w:tcW w:type="dxa" w:w="3969"/>
          </w:tcPr>
          <w:p>
            <w:pPr>
              <w:spacing w:after="40" w:before="40"/>
            </w:pPr>
            <w:r>
              <w:rPr>
                <w:sz w:val="20"/>
              </w:rPr>
              <w:t>Prácticamente ninguno</w:t>
            </w:r>
          </w:p>
        </w:tc>
      </w:tr>
    </w:tbl>
    <w:p>
      <w:pPr>
        <w:spacing w:after="80"/>
      </w:pPr>
    </w:p>
    <w:p>
      <w:pPr>
        <w:spacing w:before="280" w:after="100"/>
      </w:pPr>
      <w:r>
        <w:rPr>
          <w:b/>
          <w:color w:val="1A1A1A"/>
          <w:sz w:val="27"/>
        </w:rPr>
        <w:t>Qué columnas trae, y por qué esas</w:t>
      </w:r>
    </w:p>
    <w:p>
      <w:r>
        <w:t>El informe necesita cuatro columnas obligatorias. Sin cualquiera de ellas, rechaza el archivo en vez de calcular con datos incompletos:</w:t>
      </w:r>
    </w:p>
    <w:tbl>
      <w:tblPr>
        <w:tblStyle w:val="TableGrid"/>
        <w:tblW w:type="auto" w:w="0"/>
        <w:jc w:val="center"/>
        <w:tblLayout w:type="fixed"/>
        <w:tblLook w:firstColumn="1" w:firstRow="1" w:lastColumn="0" w:lastRow="0" w:noHBand="0" w:noVBand="1" w:val="04A0"/>
      </w:tblPr>
      <w:tblGrid>
        <w:gridCol w:w="4759"/>
        <w:gridCol w:w="4759"/>
      </w:tblGrid>
      <w:tr>
        <w:trPr>
          <w:tblHeader/>
          <w:cantSplit/>
        </w:trPr>
        <w:tc>
          <w:tcPr>
            <w:tcW w:type="dxa" w:w="3515"/>
            <w:shd w:val="clear" w:color="auto" w:fill="C01B22"/>
          </w:tcPr>
          <w:p>
            <w:pPr>
              <w:spacing w:after="40" w:before="40"/>
            </w:pPr>
            <w:r>
              <w:rPr>
                <w:b/>
                <w:color w:val="FFFFFF"/>
                <w:sz w:val="20"/>
              </w:rPr>
              <w:t>Columna</w:t>
            </w:r>
          </w:p>
        </w:tc>
        <w:tc>
          <w:tcPr>
            <w:tcW w:type="dxa" w:w="6004"/>
            <w:shd w:val="clear" w:color="auto" w:fill="C01B22"/>
          </w:tcPr>
          <w:p>
            <w:pPr>
              <w:spacing w:after="40" w:before="40"/>
            </w:pPr>
            <w:r>
              <w:rPr>
                <w:b/>
                <w:color w:val="FFFFFF"/>
                <w:sz w:val="20"/>
              </w:rPr>
              <w:t>Para qué se usa</w:t>
            </w:r>
          </w:p>
        </w:tc>
      </w:tr>
      <w:tr>
        <w:trPr>
          <w:cantSplit/>
        </w:trPr>
        <w:tc>
          <w:tcPr>
            <w:tcW w:type="dxa" w:w="3515"/>
          </w:tcPr>
          <w:p>
            <w:pPr>
              <w:spacing w:after="40" w:before="40"/>
            </w:pPr>
            <w:r>
              <w:rPr>
                <w:sz w:val="20"/>
              </w:rPr>
              <w:t>Entidad</w:t>
            </w:r>
          </w:p>
        </w:tc>
        <w:tc>
          <w:tcPr>
            <w:tcW w:type="dxa" w:w="6004"/>
          </w:tcPr>
          <w:p>
            <w:pPr>
              <w:spacing w:after="40" w:before="40"/>
            </w:pPr>
            <w:r>
              <w:rPr>
                <w:sz w:val="20"/>
              </w:rPr>
              <w:t>Separar los casos de Acción Fiduciaria de los de otros clientes</w:t>
            </w:r>
          </w:p>
        </w:tc>
      </w:tr>
      <w:tr>
        <w:trPr>
          <w:cantSplit/>
        </w:trPr>
        <w:tc>
          <w:tcPr>
            <w:tcW w:type="dxa" w:w="3515"/>
            <w:shd w:val="clear" w:color="auto" w:fill="F4F6F8"/>
          </w:tcPr>
          <w:p>
            <w:pPr>
              <w:spacing w:after="40" w:before="40"/>
            </w:pPr>
            <w:r>
              <w:rPr>
                <w:sz w:val="20"/>
              </w:rPr>
              <w:t>Fecha de apertura</w:t>
            </w:r>
          </w:p>
        </w:tc>
        <w:tc>
          <w:tcPr>
            <w:tcW w:type="dxa" w:w="6004"/>
            <w:shd w:val="clear" w:color="auto" w:fill="F4F6F8"/>
          </w:tcPr>
          <w:p>
            <w:pPr>
              <w:spacing w:after="40" w:before="40"/>
            </w:pPr>
            <w:r>
              <w:rPr>
                <w:sz w:val="20"/>
              </w:rPr>
              <w:t>Decidir a qué mes pertenece cada caso</w:t>
            </w:r>
          </w:p>
        </w:tc>
      </w:tr>
      <w:tr>
        <w:trPr>
          <w:cantSplit/>
        </w:trPr>
        <w:tc>
          <w:tcPr>
            <w:tcW w:type="dxa" w:w="3515"/>
          </w:tcPr>
          <w:p>
            <w:pPr>
              <w:spacing w:after="40" w:before="40"/>
            </w:pPr>
            <w:r>
              <w:rPr>
                <w:sz w:val="20"/>
              </w:rPr>
              <w:t>Categoría</w:t>
            </w:r>
          </w:p>
        </w:tc>
        <w:tc>
          <w:tcPr>
            <w:tcW w:type="dxa" w:w="6004"/>
          </w:tcPr>
          <w:p>
            <w:pPr>
              <w:spacing w:after="40" w:before="40"/>
            </w:pPr>
            <w:r>
              <w:rPr>
                <w:sz w:val="20"/>
              </w:rPr>
              <w:t>Distinguir un requerimiento de un incidente</w:t>
            </w:r>
          </w:p>
        </w:tc>
      </w:tr>
      <w:tr>
        <w:trPr>
          <w:cantSplit/>
        </w:trPr>
        <w:tc>
          <w:tcPr>
            <w:tcW w:type="dxa" w:w="3515"/>
            <w:shd w:val="clear" w:color="auto" w:fill="F4F6F8"/>
          </w:tcPr>
          <w:p>
            <w:pPr>
              <w:spacing w:after="40" w:before="40"/>
            </w:pPr>
            <w:r>
              <w:rPr>
                <w:sz w:val="20"/>
              </w:rPr>
              <w:t>Tiempo para resolver excedido</w:t>
            </w:r>
          </w:p>
        </w:tc>
        <w:tc>
          <w:tcPr>
            <w:tcW w:type="dxa" w:w="6004"/>
            <w:shd w:val="clear" w:color="auto" w:fill="F4F6F8"/>
          </w:tcPr>
          <w:p>
            <w:pPr>
              <w:spacing w:after="40" w:before="40"/>
            </w:pPr>
            <w:r>
              <w:rPr>
                <w:sz w:val="20"/>
              </w:rPr>
              <w:t>Calcular el cumplimiento del acuerdo de servicio (SLA)</w:t>
            </w:r>
          </w:p>
        </w:tc>
      </w:tr>
    </w:tbl>
    <w:p>
      <w:pPr>
        <w:spacing w:after="80"/>
      </w:pPr>
    </w:p>
    <w:p>
      <w:r>
        <w:rPr>
          <w:color w:val="555F6B"/>
        </w:rPr>
        <w:t>Se traen ocho columnas más (número de caso, título, estado, prioridad, fechas de resolución…) para que el archivo automático se pueda comparar columna por columna con el que se bajaba a mano. Esa comparación es la prueba de que ambos dicen lo mismo.</w:t>
      </w:r>
    </w:p>
    <w:p>
      <w:pPr>
        <w:spacing w:before="180" w:after="40"/>
        <w:ind w:left="170"/>
        <w:shd w:val="clear" w:color="auto" w:fill="FFF4E5"/>
        <w:pBdr>
          <w:left w:val="single" w:sz="18" w:space="8" w:color="E8A33D"/>
        </w:pBdr>
      </w:pPr>
      <w:r>
        <w:rPr>
          <w:b/>
          <w:sz w:val="21"/>
        </w:rPr>
        <w:t>Un detalle pequeño del que dependen muchas cifras</w:t>
      </w:r>
    </w:p>
    <w:p>
      <w:pPr>
        <w:spacing w:after="200"/>
        <w:ind w:left="170"/>
        <w:shd w:val="clear" w:color="auto" w:fill="FFF4E5"/>
        <w:pBdr>
          <w:left w:val="single" w:sz="18" w:space="8" w:color="E8A33D"/>
        </w:pBdr>
      </w:pPr>
      <w:r>
        <w:rPr>
          <w:sz w:val="21"/>
        </w:rPr>
        <w:t xml:space="preserve">GLPI agrupa los casos en carpetas, como </w:t>
      </w:r>
      <w:r>
        <w:rPr>
          <w:rFonts w:ascii="Consolas" w:hAnsi="Consolas"/>
          <w:sz w:val="21"/>
        </w:rPr>
        <w:t>INCIDENTES &gt; Revisión Alerta</w:t>
      </w:r>
      <w:r>
        <w:rPr>
          <w:sz w:val="21"/>
        </w:rPr>
        <w:t xml:space="preserve">. Ese segundo nivel, después del símbolo </w:t>
      </w:r>
      <w:r>
        <w:rPr>
          <w:rFonts w:ascii="Consolas" w:hAnsi="Consolas"/>
          <w:sz w:val="21"/>
        </w:rPr>
        <w:t>&gt;</w:t>
      </w:r>
      <w:r>
        <w:rPr>
          <w:sz w:val="21"/>
        </w:rPr>
        <w:t>, es lo único que distingue un ticket que el propio sistema de monitoreo generó solo, de una falla real reportada por el cliente. El informe excluye los primeros del conteo de incidentes atribuibles a SETI. Si ese símbolo llegara mal escrito, se contarían cientos de revisiones automáticas como fallas del servicio. Está comprobado que llega bien, y el programa avisa si algún día dejara de hacerlo.</w:t>
      </w:r>
    </w:p>
    <w:p>
      <w:r>
        <w:br w:type="page"/>
      </w:r>
    </w:p>
    <w:p>
      <w:pPr>
        <w:spacing w:before="0" w:after="200"/>
        <w:pBdr>
          <w:bottom w:val="single" w:sz="6" w:space="4" w:color="D8DEE4"/>
        </w:pBdr>
      </w:pPr>
      <w:r>
        <w:rPr>
          <w:b/>
          <w:color w:val="C01B22"/>
          <w:sz w:val="40"/>
        </w:rPr>
        <w:t>5. Los dos archivos que se generan</w:t>
      </w:r>
    </w:p>
    <w:p>
      <w:r>
        <w:t>Cada ejecución produce dos archivos. Sirven para cosas distintas.</w:t>
      </w:r>
    </w:p>
    <w:p>
      <w:pPr>
        <w:spacing w:before="280" w:after="100"/>
      </w:pPr>
      <w:r>
        <w:rPr>
          <w:b/>
          <w:color w:val="1A1A1A"/>
          <w:sz w:val="27"/>
        </w:rPr>
        <w:t>1. El CSV — para archivo y auditoría</w:t>
      </w:r>
    </w:p>
    <w:p>
      <w:pPr>
        <w:spacing w:after="180" w:before="180" w:line="240" w:lineRule="auto"/>
        <w:ind w:left="227"/>
        <w:shd w:val="clear" w:color="auto" w:fill="DDE9E9E9"/>
        <w:pBdr>
          <w:left w:val="single" w:sz="18" w:space="8" w:color="C01B22"/>
        </w:pBdr>
      </w:pPr>
      <w:r>
        <w:rPr>
          <w:rFonts w:ascii="Consolas" w:hAnsi="Consolas"/>
          <w:sz w:val="18"/>
        </w:rPr>
        <w:t>automatizacion\salida\glpi-2026-06.csv</w:t>
      </w:r>
    </w:p>
    <w:p>
      <w:r>
        <w:t xml:space="preserve">Un </w:t>
      </w:r>
      <w:r>
        <w:rPr>
          <w:b/>
        </w:rPr>
        <w:t>CSV</w:t>
      </w:r>
      <w:r>
        <w:t xml:space="preserve"> es una tabla guardada como texto plano, donde cada línea es una fila y las columnas van separadas por un símbolo. Se abre con Excel y se lee como cualquier hoja de cálculo.</w:t>
      </w:r>
    </w:p>
    <w:p>
      <w:r>
        <w:t>Es el equivalente exacto del archivo que antes se bajaba a mano. Sirve para guardarlo como respaldo, para revisarlo, y para poder demostrar de dónde salió cada cifra.</w:t>
      </w:r>
    </w:p>
    <w:p>
      <w:pPr>
        <w:spacing w:before="180" w:after="40"/>
        <w:ind w:left="170"/>
        <w:shd w:val="clear" w:color="auto" w:fill="FFF4E5"/>
        <w:pBdr>
          <w:left w:val="single" w:sz="18" w:space="8" w:color="E8A33D"/>
        </w:pBdr>
      </w:pPr>
      <w:r>
        <w:rPr>
          <w:b/>
          <w:sz w:val="21"/>
        </w:rPr>
        <w:t>Cuidado con el nombre del archivo</w:t>
      </w:r>
    </w:p>
    <w:p>
      <w:pPr>
        <w:spacing w:after="200"/>
        <w:ind w:left="170"/>
        <w:shd w:val="clear" w:color="auto" w:fill="FFF4E5"/>
        <w:pBdr>
          <w:left w:val="single" w:sz="18" w:space="8" w:color="E8A33D"/>
        </w:pBdr>
      </w:pPr>
      <w:r>
        <w:rPr>
          <w:rFonts w:ascii="Consolas" w:hAnsi="Consolas"/>
          <w:sz w:val="21"/>
        </w:rPr>
        <w:t>glpi-2026-06.csv</w:t>
      </w:r>
      <w:r>
        <w:rPr>
          <w:sz w:val="21"/>
        </w:rPr>
        <w:t xml:space="preserve"> significa «insumo </w:t>
      </w:r>
      <w:r>
        <w:rPr>
          <w:b/>
          <w:sz w:val="21"/>
        </w:rPr>
        <w:t>para el informe de</w:t>
      </w:r>
      <w:r>
        <w:rPr>
          <w:sz w:val="21"/>
        </w:rPr>
        <w:t xml:space="preserve"> junio», no «casos de junio». Por defecto el archivo lleva dentro el histórico completo —los 1.103 casos de la entidad desde 2023— y es el informe quien recorta el mes. Lo que manda es el mes declarado dentro del segundo archivo.</w:t>
      </w:r>
    </w:p>
    <w:p>
      <w:pPr>
        <w:spacing w:before="280" w:after="100"/>
      </w:pPr>
      <w:r>
        <w:rPr>
          <w:b/>
          <w:color w:val="1A1A1A"/>
          <w:sz w:val="27"/>
        </w:rPr>
        <w:t>2. El insumo del informe — lo que el informe lee</w:t>
      </w:r>
    </w:p>
    <w:p>
      <w:pPr>
        <w:spacing w:after="180" w:before="180" w:line="240" w:lineRule="auto"/>
        <w:ind w:left="227"/>
        <w:shd w:val="clear" w:color="auto" w:fill="DDE9E9E9"/>
        <w:pBdr>
          <w:left w:val="single" w:sz="18" w:space="8" w:color="C01B22"/>
        </w:pBdr>
      </w:pPr>
      <w:r>
        <w:rPr>
          <w:rFonts w:ascii="Consolas" w:hAnsi="Consolas"/>
          <w:sz w:val="18"/>
        </w:rPr>
        <w:t>automatizacion\salida\insumos-af.js</w:t>
      </w:r>
    </w:p>
    <w:p>
      <w:r>
        <w:t>Este es el archivo que hace la magia. Por dentro es algo así:</w:t>
      </w:r>
    </w:p>
    <w:p>
      <w:pPr>
        <w:spacing w:after="0" w:before="180" w:line="240" w:lineRule="auto"/>
        <w:ind w:left="227"/>
        <w:shd w:val="clear" w:color="auto" w:fill="DDE9E9E9"/>
        <w:pBdr>
          <w:left w:val="single" w:sz="18" w:space="8" w:color="C01B22"/>
        </w:pBdr>
      </w:pPr>
      <w:r>
        <w:rPr>
          <w:rFonts w:ascii="Consolas" w:hAnsi="Consolas"/>
          <w:sz w:val="18"/>
        </w:rPr>
        <w:t>window.__INSUMOS__ = {</w:t>
      </w:r>
    </w:p>
    <w:p>
      <w:pPr>
        <w:spacing w:after="0" w:before="0" w:line="240" w:lineRule="auto"/>
        <w:ind w:left="227"/>
        <w:shd w:val="clear" w:color="auto" w:fill="DDE9E9E9"/>
        <w:pBdr>
          <w:left w:val="single" w:sz="18" w:space="8" w:color="C01B22"/>
        </w:pBdr>
      </w:pPr>
      <w:r>
        <w:rPr>
          <w:rFonts w:ascii="Consolas" w:hAnsi="Consolas"/>
          <w:sz w:val="18"/>
        </w:rPr>
        <w:t xml:space="preserve">  "generado":  "2026-07-24 08:54",</w:t>
      </w:r>
    </w:p>
    <w:p>
      <w:pPr>
        <w:spacing w:after="0" w:before="0" w:line="240" w:lineRule="auto"/>
        <w:ind w:left="227"/>
        <w:shd w:val="clear" w:color="auto" w:fill="DDE9E9E9"/>
        <w:pBdr>
          <w:left w:val="single" w:sz="18" w:space="8" w:color="C01B22"/>
        </w:pBdr>
      </w:pPr>
      <w:r>
        <w:rPr>
          <w:rFonts w:ascii="Consolas" w:hAnsi="Consolas"/>
          <w:sz w:val="18"/>
        </w:rPr>
        <w:t xml:space="preserve">  "periodo":   { "mes": 5, "anio": 2026 },      &lt;- junio</w:t>
      </w:r>
    </w:p>
    <w:p>
      <w:pPr>
        <w:spacing w:after="0" w:before="0" w:line="240" w:lineRule="auto"/>
        <w:ind w:left="227"/>
        <w:shd w:val="clear" w:color="auto" w:fill="DDE9E9E9"/>
        <w:pBdr>
          <w:left w:val="single" w:sz="18" w:space="8" w:color="C01B22"/>
        </w:pBdr>
      </w:pPr>
      <w:r>
        <w:rPr>
          <w:rFonts w:ascii="Consolas" w:hAnsi="Consolas"/>
          <w:sz w:val="18"/>
        </w:rPr>
        <w:t xml:space="preserve">  "archivos": {</w:t>
      </w:r>
    </w:p>
    <w:p>
      <w:pPr>
        <w:spacing w:after="0" w:before="0" w:line="240" w:lineRule="auto"/>
        <w:ind w:left="227"/>
        <w:shd w:val="clear" w:color="auto" w:fill="DDE9E9E9"/>
        <w:pBdr>
          <w:left w:val="single" w:sz="18" w:space="8" w:color="C01B22"/>
        </w:pBdr>
      </w:pPr>
      <w:r>
        <w:rPr>
          <w:rFonts w:ascii="Consolas" w:hAnsi="Consolas"/>
          <w:sz w:val="18"/>
        </w:rPr>
        <w:t xml:space="preserve">    "glpi": {</w:t>
      </w:r>
    </w:p>
    <w:p>
      <w:pPr>
        <w:spacing w:after="0" w:before="0" w:line="240" w:lineRule="auto"/>
        <w:ind w:left="227"/>
        <w:shd w:val="clear" w:color="auto" w:fill="DDE9E9E9"/>
        <w:pBdr>
          <w:left w:val="single" w:sz="18" w:space="8" w:color="C01B22"/>
        </w:pBdr>
      </w:pPr>
      <w:r>
        <w:rPr>
          <w:rFonts w:ascii="Consolas" w:hAnsi="Consolas"/>
          <w:sz w:val="18"/>
        </w:rPr>
        <w:t xml:space="preserve">      "nombre":    "glpi-2026-06.csv",</w:t>
      </w:r>
    </w:p>
    <w:p>
      <w:pPr>
        <w:spacing w:after="0" w:before="0" w:line="240" w:lineRule="auto"/>
        <w:ind w:left="227"/>
        <w:shd w:val="clear" w:color="auto" w:fill="DDE9E9E9"/>
        <w:pBdr>
          <w:left w:val="single" w:sz="18" w:space="8" w:color="C01B22"/>
        </w:pBdr>
      </w:pPr>
      <w:r>
        <w:rPr>
          <w:rFonts w:ascii="Consolas" w:hAnsi="Consolas"/>
          <w:sz w:val="18"/>
        </w:rPr>
        <w:t xml:space="preserve">      "sha256":    "585249fde8a66423...",       &lt;- la huella</w:t>
      </w:r>
    </w:p>
    <w:p>
      <w:pPr>
        <w:spacing w:after="0" w:before="0" w:line="240" w:lineRule="auto"/>
        <w:ind w:left="227"/>
        <w:shd w:val="clear" w:color="auto" w:fill="DDE9E9E9"/>
        <w:pBdr>
          <w:left w:val="single" w:sz="18" w:space="8" w:color="C01B22"/>
        </w:pBdr>
      </w:pPr>
      <w:r>
        <w:rPr>
          <w:rFonts w:ascii="Consolas" w:hAnsi="Consolas"/>
          <w:sz w:val="18"/>
        </w:rPr>
        <w:t xml:space="preserve">      "contenido": "SUQ7VMOtdHVsbztFbnRpZGFk..."  &lt;- el CSV entero</w:t>
      </w:r>
    </w:p>
    <w:p>
      <w:pPr>
        <w:spacing w:after="0" w:before="0" w:line="240" w:lineRule="auto"/>
        <w:ind w:left="227"/>
        <w:shd w:val="clear" w:color="auto" w:fill="DDE9E9E9"/>
        <w:pBdr>
          <w:left w:val="single" w:sz="18" w:space="8" w:color="C01B22"/>
        </w:pBdr>
      </w:pPr>
      <w:r>
        <w:rPr>
          <w:rFonts w:ascii="Consolas" w:hAnsi="Consolas"/>
          <w:sz w:val="18"/>
        </w:rPr>
        <w:t xml:space="preserve">    }</w:t>
      </w:r>
    </w:p>
    <w:p>
      <w:pPr>
        <w:spacing w:after="0" w:before="0" w:line="240" w:lineRule="auto"/>
        <w:ind w:left="227"/>
        <w:shd w:val="clear" w:color="auto" w:fill="DDE9E9E9"/>
        <w:pBdr>
          <w:left w:val="single" w:sz="18" w:space="8" w:color="C01B22"/>
        </w:pBdr>
      </w:pPr>
      <w:r>
        <w:rPr>
          <w:rFonts w:ascii="Consolas" w:hAnsi="Consolas"/>
          <w:sz w:val="18"/>
        </w:rPr>
        <w:t xml:space="preserve">  }</w:t>
      </w:r>
    </w:p>
    <w:p>
      <w:pPr>
        <w:spacing w:after="180" w:before="0" w:line="240" w:lineRule="auto"/>
        <w:ind w:left="227"/>
        <w:shd w:val="clear" w:color="auto" w:fill="DDE9E9E9"/>
        <w:pBdr>
          <w:left w:val="single" w:sz="18" w:space="8" w:color="C01B22"/>
        </w:pBdr>
      </w:pPr>
      <w:r>
        <w:rPr>
          <w:rFonts w:ascii="Consolas" w:hAnsi="Consolas"/>
          <w:sz w:val="18"/>
        </w:rPr>
        <w:t>};</w:t>
      </w:r>
    </w:p>
    <w:p>
      <w:r>
        <w:t>Tiene cuatro datos:</w:t>
      </w:r>
    </w:p>
    <w:p>
      <w:pPr>
        <w:pStyle w:val="ListBullet"/>
        <w:spacing w:after="60"/>
        <w:ind w:left="397"/>
      </w:pPr>
      <w:r>
        <w:rPr>
          <w:b/>
        </w:rPr>
        <w:t>Cuándo se generó.</w:t>
      </w:r>
      <w:r>
        <w:t xml:space="preserve"> Para que se pueda ver de un vistazo si es de hoy o de hace un mes.</w:t>
      </w:r>
    </w:p>
    <w:p>
      <w:pPr>
        <w:pStyle w:val="ListBullet"/>
        <w:spacing w:after="60"/>
        <w:ind w:left="397"/>
      </w:pPr>
      <w:r>
        <w:rPr>
          <w:b/>
        </w:rPr>
        <w:t>De qué mes es.</w:t>
      </w:r>
      <w:r>
        <w:t xml:space="preserve"> El informe se ajusta a este mes al abrirse. Por eso no hay que tocar nada.</w:t>
      </w:r>
    </w:p>
    <w:p>
      <w:pPr>
        <w:pStyle w:val="ListBullet"/>
        <w:spacing w:after="60"/>
        <w:ind w:left="397"/>
      </w:pPr>
      <w:r>
        <w:rPr>
          <w:b/>
        </w:rPr>
        <w:t>La huella del contenido.</w:t>
      </w:r>
      <w:r>
        <w:t xml:space="preserve"> Se explica en el capítulo siguiente.</w:t>
      </w:r>
    </w:p>
    <w:p>
      <w:pPr>
        <w:pStyle w:val="ListBullet"/>
        <w:spacing w:after="60"/>
        <w:ind w:left="397"/>
      </w:pPr>
      <w:r>
        <w:rPr>
          <w:b/>
        </w:rPr>
        <w:t>El CSV entero, metido dentro.</w:t>
      </w:r>
      <w:r>
        <w:t xml:space="preserve"> Convertido a un formato de solo letras y números llamado </w:t>
      </w:r>
      <w:r>
        <w:rPr>
          <w:b/>
        </w:rPr>
        <w:t>base64</w:t>
      </w:r>
      <w:r>
        <w:t>, que sirve para meter un archivo dentro de otro sin que los acentos, los saltos de línea o los puntos y comas rompan nada. No está cifrado ni escondido: es el mismo contenido, escrito de otra manera.</w:t>
      </w:r>
    </w:p>
    <w:p>
      <w:r>
        <w:br w:type="page"/>
      </w:r>
    </w:p>
    <w:p>
      <w:pPr>
        <w:spacing w:before="0" w:after="200"/>
        <w:pBdr>
          <w:bottom w:val="single" w:sz="6" w:space="4" w:color="D8DEE4"/>
        </w:pBdr>
      </w:pPr>
      <w:r>
        <w:rPr>
          <w:b/>
          <w:color w:val="C01B22"/>
          <w:sz w:val="40"/>
        </w:rPr>
        <w:t>6. Cómo el informe lee el archivo solo</w:t>
      </w:r>
    </w:p>
    <w:p>
      <w:r>
        <w:t>Esta es la parte más difícil de explicar y la que más conviene entender, porque explica por qué la idea que parecía más natural —que el informe consulte SharePoint— no se puede hacer.</w:t>
      </w:r>
    </w:p>
    <w:p>
      <w:pPr>
        <w:spacing w:before="280" w:after="100"/>
      </w:pPr>
      <w:r>
        <w:rPr>
          <w:b/>
          <w:color w:val="1A1A1A"/>
          <w:sz w:val="27"/>
        </w:rPr>
        <w:t>El navegador vive en una jaula</w:t>
      </w:r>
    </w:p>
    <w:p>
      <w:r>
        <w:t xml:space="preserve">El informe es un archivo HTML que se abre con doble clic desde el computador. Cuando un navegador abre un archivo así, lo mete en una </w:t>
      </w:r>
      <w:r>
        <w:rPr>
          <w:b/>
        </w:rPr>
        <w:t>jaula de seguridad</w:t>
      </w:r>
      <w:r>
        <w:t>: no le deja pedir nada por internet, ni leer otros archivos del disco.</w:t>
      </w:r>
    </w:p>
    <w:p>
      <w:r>
        <w:t xml:space="preserve">Esto no es un defecto ni algo que falte programar. Es una </w:t>
      </w:r>
      <w:r>
        <w:rPr>
          <w:b/>
        </w:rPr>
        <w:t>protección deliberada</w:t>
      </w:r>
      <w:r>
        <w:t xml:space="preserve"> de Chrome y Edge, y no hay una casilla para desactivarla. Si no existiera, cualquier archivo que abrieras podría ponerse a leer tus documentos y mandarlos a internet.</w:t>
      </w:r>
    </w:p>
    <w:p>
      <w:pPr>
        <w:spacing w:before="180" w:after="40"/>
        <w:ind w:left="170"/>
        <w:shd w:val="clear" w:color="auto" w:fill="FFF4E5"/>
        <w:pBdr>
          <w:left w:val="single" w:sz="18" w:space="8" w:color="E8A33D"/>
        </w:pBdr>
      </w:pPr>
      <w:r>
        <w:rPr>
          <w:b/>
          <w:sz w:val="21"/>
        </w:rPr>
        <w:t>La consecuencia más importante de todo el documento</w:t>
      </w:r>
    </w:p>
    <w:p>
      <w:pPr>
        <w:spacing w:after="200"/>
        <w:ind w:left="170"/>
        <w:shd w:val="clear" w:color="auto" w:fill="FFF4E5"/>
        <w:pBdr>
          <w:left w:val="single" w:sz="18" w:space="8" w:color="E8A33D"/>
        </w:pBdr>
      </w:pPr>
      <w:r>
        <w:rPr>
          <w:sz w:val="21"/>
        </w:rPr>
        <w:t xml:space="preserve">El informe </w:t>
      </w:r>
      <w:r>
        <w:rPr>
          <w:b/>
          <w:sz w:val="21"/>
        </w:rPr>
        <w:t>no puede</w:t>
      </w:r>
      <w:r>
        <w:rPr>
          <w:sz w:val="21"/>
        </w:rPr>
        <w:t xml:space="preserve"> consultar SharePoint, ni ninguna otra dirección de internet, mientras se abra con doble clic desde el computador. No es difícil: es imposible sin cambiar la forma en que se distribuye el informe. Conviene saberlo antes de diseñar nada sobre esa idea.</w:t>
      </w:r>
    </w:p>
    <w:p>
      <w:pPr>
        <w:spacing w:before="280" w:after="100"/>
      </w:pPr>
      <w:r>
        <w:rPr>
          <w:b/>
          <w:color w:val="1A1A1A"/>
          <w:sz w:val="27"/>
        </w:rPr>
        <w:t>Pero hay una puerta abierta</w:t>
      </w:r>
    </w:p>
    <w:p>
      <w:r>
        <w:t>Se comprobó en el navegador qué se puede y qué no, estando el informe abierto desde el disco:</w:t>
      </w:r>
    </w:p>
    <w:tbl>
      <w:tblPr>
        <w:tblStyle w:val="TableGrid"/>
        <w:tblW w:type="auto" w:w="0"/>
        <w:jc w:val="center"/>
        <w:tblLayout w:type="fixed"/>
        <w:tblLook w:firstColumn="1" w:firstRow="1" w:lastColumn="0" w:lastRow="0" w:noHBand="0" w:noVBand="1" w:val="04A0"/>
      </w:tblPr>
      <w:tblGrid>
        <w:gridCol w:w="4759"/>
        <w:gridCol w:w="4759"/>
      </w:tblGrid>
      <w:tr>
        <w:trPr>
          <w:tblHeader/>
          <w:cantSplit/>
        </w:trPr>
        <w:tc>
          <w:tcPr>
            <w:tcW w:type="dxa" w:w="5443"/>
            <w:shd w:val="clear" w:color="auto" w:fill="C01B22"/>
          </w:tcPr>
          <w:p>
            <w:pPr>
              <w:spacing w:after="40" w:before="40"/>
            </w:pPr>
            <w:r>
              <w:rPr>
                <w:b/>
                <w:color w:val="FFFFFF"/>
                <w:sz w:val="20"/>
              </w:rPr>
              <w:t>Lo que se intentó</w:t>
            </w:r>
          </w:p>
        </w:tc>
        <w:tc>
          <w:tcPr>
            <w:tcW w:type="dxa" w:w="4076"/>
            <w:shd w:val="clear" w:color="auto" w:fill="C01B22"/>
          </w:tcPr>
          <w:p>
            <w:pPr>
              <w:spacing w:after="40" w:before="40"/>
            </w:pPr>
            <w:r>
              <w:rPr>
                <w:b/>
                <w:color w:val="FFFFFF"/>
                <w:sz w:val="20"/>
              </w:rPr>
              <w:t>Resultado</w:t>
            </w:r>
          </w:p>
        </w:tc>
      </w:tr>
      <w:tr>
        <w:trPr>
          <w:cantSplit/>
        </w:trPr>
        <w:tc>
          <w:tcPr>
            <w:tcW w:type="dxa" w:w="5443"/>
          </w:tcPr>
          <w:p>
            <w:pPr>
              <w:spacing w:after="40" w:before="40"/>
            </w:pPr>
            <w:r>
              <w:rPr>
                <w:sz w:val="20"/>
              </w:rPr>
              <w:t>Pedir un archivo vecino por internet (</w:t>
            </w:r>
            <w:r>
              <w:rPr>
                <w:rFonts w:ascii="Consolas" w:hAnsi="Consolas"/>
                <w:sz w:val="20"/>
              </w:rPr>
              <w:t>fetch</w:t>
            </w:r>
            <w:r>
              <w:rPr>
                <w:sz w:val="20"/>
              </w:rPr>
              <w:t>)</w:t>
            </w:r>
          </w:p>
        </w:tc>
        <w:tc>
          <w:tcPr>
            <w:tcW w:type="dxa" w:w="4076"/>
          </w:tcPr>
          <w:p>
            <w:pPr>
              <w:spacing w:after="40" w:before="40"/>
            </w:pPr>
            <w:r>
              <w:rPr>
                <w:b/>
                <w:sz w:val="20"/>
              </w:rPr>
              <w:t>Bloqueado</w:t>
            </w:r>
          </w:p>
        </w:tc>
      </w:tr>
      <w:tr>
        <w:trPr>
          <w:cantSplit/>
        </w:trPr>
        <w:tc>
          <w:tcPr>
            <w:tcW w:type="dxa" w:w="5443"/>
            <w:shd w:val="clear" w:color="auto" w:fill="F4F6F8"/>
          </w:tcPr>
          <w:p>
            <w:pPr>
              <w:spacing w:after="40" w:before="40"/>
            </w:pPr>
            <w:r>
              <w:rPr>
                <w:sz w:val="20"/>
              </w:rPr>
              <w:t>Consultar SharePoint</w:t>
            </w:r>
          </w:p>
        </w:tc>
        <w:tc>
          <w:tcPr>
            <w:tcW w:type="dxa" w:w="4076"/>
            <w:shd w:val="clear" w:color="auto" w:fill="F4F6F8"/>
          </w:tcPr>
          <w:p>
            <w:pPr>
              <w:spacing w:after="40" w:before="40"/>
            </w:pPr>
            <w:r>
              <w:rPr>
                <w:b/>
                <w:sz w:val="20"/>
              </w:rPr>
              <w:t>Bloqueado</w:t>
            </w:r>
          </w:p>
        </w:tc>
      </w:tr>
      <w:tr>
        <w:trPr>
          <w:cantSplit/>
        </w:trPr>
        <w:tc>
          <w:tcPr>
            <w:tcW w:type="dxa" w:w="5443"/>
          </w:tcPr>
          <w:p>
            <w:pPr>
              <w:spacing w:after="40" w:before="40"/>
            </w:pPr>
            <w:r>
              <w:rPr>
                <w:sz w:val="20"/>
              </w:rPr>
              <w:t>Pedir permiso para leer una carpeta</w:t>
            </w:r>
          </w:p>
        </w:tc>
        <w:tc>
          <w:tcPr>
            <w:tcW w:type="dxa" w:w="4076"/>
          </w:tcPr>
          <w:p>
            <w:pPr>
              <w:spacing w:after="40" w:before="40"/>
            </w:pPr>
            <w:r>
              <w:rPr>
                <w:b/>
                <w:sz w:val="20"/>
              </w:rPr>
              <w:t>Bloqueado</w:t>
            </w:r>
          </w:p>
        </w:tc>
      </w:tr>
      <w:tr>
        <w:trPr>
          <w:cantSplit/>
        </w:trPr>
        <w:tc>
          <w:tcPr>
            <w:tcW w:type="dxa" w:w="5443"/>
            <w:shd w:val="clear" w:color="auto" w:fill="F4F6F8"/>
          </w:tcPr>
          <w:p>
            <w:pPr>
              <w:spacing w:after="40" w:before="40"/>
            </w:pPr>
            <w:r>
              <w:rPr>
                <w:sz w:val="20"/>
              </w:rPr>
              <w:t xml:space="preserve">Cargar un archivo </w:t>
            </w:r>
            <w:r>
              <w:rPr>
                <w:rFonts w:ascii="Consolas" w:hAnsi="Consolas"/>
                <w:sz w:val="20"/>
              </w:rPr>
              <w:t>.js</w:t>
            </w:r>
            <w:r>
              <w:rPr>
                <w:sz w:val="20"/>
              </w:rPr>
              <w:t xml:space="preserve"> que está al lado</w:t>
            </w:r>
          </w:p>
        </w:tc>
        <w:tc>
          <w:tcPr>
            <w:tcW w:type="dxa" w:w="4076"/>
            <w:shd w:val="clear" w:color="auto" w:fill="F4F6F8"/>
          </w:tcPr>
          <w:p>
            <w:pPr>
              <w:spacing w:after="40" w:before="40"/>
            </w:pPr>
            <w:r>
              <w:rPr>
                <w:b/>
                <w:sz w:val="20"/>
              </w:rPr>
              <w:t>Funciona</w:t>
            </w:r>
          </w:p>
        </w:tc>
      </w:tr>
    </w:tbl>
    <w:p>
      <w:pPr>
        <w:spacing w:after="80"/>
      </w:pPr>
    </w:p>
    <w:p>
      <w:r>
        <w:t xml:space="preserve">Esa última línea es toda la solución. El informe no puede </w:t>
      </w:r>
      <w:r>
        <w:rPr>
          <w:b/>
        </w:rPr>
        <w:t>ir a buscar</w:t>
      </w:r>
      <w:r>
        <w:t xml:space="preserve"> un archivo, pero sí puede tener uno </w:t>
      </w:r>
      <w:r>
        <w:rPr>
          <w:b/>
        </w:rPr>
        <w:t>al lado que se carga solo</w:t>
      </w:r>
      <w:r>
        <w:t xml:space="preserve"> al abrirse. Por eso el insumo es un archivo </w:t>
      </w:r>
      <w:r>
        <w:rPr>
          <w:rFonts w:ascii="Consolas" w:hAnsi="Consolas"/>
          <w:sz w:val="19"/>
        </w:rPr>
        <w:t>.js</w:t>
      </w:r>
      <w:r>
        <w:t xml:space="preserve"> y no un </w:t>
      </w:r>
      <w:r>
        <w:rPr>
          <w:rFonts w:ascii="Consolas" w:hAnsi="Consolas"/>
          <w:sz w:val="19"/>
        </w:rPr>
        <w:t>.json</w:t>
      </w:r>
      <w:r>
        <w:t xml:space="preserve"> o un </w:t>
      </w:r>
      <w:r>
        <w:rPr>
          <w:rFonts w:ascii="Consolas" w:hAnsi="Consolas"/>
          <w:sz w:val="19"/>
        </w:rPr>
        <w:t>.csv</w:t>
      </w:r>
      <w:r>
        <w:t xml:space="preserve"> suelto: es la única puerta que quedaba abierta sin montar un servidor.</w:t>
      </w:r>
    </w:p>
    <w:p>
      <w:pPr>
        <w:spacing w:before="280" w:after="100"/>
      </w:pPr>
      <w:r>
        <w:rPr>
          <w:b/>
          <w:color w:val="1A1A1A"/>
          <w:sz w:val="27"/>
        </w:rPr>
        <w:t>Qué hace el informe al abrirse</w:t>
      </w:r>
    </w:p>
    <w:p>
      <w:pPr>
        <w:spacing w:after="60"/>
        <w:ind w:left="539" w:hanging="340"/>
      </w:pPr>
      <w:r>
        <w:rPr>
          <w:b/>
          <w:color w:val="C01B22"/>
        </w:rPr>
        <w:t xml:space="preserve">1.  </w:t>
      </w:r>
      <w:r>
        <w:t xml:space="preserve">Busca si hay un archivo </w:t>
      </w:r>
      <w:r>
        <w:rPr>
          <w:rFonts w:ascii="Consolas" w:hAnsi="Consolas"/>
          <w:sz w:val="19"/>
        </w:rPr>
        <w:t>insumos-af.js</w:t>
      </w:r>
      <w:r>
        <w:t xml:space="preserve"> a su lado.</w:t>
      </w:r>
    </w:p>
    <w:p>
      <w:pPr>
        <w:spacing w:after="60"/>
        <w:ind w:left="539" w:hanging="340"/>
      </w:pPr>
      <w:r>
        <w:rPr>
          <w:b/>
          <w:color w:val="C01B22"/>
        </w:rPr>
        <w:t xml:space="preserve">2.  </w:t>
      </w:r>
      <w:r>
        <w:t>Si no lo hay, no pasa nada: el centro de carga funciona como siempre y tú cargas los archivos a mano.</w:t>
      </w:r>
    </w:p>
    <w:p>
      <w:pPr>
        <w:spacing w:after="60"/>
        <w:ind w:left="539" w:hanging="340"/>
      </w:pPr>
      <w:r>
        <w:rPr>
          <w:b/>
          <w:color w:val="C01B22"/>
        </w:rPr>
        <w:t xml:space="preserve">3.  </w:t>
      </w:r>
      <w:r>
        <w:t>Si lo hay, comprueba que tenga la forma esperada, que declare un mes válido, y que la huella del contenido coincida.</w:t>
      </w:r>
    </w:p>
    <w:p>
      <w:pPr>
        <w:spacing w:after="60"/>
        <w:ind w:left="539" w:hanging="340"/>
      </w:pPr>
      <w:r>
        <w:rPr>
          <w:b/>
          <w:color w:val="C01B22"/>
        </w:rPr>
        <w:t xml:space="preserve">4.  </w:t>
      </w:r>
      <w:r>
        <w:t>Si todo cuadra, ajusta el mes del informe y mete el archivo en el mismo sitio donde caería si tú lo hubieras arrastrado.</w:t>
      </w:r>
    </w:p>
    <w:p>
      <w:pPr>
        <w:spacing w:after="60"/>
        <w:ind w:left="539" w:hanging="340"/>
      </w:pPr>
      <w:r>
        <w:rPr>
          <w:b/>
          <w:color w:val="C01B22"/>
        </w:rPr>
        <w:t xml:space="preserve">5.  </w:t>
      </w:r>
      <w:r>
        <w:t xml:space="preserve">A partir de ahí es </w:t>
      </w:r>
      <w:r>
        <w:rPr>
          <w:b/>
        </w:rPr>
        <w:t>indistinguible de un archivo cargado a mano</w:t>
      </w:r>
      <w:r>
        <w:t>: se valida igual, se guarda igual, deja el mismo rastro.</w:t>
      </w:r>
    </w:p>
    <w:p>
      <w:pPr>
        <w:spacing w:before="180" w:after="40"/>
        <w:ind w:left="170"/>
        <w:shd w:val="clear" w:color="auto" w:fill="EAF5EC"/>
        <w:pBdr>
          <w:left w:val="single" w:sz="18" w:space="8" w:color="5B9E68"/>
        </w:pBdr>
      </w:pPr>
      <w:r>
        <w:rPr>
          <w:b/>
          <w:sz w:val="21"/>
        </w:rPr>
        <w:t>Por qué esto es elegante y no un parche</w:t>
      </w:r>
    </w:p>
    <w:p>
      <w:pPr>
        <w:spacing w:after="200"/>
        <w:ind w:left="170"/>
        <w:shd w:val="clear" w:color="auto" w:fill="EAF5EC"/>
        <w:pBdr>
          <w:left w:val="single" w:sz="18" w:space="8" w:color="5B9E68"/>
        </w:pBdr>
      </w:pPr>
      <w:r>
        <w:rPr>
          <w:sz w:val="21"/>
        </w:rPr>
        <w:t xml:space="preserve">El archivo automático entra por la misma puerta que uno arrastrado a mano. No hay dos caminos que mantener, ni riesgo de que uno funcione y el otro no. Y si tú arrastras un archivo, </w:t>
      </w:r>
      <w:r>
        <w:rPr>
          <w:b/>
          <w:sz w:val="21"/>
        </w:rPr>
        <w:t>el tuyo siempre gana</w:t>
      </w:r>
      <w:r>
        <w:rPr>
          <w:sz w:val="21"/>
        </w:rPr>
        <w:t>.</w:t>
      </w:r>
    </w:p>
    <w:p>
      <w:pPr>
        <w:spacing w:before="280" w:after="100"/>
      </w:pPr>
      <w:r>
        <w:rPr>
          <w:b/>
          <w:color w:val="1A1A1A"/>
          <w:sz w:val="27"/>
        </w:rPr>
        <w:t>La huella: qué protege y qué no</w:t>
      </w:r>
    </w:p>
    <w:p>
      <w:r>
        <w:t xml:space="preserve">Una </w:t>
      </w:r>
      <w:r>
        <w:rPr>
          <w:b/>
        </w:rPr>
        <w:t>huella</w:t>
      </w:r>
      <w:r>
        <w:t xml:space="preserve"> (su nombre técnico es SHA-256) es un código que se calcula a partir del contenido de un archivo. Si cambias un solo carácter, la huella cambia por completo. Funciona como una huella dactilar del archivo.</w:t>
      </w:r>
    </w:p>
    <w:p>
      <w:r>
        <w:t>El programa calcula la huella al generar el insumo y la escribe dentro. El informe la vuelve a calcular al abrirlo y compara. Si no coinciden, rechaza el archivo y avisa:</w:t>
      </w:r>
    </w:p>
    <w:p>
      <w:pPr>
        <w:spacing w:after="0" w:before="180" w:line="240" w:lineRule="auto"/>
        <w:ind w:left="227"/>
        <w:shd w:val="clear" w:color="auto" w:fill="DDE9E9E9"/>
        <w:pBdr>
          <w:left w:val="single" w:sz="18" w:space="8" w:color="C01B22"/>
        </w:pBdr>
      </w:pPr>
      <w:r>
        <w:rPr>
          <w:rFonts w:ascii="Consolas" w:hAnsi="Consolas"/>
          <w:sz w:val="18"/>
        </w:rPr>
        <w:t>No se usó el insumo automático (insumos-af.js): la huella del</w:t>
      </w:r>
    </w:p>
    <w:p>
      <w:pPr>
        <w:spacing w:after="180" w:before="0" w:line="240" w:lineRule="auto"/>
        <w:ind w:left="227"/>
        <w:shd w:val="clear" w:color="auto" w:fill="DDE9E9E9"/>
        <w:pBdr>
          <w:left w:val="single" w:sz="18" w:space="8" w:color="C01B22"/>
        </w:pBdr>
      </w:pPr>
      <w:r>
        <w:rPr>
          <w:rFonts w:ascii="Consolas" w:hAnsi="Consolas"/>
          <w:sz w:val="18"/>
        </w:rPr>
        <w:t>contenido no coincide con la declarada. Carga los archivos a mano.</w:t>
      </w:r>
    </w:p>
    <w:p>
      <w:r>
        <w:t>Está comprobado: se alteró un solo carácter y el informe lo rechazó y se quedó en modo manual.</w:t>
      </w:r>
    </w:p>
    <w:p>
      <w:pPr>
        <w:spacing w:before="180" w:after="40"/>
        <w:ind w:left="170"/>
        <w:shd w:val="clear" w:color="auto" w:fill="FFF4E5"/>
        <w:pBdr>
          <w:left w:val="single" w:sz="18" w:space="8" w:color="E8A33D"/>
        </w:pBdr>
      </w:pPr>
      <w:r>
        <w:rPr>
          <w:b/>
          <w:sz w:val="21"/>
        </w:rPr>
        <w:t>Lo que la huella NO protege — dicho claramente</w:t>
      </w:r>
    </w:p>
    <w:p>
      <w:pPr>
        <w:spacing w:after="200"/>
        <w:ind w:left="170"/>
        <w:shd w:val="clear" w:color="auto" w:fill="FFF4E5"/>
        <w:pBdr>
          <w:left w:val="single" w:sz="18" w:space="8" w:color="E8A33D"/>
        </w:pBdr>
      </w:pPr>
      <w:r>
        <w:rPr>
          <w:sz w:val="21"/>
        </w:rPr>
        <w:t xml:space="preserve">La huella garantiza que </w:t>
      </w:r>
      <w:r>
        <w:rPr>
          <w:b/>
          <w:sz w:val="21"/>
        </w:rPr>
        <w:t>los datos no cambiaron</w:t>
      </w:r>
      <w:r>
        <w:rPr>
          <w:sz w:val="21"/>
        </w:rPr>
        <w:t xml:space="preserve">. No protege contra código malicioso. El insumo es un archivo que el informe ejecuta al abrirse; quien pueda escribir en esa carpeta podría poner ahí cualquier cosa. La protección de verdad son los </w:t>
      </w:r>
      <w:r>
        <w:rPr>
          <w:b/>
          <w:sz w:val="21"/>
        </w:rPr>
        <w:t>permisos de la carpeta</w:t>
      </w:r>
      <w:r>
        <w:rPr>
          <w:sz w:val="21"/>
        </w:rPr>
        <w:t>, no la huella. Esto importa mucho para el capítulo 10: si el archivo pasa a vivir en SharePoint, hay que controlar quién puede escribir en esa biblioteca.</w:t>
      </w:r>
    </w:p>
    <w:p>
      <w:r>
        <w:br w:type="page"/>
      </w:r>
    </w:p>
    <w:p>
      <w:pPr>
        <w:spacing w:before="0" w:after="200"/>
        <w:pBdr>
          <w:bottom w:val="single" w:sz="6" w:space="4" w:color="D8DEE4"/>
        </w:pBdr>
      </w:pPr>
      <w:r>
        <w:rPr>
          <w:b/>
          <w:color w:val="C01B22"/>
          <w:sz w:val="40"/>
        </w:rPr>
        <w:t>7. Qué pasa cuando algo sale mal</w:t>
      </w:r>
    </w:p>
    <w:p>
      <w:pPr>
        <w:spacing w:before="280" w:after="100"/>
      </w:pPr>
      <w:r>
        <w:rPr>
          <w:b/>
          <w:color w:val="1A1A1A"/>
          <w:sz w:val="27"/>
        </w:rPr>
        <w:t>Los códigos de salida</w:t>
      </w:r>
    </w:p>
    <w:p>
      <w:r>
        <w:t>Al terminar, el programa deja un número que dice cómo fue. Hoy solo sirve para informarte, pero será esencial cuando esto se ejecute solo de madrugada: es lo que permitirá mandar una alerta.</w:t>
      </w:r>
    </w:p>
    <w:tbl>
      <w:tblPr>
        <w:tblStyle w:val="TableGrid"/>
        <w:tblW w:type="auto" w:w="0"/>
        <w:jc w:val="center"/>
        <w:tblLayout w:type="fixed"/>
        <w:tblLook w:firstColumn="1" w:firstRow="1" w:lastColumn="0" w:lastRow="0" w:noHBand="0" w:noVBand="1" w:val="04A0"/>
      </w:tblPr>
      <w:tblGrid>
        <w:gridCol w:w="3173"/>
        <w:gridCol w:w="3173"/>
        <w:gridCol w:w="3173"/>
      </w:tblGrid>
      <w:tr>
        <w:trPr>
          <w:tblHeader/>
          <w:cantSplit/>
        </w:trPr>
        <w:tc>
          <w:tcPr>
            <w:tcW w:type="dxa" w:w="1247"/>
            <w:shd w:val="clear" w:color="auto" w:fill="C01B22"/>
          </w:tcPr>
          <w:p>
            <w:pPr>
              <w:spacing w:after="40" w:before="40"/>
            </w:pPr>
            <w:r>
              <w:rPr>
                <w:b/>
                <w:color w:val="FFFFFF"/>
                <w:sz w:val="20"/>
              </w:rPr>
              <w:t>Código</w:t>
            </w:r>
          </w:p>
        </w:tc>
        <w:tc>
          <w:tcPr>
            <w:tcW w:type="dxa" w:w="4535"/>
            <w:shd w:val="clear" w:color="auto" w:fill="C01B22"/>
          </w:tcPr>
          <w:p>
            <w:pPr>
              <w:spacing w:after="40" w:before="40"/>
            </w:pPr>
            <w:r>
              <w:rPr>
                <w:b/>
                <w:color w:val="FFFFFF"/>
                <w:sz w:val="20"/>
              </w:rPr>
              <w:t>Qué significa</w:t>
            </w:r>
          </w:p>
        </w:tc>
        <w:tc>
          <w:tcPr>
            <w:tcW w:type="dxa" w:w="3736"/>
            <w:shd w:val="clear" w:color="auto" w:fill="C01B22"/>
          </w:tcPr>
          <w:p>
            <w:pPr>
              <w:spacing w:after="40" w:before="40"/>
            </w:pPr>
            <w:r>
              <w:rPr>
                <w:b/>
                <w:color w:val="FFFFFF"/>
                <w:sz w:val="20"/>
              </w:rPr>
              <w:t>Qué hace el programa</w:t>
            </w:r>
          </w:p>
        </w:tc>
      </w:tr>
      <w:tr>
        <w:trPr>
          <w:cantSplit/>
        </w:trPr>
        <w:tc>
          <w:tcPr>
            <w:tcW w:type="dxa" w:w="1247"/>
          </w:tcPr>
          <w:p>
            <w:pPr>
              <w:spacing w:after="40" w:before="40"/>
            </w:pPr>
            <w:r>
              <w:rPr>
                <w:b/>
                <w:sz w:val="20"/>
              </w:rPr>
              <w:t>0</w:t>
            </w:r>
          </w:p>
        </w:tc>
        <w:tc>
          <w:tcPr>
            <w:tcW w:type="dxa" w:w="4535"/>
          </w:tcPr>
          <w:p>
            <w:pPr>
              <w:spacing w:after="40" w:before="40"/>
            </w:pPr>
            <w:r>
              <w:rPr>
                <w:sz w:val="20"/>
              </w:rPr>
              <w:t>Todo bien</w:t>
            </w:r>
          </w:p>
        </w:tc>
        <w:tc>
          <w:tcPr>
            <w:tcW w:type="dxa" w:w="3736"/>
          </w:tcPr>
          <w:p>
            <w:pPr>
              <w:spacing w:after="40" w:before="40"/>
            </w:pPr>
            <w:r>
              <w:rPr>
                <w:sz w:val="20"/>
              </w:rPr>
              <w:t>Publica el insumo y abre el informe</w:t>
            </w:r>
          </w:p>
        </w:tc>
      </w:tr>
      <w:tr>
        <w:trPr>
          <w:cantSplit/>
        </w:trPr>
        <w:tc>
          <w:tcPr>
            <w:tcW w:type="dxa" w:w="1247"/>
            <w:shd w:val="clear" w:color="auto" w:fill="F4F6F8"/>
          </w:tcPr>
          <w:p>
            <w:pPr>
              <w:spacing w:after="40" w:before="40"/>
            </w:pPr>
            <w:r>
              <w:rPr>
                <w:b/>
                <w:sz w:val="20"/>
              </w:rPr>
              <w:t>1</w:t>
            </w:r>
          </w:p>
        </w:tc>
        <w:tc>
          <w:tcPr>
            <w:tcW w:type="dxa" w:w="4535"/>
            <w:shd w:val="clear" w:color="auto" w:fill="F4F6F8"/>
          </w:tcPr>
          <w:p>
            <w:pPr>
              <w:spacing w:after="40" w:before="40"/>
            </w:pPr>
            <w:r>
              <w:rPr>
                <w:sz w:val="20"/>
              </w:rPr>
              <w:t>No se pudo hablar con GLPI, o rechazó la petición</w:t>
            </w:r>
          </w:p>
        </w:tc>
        <w:tc>
          <w:tcPr>
            <w:tcW w:type="dxa" w:w="3736"/>
            <w:shd w:val="clear" w:color="auto" w:fill="F4F6F8"/>
          </w:tcPr>
          <w:p>
            <w:pPr>
              <w:spacing w:after="40" w:before="40"/>
            </w:pPr>
            <w:r>
              <w:rPr>
                <w:sz w:val="20"/>
              </w:rPr>
              <w:t>No genera nada</w:t>
            </w:r>
          </w:p>
        </w:tc>
      </w:tr>
      <w:tr>
        <w:trPr>
          <w:cantSplit/>
        </w:trPr>
        <w:tc>
          <w:tcPr>
            <w:tcW w:type="dxa" w:w="1247"/>
          </w:tcPr>
          <w:p>
            <w:pPr>
              <w:spacing w:after="40" w:before="40"/>
            </w:pPr>
            <w:r>
              <w:rPr>
                <w:b/>
                <w:sz w:val="20"/>
              </w:rPr>
              <w:t>2</w:t>
            </w:r>
          </w:p>
        </w:tc>
        <w:tc>
          <w:tcPr>
            <w:tcW w:type="dxa" w:w="4535"/>
          </w:tcPr>
          <w:p>
            <w:pPr>
              <w:spacing w:after="40" w:before="40"/>
            </w:pPr>
            <w:r>
              <w:rPr>
                <w:sz w:val="20"/>
              </w:rPr>
              <w:t>Faltan las credenciales, o falta Python</w:t>
            </w:r>
          </w:p>
        </w:tc>
        <w:tc>
          <w:tcPr>
            <w:tcW w:type="dxa" w:w="3736"/>
          </w:tcPr>
          <w:p>
            <w:pPr>
              <w:spacing w:after="40" w:before="40"/>
            </w:pPr>
            <w:r>
              <w:rPr>
                <w:sz w:val="20"/>
              </w:rPr>
              <w:t>No genera nada</w:t>
            </w:r>
          </w:p>
        </w:tc>
      </w:tr>
      <w:tr>
        <w:trPr>
          <w:cantSplit/>
        </w:trPr>
        <w:tc>
          <w:tcPr>
            <w:tcW w:type="dxa" w:w="1247"/>
            <w:shd w:val="clear" w:color="auto" w:fill="F4F6F8"/>
          </w:tcPr>
          <w:p>
            <w:pPr>
              <w:spacing w:after="40" w:before="40"/>
            </w:pPr>
            <w:r>
              <w:rPr>
                <w:b/>
                <w:sz w:val="20"/>
              </w:rPr>
              <w:t>3</w:t>
            </w:r>
          </w:p>
        </w:tc>
        <w:tc>
          <w:tcPr>
            <w:tcW w:type="dxa" w:w="4535"/>
            <w:shd w:val="clear" w:color="auto" w:fill="F4F6F8"/>
          </w:tcPr>
          <w:p>
            <w:pPr>
              <w:spacing w:after="40" w:before="40"/>
            </w:pPr>
            <w:r>
              <w:rPr>
                <w:sz w:val="20"/>
              </w:rPr>
              <w:t>Publicado, pero hay algo que mirar</w:t>
            </w:r>
          </w:p>
        </w:tc>
        <w:tc>
          <w:tcPr>
            <w:tcW w:type="dxa" w:w="3736"/>
            <w:shd w:val="clear" w:color="auto" w:fill="F4F6F8"/>
          </w:tcPr>
          <w:p>
            <w:pPr>
              <w:spacing w:after="40" w:before="40"/>
            </w:pPr>
            <w:r>
              <w:rPr>
                <w:sz w:val="20"/>
              </w:rPr>
              <w:t>Publica igual, con un aviso destacado</w:t>
            </w:r>
          </w:p>
        </w:tc>
      </w:tr>
    </w:tbl>
    <w:p>
      <w:pPr>
        <w:spacing w:after="80"/>
      </w:pPr>
    </w:p>
    <w:p>
      <w:pPr>
        <w:spacing w:before="200" w:after="60"/>
      </w:pPr>
      <w:r>
        <w:rPr>
          <w:b/>
          <w:color w:val="C01B22"/>
          <w:sz w:val="23"/>
        </w:rPr>
        <w:t>Por qué existe el código 3</w:t>
      </w:r>
    </w:p>
    <w:p>
      <w:r>
        <w:t xml:space="preserve">Sin él, una extracción que devuelve </w:t>
      </w:r>
      <w:r>
        <w:rPr>
          <w:b/>
        </w:rPr>
        <w:t>cero casos</w:t>
      </w:r>
      <w:r>
        <w:t xml:space="preserve"> terminaría diciendo «todo bien». Programada de madrugada, el sistema la daría por buena y publicaría un informe que dice «sin registros» sin que nadie se enterara.</w:t>
      </w:r>
    </w:p>
    <w:p>
      <w:r>
        <w:t xml:space="preserve">Ahora mismo lo vas a ver, porque </w:t>
      </w:r>
      <w:r>
        <w:rPr>
          <w:b/>
        </w:rPr>
        <w:t>junio de 2026 no tiene ni un caso</w:t>
      </w:r>
      <w:r>
        <w:t xml:space="preserve"> de Acción Fiduciaria. El programa lo publica igual —así lo decidiste— pero lo dice en pantalla:</w:t>
      </w:r>
    </w:p>
    <w:p>
      <w:pPr>
        <w:spacing w:after="0" w:before="180" w:line="240" w:lineRule="auto"/>
        <w:ind w:left="227"/>
        <w:shd w:val="clear" w:color="auto" w:fill="DDE9E9E9"/>
        <w:pBdr>
          <w:left w:val="single" w:sz="18" w:space="8" w:color="C01B22"/>
        </w:pBdr>
      </w:pPr>
      <w:r>
        <w:rPr>
          <w:rFonts w:ascii="Consolas" w:hAnsi="Consolas"/>
          <w:sz w:val="18"/>
        </w:rPr>
        <w:t xml:space="preserve">  ---------------------------------------------------------------</w:t>
      </w:r>
    </w:p>
    <w:p>
      <w:pPr>
        <w:spacing w:after="0" w:before="0" w:line="240" w:lineRule="auto"/>
        <w:ind w:left="227"/>
        <w:shd w:val="clear" w:color="auto" w:fill="DDE9E9E9"/>
        <w:pBdr>
          <w:left w:val="single" w:sz="18" w:space="8" w:color="C01B22"/>
        </w:pBdr>
      </w:pPr>
      <w:r>
        <w:rPr>
          <w:rFonts w:ascii="Consolas" w:hAnsi="Consolas"/>
          <w:sz w:val="18"/>
        </w:rPr>
        <w:t xml:space="preserve">   ATENCIÓN: se publica con las observaciones de arriba sin</w:t>
      </w:r>
    </w:p>
    <w:p>
      <w:pPr>
        <w:spacing w:after="0" w:before="0" w:line="240" w:lineRule="auto"/>
        <w:ind w:left="227"/>
        <w:shd w:val="clear" w:color="auto" w:fill="DDE9E9E9"/>
        <w:pBdr>
          <w:left w:val="single" w:sz="18" w:space="8" w:color="C01B22"/>
        </w:pBdr>
      </w:pPr>
      <w:r>
        <w:rPr>
          <w:rFonts w:ascii="Consolas" w:hAnsi="Consolas"/>
          <w:sz w:val="18"/>
        </w:rPr>
        <w:t xml:space="preserve">   resolver. Léelas antes de enviar nada al cliente.</w:t>
      </w:r>
    </w:p>
    <w:p>
      <w:pPr>
        <w:spacing w:after="180" w:before="0" w:line="240" w:lineRule="auto"/>
        <w:ind w:left="227"/>
        <w:shd w:val="clear" w:color="auto" w:fill="DDE9E9E9"/>
        <w:pBdr>
          <w:left w:val="single" w:sz="18" w:space="8" w:color="C01B22"/>
        </w:pBdr>
      </w:pPr>
      <w:r>
        <w:rPr>
          <w:rFonts w:ascii="Consolas" w:hAnsi="Consolas"/>
          <w:sz w:val="18"/>
        </w:rPr>
        <w:t xml:space="preserve">  ---------------------------------------------------------------</w:t>
      </w:r>
    </w:p>
    <w:p>
      <w:pPr>
        <w:spacing w:before="280" w:after="100"/>
      </w:pPr>
      <w:r>
        <w:rPr>
          <w:b/>
          <w:color w:val="1A1A1A"/>
          <w:sz w:val="27"/>
        </w:rPr>
        <w:t>El informe tampoco se inventa nada</w:t>
      </w:r>
    </w:p>
    <w:p>
      <w:r>
        <w:t xml:space="preserve">Con cero casos en el mes, el informe </w:t>
      </w:r>
      <w:r>
        <w:rPr>
          <w:b/>
        </w:rPr>
        <w:t>no</w:t>
      </w:r>
      <w:r>
        <w:t xml:space="preserve"> muestra un cumplimiento del 100 %. Un mes sin casos no es un mes perfecto: es un mes sin datos. Se comprobó que la fila del acuerdo de servicio dice «Sin registros en jun-26» en vez de una cifra falsa.</w:t>
      </w:r>
    </w:p>
    <w:p>
      <w:pPr>
        <w:spacing w:before="280" w:after="100"/>
      </w:pPr>
      <w:r>
        <w:rPr>
          <w:b/>
          <w:color w:val="1A1A1A"/>
          <w:sz w:val="27"/>
        </w:rPr>
        <w:t>Si todo lo demás falla</w:t>
      </w:r>
    </w:p>
    <w:p>
      <w:r>
        <w:t xml:space="preserve">Siempre queda el camino de siempre: el CSV ya generado está en la carpeta </w:t>
      </w:r>
      <w:r>
        <w:rPr>
          <w:rFonts w:ascii="Consolas" w:hAnsi="Consolas"/>
          <w:sz w:val="19"/>
        </w:rPr>
        <w:t>salida</w:t>
      </w:r>
      <w:r>
        <w:t xml:space="preserve">, y se puede arrastrar al informe a mano igual que antes. </w:t>
      </w:r>
      <w:r>
        <w:rPr>
          <w:b/>
        </w:rPr>
        <w:t>Esa es la razón de que la carga manual nunca se quitara.</w:t>
      </w:r>
    </w:p>
    <w:p>
      <w:r>
        <w:br w:type="page"/>
      </w:r>
    </w:p>
    <w:p>
      <w:pPr>
        <w:spacing w:before="0" w:after="200"/>
        <w:pBdr>
          <w:bottom w:val="single" w:sz="6" w:space="4" w:color="D8DEE4"/>
        </w:pBdr>
      </w:pPr>
      <w:r>
        <w:rPr>
          <w:b/>
          <w:color w:val="C01B22"/>
          <w:sz w:val="40"/>
        </w:rPr>
        <w:t>8. Los archivos del proyecto</w:t>
      </w:r>
    </w:p>
    <w:tbl>
      <w:tblPr>
        <w:tblStyle w:val="TableGrid"/>
        <w:tblW w:type="auto" w:w="0"/>
        <w:jc w:val="center"/>
        <w:tblLayout w:type="fixed"/>
        <w:tblLook w:firstColumn="1" w:firstRow="1" w:lastColumn="0" w:lastRow="0" w:noHBand="0" w:noVBand="1" w:val="04A0"/>
      </w:tblPr>
      <w:tblGrid>
        <w:gridCol w:w="4759"/>
        <w:gridCol w:w="4759"/>
      </w:tblGrid>
      <w:tr>
        <w:trPr>
          <w:tblHeader/>
          <w:cantSplit/>
        </w:trPr>
        <w:tc>
          <w:tcPr>
            <w:tcW w:type="dxa" w:w="2494"/>
            <w:shd w:val="clear" w:color="auto" w:fill="C01B22"/>
          </w:tcPr>
          <w:p>
            <w:pPr>
              <w:spacing w:after="40" w:before="40"/>
            </w:pPr>
            <w:r>
              <w:rPr>
                <w:b/>
                <w:color w:val="FFFFFF"/>
                <w:sz w:val="20"/>
              </w:rPr>
              <w:t>Archivo</w:t>
            </w:r>
          </w:p>
        </w:tc>
        <w:tc>
          <w:tcPr>
            <w:tcW w:type="dxa" w:w="7024"/>
            <w:shd w:val="clear" w:color="auto" w:fill="C01B22"/>
          </w:tcPr>
          <w:p>
            <w:pPr>
              <w:spacing w:after="40" w:before="40"/>
            </w:pPr>
            <w:r>
              <w:rPr>
                <w:b/>
                <w:color w:val="FFFFFF"/>
                <w:sz w:val="20"/>
              </w:rPr>
              <w:t>Qué es</w:t>
            </w:r>
          </w:p>
        </w:tc>
      </w:tr>
      <w:tr>
        <w:trPr>
          <w:cantSplit/>
        </w:trPr>
        <w:tc>
          <w:tcPr>
            <w:tcW w:type="dxa" w:w="2494"/>
          </w:tcPr>
          <w:p>
            <w:pPr>
              <w:spacing w:after="40" w:before="40"/>
            </w:pPr>
            <w:r>
              <w:rPr>
                <w:rFonts w:ascii="Consolas" w:hAnsi="Consolas"/>
                <w:sz w:val="20"/>
              </w:rPr>
              <w:t>ejecutar.bat</w:t>
            </w:r>
          </w:p>
        </w:tc>
        <w:tc>
          <w:tcPr>
            <w:tcW w:type="dxa" w:w="7024"/>
          </w:tcPr>
          <w:p>
            <w:pPr>
              <w:spacing w:after="40" w:before="40"/>
            </w:pPr>
            <w:r>
              <w:rPr>
                <w:b/>
                <w:sz w:val="20"/>
              </w:rPr>
              <w:t>Lo que usas tú.</w:t>
            </w:r>
            <w:r>
              <w:rPr>
                <w:sz w:val="20"/>
              </w:rPr>
              <w:t xml:space="preserve"> Doble clic y listo</w:t>
            </w:r>
          </w:p>
        </w:tc>
      </w:tr>
      <w:tr>
        <w:trPr>
          <w:cantSplit/>
        </w:trPr>
        <w:tc>
          <w:tcPr>
            <w:tcW w:type="dxa" w:w="2494"/>
            <w:shd w:val="clear" w:color="auto" w:fill="F4F6F8"/>
          </w:tcPr>
          <w:p>
            <w:pPr>
              <w:spacing w:after="40" w:before="40"/>
            </w:pPr>
            <w:r>
              <w:rPr>
                <w:rFonts w:ascii="Consolas" w:hAnsi="Consolas"/>
                <w:sz w:val="20"/>
              </w:rPr>
              <w:t>ejecutar.ps1</w:t>
            </w:r>
          </w:p>
        </w:tc>
        <w:tc>
          <w:tcPr>
            <w:tcW w:type="dxa" w:w="7024"/>
            <w:shd w:val="clear" w:color="auto" w:fill="F4F6F8"/>
          </w:tcPr>
          <w:p>
            <w:pPr>
              <w:spacing w:after="40" w:before="40"/>
            </w:pPr>
            <w:r>
              <w:rPr>
                <w:sz w:val="20"/>
              </w:rPr>
              <w:t>El que hace de puente: encuentra Python, ejecuta la extracción, copia el insumo y abre el informe</w:t>
            </w:r>
          </w:p>
        </w:tc>
      </w:tr>
      <w:tr>
        <w:trPr>
          <w:cantSplit/>
        </w:trPr>
        <w:tc>
          <w:tcPr>
            <w:tcW w:type="dxa" w:w="2494"/>
          </w:tcPr>
          <w:p>
            <w:pPr>
              <w:spacing w:after="40" w:before="40"/>
            </w:pPr>
            <w:r>
              <w:rPr>
                <w:rFonts w:ascii="Consolas" w:hAnsi="Consolas"/>
                <w:sz w:val="20"/>
              </w:rPr>
              <w:t>extraer_glpi.py</w:t>
            </w:r>
          </w:p>
        </w:tc>
        <w:tc>
          <w:tcPr>
            <w:tcW w:type="dxa" w:w="7024"/>
          </w:tcPr>
          <w:p>
            <w:pPr>
              <w:spacing w:after="40" w:before="40"/>
            </w:pPr>
            <w:r>
              <w:rPr>
                <w:b/>
                <w:sz w:val="20"/>
              </w:rPr>
              <w:t>El corazón.</w:t>
            </w:r>
            <w:r>
              <w:rPr>
                <w:sz w:val="20"/>
              </w:rPr>
              <w:t xml:space="preserve"> Habla con GLPI y arma los dos archivos</w:t>
            </w:r>
          </w:p>
        </w:tc>
      </w:tr>
      <w:tr>
        <w:trPr>
          <w:cantSplit/>
        </w:trPr>
        <w:tc>
          <w:tcPr>
            <w:tcW w:type="dxa" w:w="2494"/>
            <w:shd w:val="clear" w:color="auto" w:fill="F4F6F8"/>
          </w:tcPr>
          <w:p>
            <w:pPr>
              <w:spacing w:after="40" w:before="40"/>
            </w:pPr>
            <w:r>
              <w:rPr>
                <w:rFonts w:ascii="Consolas" w:hAnsi="Consolas"/>
                <w:sz w:val="20"/>
              </w:rPr>
              <w:t>sonda_glpi.py</w:t>
            </w:r>
          </w:p>
        </w:tc>
        <w:tc>
          <w:tcPr>
            <w:tcW w:type="dxa" w:w="7024"/>
            <w:shd w:val="clear" w:color="auto" w:fill="F4F6F8"/>
          </w:tcPr>
          <w:p>
            <w:pPr>
              <w:spacing w:after="40" w:before="40"/>
            </w:pPr>
            <w:r>
              <w:rPr>
                <w:sz w:val="20"/>
              </w:rPr>
              <w:t>Herramienta de reconocimiento. Es la que averiguó, contra el GLPI real, que la API estaba disponible</w:t>
            </w:r>
          </w:p>
        </w:tc>
      </w:tr>
      <w:tr>
        <w:trPr>
          <w:cantSplit/>
        </w:trPr>
        <w:tc>
          <w:tcPr>
            <w:tcW w:type="dxa" w:w="2494"/>
          </w:tcPr>
          <w:p>
            <w:pPr>
              <w:spacing w:after="40" w:before="40"/>
            </w:pPr>
            <w:r>
              <w:rPr>
                <w:rFonts w:ascii="Consolas" w:hAnsi="Consolas"/>
                <w:sz w:val="20"/>
              </w:rPr>
              <w:t>.env</w:t>
            </w:r>
          </w:p>
        </w:tc>
        <w:tc>
          <w:tcPr>
            <w:tcW w:type="dxa" w:w="7024"/>
          </w:tcPr>
          <w:p>
            <w:pPr>
              <w:spacing w:after="40" w:before="40"/>
            </w:pPr>
            <w:r>
              <w:rPr>
                <w:b/>
                <w:sz w:val="20"/>
              </w:rPr>
              <w:t>Tus credenciales de GLPI.</w:t>
            </w:r>
            <w:r>
              <w:rPr>
                <w:sz w:val="20"/>
              </w:rPr>
              <w:t xml:space="preserve"> Nunca se sube a ningún sitio</w:t>
            </w:r>
          </w:p>
        </w:tc>
      </w:tr>
      <w:tr>
        <w:trPr>
          <w:cantSplit/>
        </w:trPr>
        <w:tc>
          <w:tcPr>
            <w:tcW w:type="dxa" w:w="2494"/>
            <w:shd w:val="clear" w:color="auto" w:fill="F4F6F8"/>
          </w:tcPr>
          <w:p>
            <w:pPr>
              <w:spacing w:after="40" w:before="40"/>
            </w:pPr>
            <w:r>
              <w:rPr>
                <w:rFonts w:ascii="Consolas" w:hAnsi="Consolas"/>
                <w:sz w:val="20"/>
              </w:rPr>
              <w:t>.env.ejemplo</w:t>
            </w:r>
          </w:p>
        </w:tc>
        <w:tc>
          <w:tcPr>
            <w:tcW w:type="dxa" w:w="7024"/>
            <w:shd w:val="clear" w:color="auto" w:fill="F4F6F8"/>
          </w:tcPr>
          <w:p>
            <w:pPr>
              <w:spacing w:after="40" w:before="40"/>
            </w:pPr>
            <w:r>
              <w:rPr>
                <w:sz w:val="20"/>
              </w:rPr>
              <w:t>La plantilla del anterior, sin datos</w:t>
            </w:r>
          </w:p>
        </w:tc>
      </w:tr>
      <w:tr>
        <w:trPr>
          <w:cantSplit/>
        </w:trPr>
        <w:tc>
          <w:tcPr>
            <w:tcW w:type="dxa" w:w="2494"/>
          </w:tcPr>
          <w:p>
            <w:pPr>
              <w:spacing w:after="40" w:before="40"/>
            </w:pPr>
            <w:r>
              <w:rPr>
                <w:rFonts w:ascii="Consolas" w:hAnsi="Consolas"/>
                <w:sz w:val="20"/>
              </w:rPr>
              <w:t>salida\</w:t>
            </w:r>
          </w:p>
        </w:tc>
        <w:tc>
          <w:tcPr>
            <w:tcW w:type="dxa" w:w="7024"/>
          </w:tcPr>
          <w:p>
            <w:pPr>
              <w:spacing w:after="40" w:before="40"/>
            </w:pPr>
            <w:r>
              <w:rPr>
                <w:sz w:val="20"/>
              </w:rPr>
              <w:t>Donde caen el CSV y el insumo. No se sube a ningún sitio</w:t>
            </w:r>
          </w:p>
        </w:tc>
      </w:tr>
      <w:tr>
        <w:trPr>
          <w:cantSplit/>
        </w:trPr>
        <w:tc>
          <w:tcPr>
            <w:tcW w:type="dxa" w:w="2494"/>
            <w:shd w:val="clear" w:color="auto" w:fill="F4F6F8"/>
          </w:tcPr>
          <w:p>
            <w:pPr>
              <w:spacing w:after="40" w:before="40"/>
            </w:pPr>
            <w:r>
              <w:rPr>
                <w:rFonts w:ascii="Consolas" w:hAnsi="Consolas"/>
                <w:sz w:val="20"/>
              </w:rPr>
              <w:t>informe-...html</w:t>
            </w:r>
          </w:p>
        </w:tc>
        <w:tc>
          <w:tcPr>
            <w:tcW w:type="dxa" w:w="7024"/>
            <w:shd w:val="clear" w:color="auto" w:fill="F4F6F8"/>
          </w:tcPr>
          <w:p>
            <w:pPr>
              <w:spacing w:after="40" w:before="40"/>
            </w:pPr>
            <w:r>
              <w:rPr>
                <w:sz w:val="20"/>
              </w:rPr>
              <w:t>El informe. Un solo archivo con todo dentro</w:t>
            </w:r>
          </w:p>
        </w:tc>
      </w:tr>
      <w:tr>
        <w:trPr>
          <w:cantSplit/>
        </w:trPr>
        <w:tc>
          <w:tcPr>
            <w:tcW w:type="dxa" w:w="2494"/>
          </w:tcPr>
          <w:p>
            <w:pPr>
              <w:spacing w:after="40" w:before="40"/>
            </w:pPr>
            <w:r>
              <w:rPr>
                <w:rFonts w:ascii="Consolas" w:hAnsi="Consolas"/>
                <w:sz w:val="20"/>
              </w:rPr>
              <w:t>insumos-af.js</w:t>
            </w:r>
          </w:p>
        </w:tc>
        <w:tc>
          <w:tcPr>
            <w:tcW w:type="dxa" w:w="7024"/>
          </w:tcPr>
          <w:p>
            <w:pPr>
              <w:spacing w:after="40" w:before="40"/>
            </w:pPr>
            <w:r>
              <w:rPr>
                <w:sz w:val="20"/>
              </w:rPr>
              <w:t>El insumo, ya colocado junto al informe</w:t>
            </w:r>
          </w:p>
        </w:tc>
      </w:tr>
    </w:tbl>
    <w:p>
      <w:pPr>
        <w:spacing w:after="80"/>
      </w:pPr>
    </w:p>
    <w:p>
      <w:pPr>
        <w:spacing w:before="280" w:after="100"/>
      </w:pPr>
      <w:r>
        <w:rPr>
          <w:b/>
          <w:color w:val="1A1A1A"/>
          <w:sz w:val="27"/>
        </w:rPr>
        <w:t>Dos cosas que conviene saber</w:t>
      </w:r>
    </w:p>
    <w:p>
      <w:pPr>
        <w:spacing w:before="200" w:after="60"/>
      </w:pPr>
      <w:r>
        <w:rPr>
          <w:b/>
          <w:color w:val="C01B22"/>
          <w:sz w:val="23"/>
        </w:rPr>
        <w:t>Ni una sola pieza extra que instalar</w:t>
      </w:r>
    </w:p>
    <w:p>
      <w:r>
        <w:t>El programa está escrito usando solo lo que Python trae de fábrica. No hay que instalar librerías, ni pedir permisos, ni pelear con el antivirus. Esto no es casualidad: en un equipo corporativo con antivirus y control de datos, cada instalación es una posible pelea. Y significa que el mismo programa correrá tal cual en el servidor cuando llegue el momento.</w:t>
      </w:r>
    </w:p>
    <w:p>
      <w:pPr>
        <w:spacing w:before="200" w:after="60"/>
      </w:pPr>
      <w:r>
        <w:rPr>
          <w:b/>
          <w:color w:val="C01B22"/>
          <w:sz w:val="23"/>
        </w:rPr>
        <w:t>Por qué hace falta el `.bat` y no basta el `.ps1`</w:t>
      </w:r>
    </w:p>
    <w:p>
      <w:r>
        <w:t xml:space="preserve">Este equipo tiene bloqueada la ejecución de programas de PowerShell por seguridad. Si intentas lanzar el </w:t>
      </w:r>
      <w:r>
        <w:rPr>
          <w:rFonts w:ascii="Consolas" w:hAnsi="Consolas"/>
          <w:sz w:val="19"/>
        </w:rPr>
        <w:t>.ps1</w:t>
      </w:r>
      <w:r>
        <w:t xml:space="preserve"> directamente, Windows lo rechaza. El </w:t>
      </w:r>
      <w:r>
        <w:rPr>
          <w:rFonts w:ascii="Consolas" w:hAnsi="Consolas"/>
          <w:sz w:val="19"/>
        </w:rPr>
        <w:t>.bat</w:t>
      </w:r>
      <w:r>
        <w:t xml:space="preserve"> lo lanza de una forma que </w:t>
      </w:r>
      <w:r>
        <w:rPr>
          <w:b/>
        </w:rPr>
        <w:t>solo afecta a esa ejecución concreta</w:t>
      </w:r>
      <w:r>
        <w:t xml:space="preserve"> y no cambia ninguna configuración del equipo. Es un rodeo, pero es el rodeo limpio: no hay que bajar ninguna protección.</w:t>
      </w:r>
    </w:p>
    <w:p>
      <w:r>
        <w:br w:type="page"/>
      </w:r>
    </w:p>
    <w:p>
      <w:pPr>
        <w:spacing w:before="0" w:after="200"/>
        <w:pBdr>
          <w:bottom w:val="single" w:sz="6" w:space="4" w:color="D8DEE4"/>
        </w:pBdr>
      </w:pPr>
      <w:r>
        <w:rPr>
          <w:b/>
          <w:color w:val="C01B22"/>
          <w:sz w:val="40"/>
        </w:rPr>
        <w:t>9. Cómo se usa</w:t>
      </w:r>
    </w:p>
    <w:p>
      <w:pPr>
        <w:spacing w:before="280" w:after="100"/>
      </w:pPr>
      <w:r>
        <w:rPr>
          <w:b/>
          <w:color w:val="1A1A1A"/>
          <w:sz w:val="27"/>
        </w:rPr>
        <w:t>El día a día</w:t>
      </w:r>
    </w:p>
    <w:p>
      <w:r>
        <w:t xml:space="preserve">Doble clic sobre </w:t>
      </w:r>
      <w:r>
        <w:rPr>
          <w:rFonts w:ascii="Consolas" w:hAnsi="Consolas"/>
          <w:sz w:val="19"/>
        </w:rPr>
        <w:t>ejecutar.bat</w:t>
      </w:r>
      <w:r>
        <w:t>. O desde una ventana de comandos:</w:t>
      </w:r>
    </w:p>
    <w:p>
      <w:pPr>
        <w:spacing w:after="180" w:before="180" w:line="240" w:lineRule="auto"/>
        <w:ind w:left="227"/>
        <w:shd w:val="clear" w:color="auto" w:fill="DDE9E9E9"/>
        <w:pBdr>
          <w:left w:val="single" w:sz="18" w:space="8" w:color="C01B22"/>
        </w:pBdr>
      </w:pPr>
      <w:r>
        <w:rPr>
          <w:rFonts w:ascii="Consolas" w:hAnsi="Consolas"/>
          <w:sz w:val="18"/>
        </w:rPr>
        <w:t>C:\Users\yordypardo\Proyectos\InformeAccionFiduciariaRemake\automatizacion\ejecutar.bat</w:t>
      </w:r>
    </w:p>
    <w:p>
      <w:r>
        <w:t xml:space="preserve">Sin escribir nada más, hace tres cosas: elige el último mes cerrado, deja el insumo junto al informe, y abre el informe. </w:t>
      </w:r>
      <w:r>
        <w:rPr>
          <w:b/>
        </w:rPr>
        <w:t>No pregunta nada en ningún momento.</w:t>
      </w:r>
    </w:p>
    <w:p>
      <w:pPr>
        <w:spacing w:before="280" w:after="100"/>
      </w:pPr>
      <w:r>
        <w:rPr>
          <w:b/>
          <w:color w:val="1A1A1A"/>
          <w:sz w:val="27"/>
        </w:rPr>
        <w:t>Cuando necesitas otro mes</w:t>
      </w:r>
    </w:p>
    <w:p>
      <w:pPr>
        <w:spacing w:after="180" w:before="180" w:line="240" w:lineRule="auto"/>
        <w:ind w:left="227"/>
        <w:shd w:val="clear" w:color="auto" w:fill="DDE9E9E9"/>
        <w:pBdr>
          <w:left w:val="single" w:sz="18" w:space="8" w:color="C01B22"/>
        </w:pBdr>
      </w:pPr>
      <w:r>
        <w:rPr>
          <w:rFonts w:ascii="Consolas" w:hAnsi="Consolas"/>
          <w:sz w:val="18"/>
        </w:rPr>
        <w:t>automatizacion\ejecutar.bat -Periodo 2026-05</w:t>
      </w:r>
    </w:p>
    <w:p>
      <w:pPr>
        <w:spacing w:before="280" w:after="100"/>
      </w:pPr>
      <w:r>
        <w:rPr>
          <w:b/>
          <w:color w:val="1A1A1A"/>
          <w:sz w:val="27"/>
        </w:rPr>
        <w:t>Todas las opciones</w:t>
      </w:r>
    </w:p>
    <w:tbl>
      <w:tblPr>
        <w:tblStyle w:val="TableGrid"/>
        <w:tblW w:type="auto" w:w="0"/>
        <w:jc w:val="center"/>
        <w:tblLayout w:type="fixed"/>
        <w:tblLook w:firstColumn="1" w:firstRow="1" w:lastColumn="0" w:lastRow="0" w:noHBand="0" w:noVBand="1" w:val="04A0"/>
      </w:tblPr>
      <w:tblGrid>
        <w:gridCol w:w="4759"/>
        <w:gridCol w:w="4759"/>
      </w:tblGrid>
      <w:tr>
        <w:trPr>
          <w:tblHeader/>
          <w:cantSplit/>
        </w:trPr>
        <w:tc>
          <w:tcPr>
            <w:tcW w:type="dxa" w:w="2608"/>
            <w:shd w:val="clear" w:color="auto" w:fill="C01B22"/>
          </w:tcPr>
          <w:p>
            <w:pPr>
              <w:spacing w:after="40" w:before="40"/>
            </w:pPr>
            <w:r>
              <w:rPr>
                <w:b/>
                <w:color w:val="FFFFFF"/>
                <w:sz w:val="20"/>
              </w:rPr>
              <w:t>Opción</w:t>
            </w:r>
          </w:p>
        </w:tc>
        <w:tc>
          <w:tcPr>
            <w:tcW w:type="dxa" w:w="6911"/>
            <w:shd w:val="clear" w:color="auto" w:fill="C01B22"/>
          </w:tcPr>
          <w:p>
            <w:pPr>
              <w:spacing w:after="40" w:before="40"/>
            </w:pPr>
            <w:r>
              <w:rPr>
                <w:b/>
                <w:color w:val="FFFFFF"/>
                <w:sz w:val="20"/>
              </w:rPr>
              <w:t>Para qué sirve</w:t>
            </w:r>
          </w:p>
        </w:tc>
      </w:tr>
      <w:tr>
        <w:trPr>
          <w:cantSplit/>
        </w:trPr>
        <w:tc>
          <w:tcPr>
            <w:tcW w:type="dxa" w:w="2608"/>
          </w:tcPr>
          <w:p>
            <w:pPr>
              <w:spacing w:after="40" w:before="40"/>
            </w:pPr>
            <w:r>
              <w:rPr>
                <w:rFonts w:ascii="Consolas" w:hAnsi="Consolas"/>
                <w:sz w:val="20"/>
              </w:rPr>
              <w:t>-Periodo AAAA-MM</w:t>
            </w:r>
          </w:p>
        </w:tc>
        <w:tc>
          <w:tcPr>
            <w:tcW w:type="dxa" w:w="6911"/>
          </w:tcPr>
          <w:p>
            <w:pPr>
              <w:spacing w:after="40" w:before="40"/>
            </w:pPr>
            <w:r>
              <w:rPr>
                <w:sz w:val="20"/>
              </w:rPr>
              <w:t>Reportar otro mes distinto del último cerrado</w:t>
            </w:r>
          </w:p>
        </w:tc>
      </w:tr>
      <w:tr>
        <w:trPr>
          <w:cantSplit/>
        </w:trPr>
        <w:tc>
          <w:tcPr>
            <w:tcW w:type="dxa" w:w="2608"/>
            <w:shd w:val="clear" w:color="auto" w:fill="F4F6F8"/>
          </w:tcPr>
          <w:p>
            <w:pPr>
              <w:spacing w:after="40" w:before="40"/>
            </w:pPr>
            <w:r>
              <w:rPr>
                <w:rFonts w:ascii="Consolas" w:hAnsi="Consolas"/>
                <w:sz w:val="20"/>
              </w:rPr>
              <w:t>-MesEnGlpi</w:t>
            </w:r>
          </w:p>
        </w:tc>
        <w:tc>
          <w:tcPr>
            <w:tcW w:type="dxa" w:w="6911"/>
            <w:shd w:val="clear" w:color="auto" w:fill="F4F6F8"/>
          </w:tcPr>
          <w:p>
            <w:pPr>
              <w:spacing w:after="40" w:before="40"/>
            </w:pPr>
            <w:r>
              <w:rPr>
                <w:sz w:val="20"/>
              </w:rPr>
              <w:t>Traer solo ese mes. El archivo pasa de 268 KB a menos de 2 KB, pero el informe ya no puede cambiar de mes sin volver a extraer</w:t>
            </w:r>
          </w:p>
        </w:tc>
      </w:tr>
      <w:tr>
        <w:trPr>
          <w:cantSplit/>
        </w:trPr>
        <w:tc>
          <w:tcPr>
            <w:tcW w:type="dxa" w:w="2608"/>
          </w:tcPr>
          <w:p>
            <w:pPr>
              <w:spacing w:after="40" w:before="40"/>
            </w:pPr>
            <w:r>
              <w:rPr>
                <w:rFonts w:ascii="Consolas" w:hAnsi="Consolas"/>
                <w:sz w:val="20"/>
              </w:rPr>
              <w:t>-Muestra</w:t>
            </w:r>
          </w:p>
        </w:tc>
        <w:tc>
          <w:tcPr>
            <w:tcW w:type="dxa" w:w="6911"/>
          </w:tcPr>
          <w:p>
            <w:pPr>
              <w:spacing w:after="40" w:before="40"/>
            </w:pPr>
            <w:r>
              <w:rPr>
                <w:sz w:val="20"/>
              </w:rPr>
              <w:t>Ver 5 casos por pantalla sin generar nada. Para comprobar que GLPI responde</w:t>
            </w:r>
          </w:p>
        </w:tc>
      </w:tr>
      <w:tr>
        <w:trPr>
          <w:cantSplit/>
        </w:trPr>
        <w:tc>
          <w:tcPr>
            <w:tcW w:type="dxa" w:w="2608"/>
            <w:shd w:val="clear" w:color="auto" w:fill="F4F6F8"/>
          </w:tcPr>
          <w:p>
            <w:pPr>
              <w:spacing w:after="40" w:before="40"/>
            </w:pPr>
            <w:r>
              <w:rPr>
                <w:rFonts w:ascii="Consolas" w:hAnsi="Consolas"/>
                <w:sz w:val="20"/>
              </w:rPr>
              <w:t>-SinFiltroEntidad</w:t>
            </w:r>
          </w:p>
        </w:tc>
        <w:tc>
          <w:tcPr>
            <w:tcW w:type="dxa" w:w="6911"/>
            <w:shd w:val="clear" w:color="auto" w:fill="F4F6F8"/>
          </w:tcPr>
          <w:p>
            <w:pPr>
              <w:spacing w:after="40" w:before="40"/>
            </w:pPr>
            <w:r>
              <w:rPr>
                <w:sz w:val="20"/>
              </w:rPr>
              <w:t>Traer todos los clientes, como la exportación manual</w:t>
            </w:r>
          </w:p>
        </w:tc>
      </w:tr>
      <w:tr>
        <w:trPr>
          <w:cantSplit/>
        </w:trPr>
        <w:tc>
          <w:tcPr>
            <w:tcW w:type="dxa" w:w="2608"/>
          </w:tcPr>
          <w:p>
            <w:pPr>
              <w:spacing w:after="40" w:before="40"/>
            </w:pPr>
            <w:r>
              <w:rPr>
                <w:rFonts w:ascii="Consolas" w:hAnsi="Consolas"/>
                <w:sz w:val="20"/>
              </w:rPr>
              <w:t>-NoAbrir</w:t>
            </w:r>
          </w:p>
        </w:tc>
        <w:tc>
          <w:tcPr>
            <w:tcW w:type="dxa" w:w="6911"/>
          </w:tcPr>
          <w:p>
            <w:pPr>
              <w:spacing w:after="40" w:before="40"/>
            </w:pPr>
            <w:r>
              <w:rPr>
                <w:sz w:val="20"/>
              </w:rPr>
              <w:t xml:space="preserve">No abrir el informe. </w:t>
            </w:r>
            <w:r>
              <w:rPr>
                <w:b/>
                <w:sz w:val="20"/>
              </w:rPr>
              <w:t>Será obligatorio</w:t>
            </w:r>
            <w:r>
              <w:rPr>
                <w:sz w:val="20"/>
              </w:rPr>
              <w:t xml:space="preserve"> cuando esto se ejecute solo de madrugada</w:t>
            </w:r>
          </w:p>
        </w:tc>
      </w:tr>
      <w:tr>
        <w:trPr>
          <w:cantSplit/>
        </w:trPr>
        <w:tc>
          <w:tcPr>
            <w:tcW w:type="dxa" w:w="2608"/>
            <w:shd w:val="clear" w:color="auto" w:fill="F4F6F8"/>
          </w:tcPr>
          <w:p>
            <w:pPr>
              <w:spacing w:after="40" w:before="40"/>
            </w:pPr>
            <w:r>
              <w:rPr>
                <w:rFonts w:ascii="Consolas" w:hAnsi="Consolas"/>
                <w:sz w:val="20"/>
              </w:rPr>
              <w:t>-NoCopiar</w:t>
            </w:r>
          </w:p>
        </w:tc>
        <w:tc>
          <w:tcPr>
            <w:tcW w:type="dxa" w:w="6911"/>
            <w:shd w:val="clear" w:color="auto" w:fill="F4F6F8"/>
          </w:tcPr>
          <w:p>
            <w:pPr>
              <w:spacing w:after="40" w:before="40"/>
            </w:pPr>
            <w:r>
              <w:rPr>
                <w:sz w:val="20"/>
              </w:rPr>
              <w:t>Generar el insumo pero no ponerlo junto al informe</w:t>
            </w:r>
          </w:p>
        </w:tc>
      </w:tr>
    </w:tbl>
    <w:p>
      <w:pPr>
        <w:spacing w:after="80"/>
      </w:pPr>
    </w:p>
    <w:p>
      <w:pPr>
        <w:spacing w:before="280" w:after="100"/>
      </w:pPr>
      <w:r>
        <w:rPr>
          <w:b/>
          <w:color w:val="1A1A1A"/>
          <w:sz w:val="27"/>
        </w:rPr>
        <w:t>Antes de enseñárselo a alguien</w:t>
      </w:r>
    </w:p>
    <w:p>
      <w:pPr>
        <w:spacing w:before="180" w:after="40"/>
        <w:ind w:left="170"/>
        <w:shd w:val="clear" w:color="auto" w:fill="FFF4E5"/>
        <w:pBdr>
          <w:left w:val="single" w:sz="18" w:space="8" w:color="E8A33D"/>
        </w:pBdr>
      </w:pPr>
      <w:r>
        <w:rPr>
          <w:b/>
          <w:sz w:val="21"/>
        </w:rPr>
        <w:t>La tarjeta principal necesita también AlertsList</w:t>
      </w:r>
    </w:p>
    <w:p>
      <w:pPr>
        <w:spacing w:after="200"/>
        <w:ind w:left="170"/>
        <w:shd w:val="clear" w:color="auto" w:fill="FFF4E5"/>
        <w:pBdr>
          <w:left w:val="single" w:sz="18" w:space="8" w:color="E8A33D"/>
        </w:pBdr>
      </w:pPr>
      <w:r>
        <w:rPr>
          <w:sz w:val="21"/>
        </w:rPr>
        <w:t xml:space="preserve">Con la sábana de GLPI cargada y nada más, la tarjeta «Total de casos atendidos» sigue diciendo «Pendiente de cargar», porque esa cifra suma casos de GLPI </w:t>
      </w:r>
      <w:r>
        <w:rPr>
          <w:b/>
          <w:sz w:val="21"/>
        </w:rPr>
        <w:t>y</w:t>
      </w:r>
      <w:r>
        <w:rPr>
          <w:sz w:val="21"/>
        </w:rPr>
        <w:t xml:space="preserve"> alertas. Hay que cargar </w:t>
      </w:r>
      <w:r>
        <w:rPr>
          <w:rFonts w:ascii="Consolas" w:hAnsi="Consolas"/>
          <w:sz w:val="21"/>
        </w:rPr>
        <w:t>AlertsList.xlsx</w:t>
      </w:r>
      <w:r>
        <w:rPr>
          <w:sz w:val="21"/>
        </w:rPr>
        <w:t xml:space="preserve"> a mano una vez —queda guardado en el navegador y no hay que repetirlo. Lo que sí se ve solo con GLPI es el centro de carga y la fila del acuerdo de servicio.</w:t>
      </w:r>
    </w:p>
    <w:p>
      <w:r>
        <w:br w:type="page"/>
      </w:r>
    </w:p>
    <w:p>
      <w:pPr>
        <w:spacing w:before="0" w:after="200"/>
        <w:pBdr>
          <w:bottom w:val="single" w:sz="6" w:space="4" w:color="D8DEE4"/>
        </w:pBdr>
      </w:pPr>
      <w:r>
        <w:rPr>
          <w:b/>
          <w:color w:val="C01B22"/>
          <w:sz w:val="40"/>
        </w:rPr>
        <w:t>10. Integración con SharePoint y Microsoft</w:t>
      </w:r>
    </w:p>
    <w:p>
      <w:pPr>
        <w:spacing w:before="280" w:after="100"/>
      </w:pPr>
      <w:r>
        <w:rPr>
          <w:b/>
          <w:color w:val="1A1A1A"/>
          <w:sz w:val="27"/>
        </w:rPr>
        <w:t>Dónde está el proyecto hoy</w:t>
      </w:r>
    </w:p>
    <w:p>
      <w:r>
        <w:t xml:space="preserve">Todo ocurre en tu computador. Eso tiene una ventaja enorme —no depende de permisos, licencias ni de nadie— y una limitación clara: </w:t>
      </w:r>
      <w:r>
        <w:rPr>
          <w:b/>
        </w:rPr>
        <w:t>alguien tiene que hacer el doble clic</w:t>
      </w:r>
      <w:r>
        <w:t>.</w:t>
      </w:r>
    </w:p>
    <w:p>
      <w:pPr>
        <w:spacing w:before="280" w:after="100"/>
      </w:pPr>
      <w:r>
        <w:rPr>
          <w:b/>
          <w:color w:val="1A1A1A"/>
          <w:sz w:val="27"/>
        </w:rPr>
        <w:t>Lo único que falta</w:t>
      </w:r>
    </w:p>
    <w:p>
      <w:r>
        <w:t>Que el archivo aparezca solo, sin que nadie ejecute nada. Y eso son dos cosas:</w:t>
      </w:r>
    </w:p>
    <w:p>
      <w:pPr>
        <w:spacing w:after="60"/>
        <w:ind w:left="539" w:hanging="340"/>
      </w:pPr>
      <w:r>
        <w:rPr>
          <w:b/>
          <w:color w:val="C01B22"/>
        </w:rPr>
        <w:t xml:space="preserve">1.  </w:t>
      </w:r>
      <w:r>
        <w:rPr>
          <w:b/>
        </w:rPr>
        <w:t>Que el programa se ejecute solo</w:t>
      </w:r>
      <w:r>
        <w:t>, en una máquina que esté encendida a esa hora. Tu portátil, de madrugada, está apagado.</w:t>
      </w:r>
    </w:p>
    <w:p>
      <w:pPr>
        <w:spacing w:after="60"/>
        <w:ind w:left="539" w:hanging="340"/>
      </w:pPr>
      <w:r>
        <w:rPr>
          <w:b/>
          <w:color w:val="C01B22"/>
        </w:rPr>
        <w:t xml:space="preserve">2.  </w:t>
      </w:r>
      <w:r>
        <w:rPr>
          <w:b/>
        </w:rPr>
        <w:t>Que el archivo llegue</w:t>
      </w:r>
      <w:r>
        <w:t xml:space="preserve"> a la carpeta donde el informe lo busca.</w:t>
      </w:r>
    </w:p>
    <w:p>
      <w:pPr>
        <w:spacing w:before="180" w:after="40"/>
        <w:ind w:left="170"/>
        <w:shd w:val="clear" w:color="auto" w:fill="EAF5EC"/>
        <w:pBdr>
          <w:left w:val="single" w:sz="18" w:space="8" w:color="5B9E68"/>
        </w:pBdr>
      </w:pPr>
      <w:r>
        <w:rPr>
          <w:b/>
          <w:sz w:val="21"/>
        </w:rPr>
        <w:t>Lo que NO hay que cambiar</w:t>
      </w:r>
    </w:p>
    <w:p>
      <w:pPr>
        <w:spacing w:after="200"/>
        <w:ind w:left="170"/>
        <w:shd w:val="clear" w:color="auto" w:fill="EAF5EC"/>
        <w:pBdr>
          <w:left w:val="single" w:sz="18" w:space="8" w:color="5B9E68"/>
        </w:pBdr>
      </w:pPr>
      <w:r>
        <w:rPr>
          <w:sz w:val="21"/>
        </w:rPr>
        <w:t>Las partes 1 y 3 del capítulo 3 —cómo se sacan los datos y cómo los lee el informe— se quedan exactamente igual. Solo cambia la parte 2: dónde se deja el archivo. Por eso se separaron desde el principio.</w:t>
      </w:r>
    </w:p>
    <w:p>
      <w:pPr>
        <w:spacing w:before="280" w:after="100"/>
      </w:pPr>
      <w:r>
        <w:rPr>
          <w:b/>
          <w:color w:val="1A1A1A"/>
          <w:sz w:val="27"/>
        </w:rPr>
        <w:t>Las herramientas de Microsoft, una por una</w:t>
      </w:r>
    </w:p>
    <w:p>
      <w:pPr>
        <w:spacing w:before="200" w:after="60"/>
      </w:pPr>
      <w:r>
        <w:rPr>
          <w:b/>
          <w:color w:val="C01B22"/>
          <w:sz w:val="23"/>
        </w:rPr>
        <w:t>SharePoint y OneDrive de empresa</w:t>
      </w:r>
    </w:p>
    <w:p>
      <w:r>
        <w:t xml:space="preserve">Son dos formas de la misma cosa: carpetas en la nube de la empresa. Es </w:t>
      </w:r>
      <w:r>
        <w:rPr>
          <w:b/>
        </w:rPr>
        <w:t>el sitio natural</w:t>
      </w:r>
      <w:r>
        <w:t xml:space="preserve"> para dejar el archivo. Tienen tres ventajas concretas:</w:t>
      </w:r>
    </w:p>
    <w:p>
      <w:pPr>
        <w:pStyle w:val="ListBullet"/>
        <w:spacing w:after="60"/>
        <w:ind w:left="397"/>
      </w:pPr>
      <w:r>
        <w:t xml:space="preserve">Guardan el </w:t>
      </w:r>
      <w:r>
        <w:rPr>
          <w:b/>
        </w:rPr>
        <w:t>historial de versiones</w:t>
      </w:r>
      <w:r>
        <w:t>: se puede ver el insumo de cada mes y quién lo dejó.</w:t>
      </w:r>
    </w:p>
    <w:p>
      <w:pPr>
        <w:pStyle w:val="ListBullet"/>
        <w:spacing w:after="60"/>
        <w:ind w:left="397"/>
      </w:pPr>
      <w:r>
        <w:t xml:space="preserve">Tienen </w:t>
      </w:r>
      <w:r>
        <w:rPr>
          <w:b/>
        </w:rPr>
        <w:t>permisos</w:t>
      </w:r>
      <w:r>
        <w:t>: se puede decidir quién escribe en esa carpeta. Recuerda el capítulo 6 — esa es la protección real.</w:t>
      </w:r>
    </w:p>
    <w:p>
      <w:pPr>
        <w:pStyle w:val="ListBullet"/>
        <w:spacing w:after="60"/>
        <w:ind w:left="397"/>
      </w:pPr>
      <w:r>
        <w:rPr>
          <w:b/>
        </w:rPr>
        <w:t>OneDrive sincroniza la carpeta con el computador.</w:t>
      </w:r>
      <w:r>
        <w:t xml:space="preserve"> Este punto es el que hace que todo funcione, y merece explicación aparte.</w:t>
      </w:r>
    </w:p>
    <w:p>
      <w:pPr>
        <w:spacing w:before="180" w:after="40"/>
        <w:ind w:left="170"/>
        <w:shd w:val="clear" w:color="auto" w:fill="EAF5EC"/>
        <w:pBdr>
          <w:left w:val="single" w:sz="18" w:space="8" w:color="5B9E68"/>
        </w:pBdr>
      </w:pPr>
      <w:r>
        <w:rPr>
          <w:b/>
          <w:sz w:val="21"/>
        </w:rPr>
        <w:t>La pieza clave: la carpeta sincronizada</w:t>
      </w:r>
    </w:p>
    <w:p>
      <w:pPr>
        <w:spacing w:after="200"/>
        <w:ind w:left="170"/>
        <w:shd w:val="clear" w:color="auto" w:fill="EAF5EC"/>
        <w:pBdr>
          <w:left w:val="single" w:sz="18" w:space="8" w:color="5B9E68"/>
        </w:pBdr>
      </w:pPr>
      <w:r>
        <w:rPr>
          <w:sz w:val="21"/>
        </w:rPr>
        <w:t xml:space="preserve">Cuando OneDrive sincroniza una carpeta, los archivos </w:t>
      </w:r>
      <w:r>
        <w:rPr>
          <w:b/>
          <w:sz w:val="21"/>
        </w:rPr>
        <w:t>existen de verdad en el disco duro</w:t>
      </w:r>
      <w:r>
        <w:rPr>
          <w:sz w:val="21"/>
        </w:rPr>
        <w:t>. No hay que descargarlos: están ahí. Así que el informe no necesita consultar SharePoint por internet —cosa imposible, capítulo 6—: le basta con abrir el archivo que tiene al lado, que OneDrive ya se encargó de traer. La nube hace el viaje; el informe solo ve una carpeta normal.</w:t>
      </w:r>
    </w:p>
    <w:p>
      <w:pPr>
        <w:spacing w:before="200" w:after="60"/>
      </w:pPr>
      <w:r>
        <w:rPr>
          <w:b/>
          <w:color w:val="C01B22"/>
          <w:sz w:val="23"/>
        </w:rPr>
        <w:t>Power Automate</w:t>
      </w:r>
    </w:p>
    <w:p>
      <w:r>
        <w:t xml:space="preserve">Es la herramienta de Microsoft para encadenar pasos automáticos: «cuando pase esto, haz aquello». Sirve muy bien para </w:t>
      </w:r>
      <w:r>
        <w:rPr>
          <w:b/>
        </w:rPr>
        <w:t>avisar</w:t>
      </w:r>
      <w:r>
        <w:t xml:space="preserve"> —mandar un correo o un mensaje a Teams si la extracción falló— y para mover archivos entre carpetas.</w:t>
      </w:r>
    </w:p>
    <w:p>
      <w:r>
        <w:t xml:space="preserve">Lo que </w:t>
      </w:r>
      <w:r>
        <w:rPr>
          <w:b/>
        </w:rPr>
        <w:t>no</w:t>
      </w:r>
      <w:r>
        <w:t xml:space="preserve"> puede hacer es entrar a GLPI a buscar los casos. Para eso necesitaría una licencia de pago adicional, y aun así sería más frágil que el programa que ya funciona.</w:t>
      </w:r>
    </w:p>
    <w:p>
      <w:pPr>
        <w:spacing w:before="200" w:after="60"/>
      </w:pPr>
      <w:r>
        <w:rPr>
          <w:b/>
          <w:color w:val="C01B22"/>
          <w:sz w:val="23"/>
        </w:rPr>
        <w:t>Microsoft Graph</w:t>
      </w:r>
    </w:p>
    <w:p>
      <w:r>
        <w:t xml:space="preserve">Es la puerta de entrada única a todo Microsoft 365: correo, calendario, archivos, Teams. Con ella, el programa podría dejar el archivo en SharePoint </w:t>
      </w:r>
      <w:r>
        <w:rPr>
          <w:b/>
        </w:rPr>
        <w:t>directamente</w:t>
      </w:r>
      <w:r>
        <w:t>, sin pasos intermedios. Es la opción más limpia, pero requiere que alguien con permisos de administrador registre la aplicación.</w:t>
      </w:r>
    </w:p>
    <w:p>
      <w:pPr>
        <w:spacing w:before="200" w:after="60"/>
      </w:pPr>
      <w:r>
        <w:rPr>
          <w:b/>
          <w:color w:val="C01B22"/>
          <w:sz w:val="23"/>
        </w:rPr>
        <w:t>Azure Functions</w:t>
      </w:r>
    </w:p>
    <w:p>
      <w:r>
        <w:t xml:space="preserve">Un sitio en la nube donde dejar un programa para que se ejecute a una hora fija, sin tener que mantener un servidor. Muy adecuado, con una condición: </w:t>
      </w:r>
      <w:r>
        <w:rPr>
          <w:b/>
        </w:rPr>
        <w:t>tiene que poder llegar a GLPI por la red</w:t>
      </w:r>
      <w:r>
        <w:t>. Si GLPI solo es accesible desde dentro de la empresa, esta opción queda descartada sin más discusión.</w:t>
      </w:r>
    </w:p>
    <w:p>
      <w:pPr>
        <w:spacing w:before="200" w:after="60"/>
      </w:pPr>
      <w:r>
        <w:rPr>
          <w:b/>
          <w:color w:val="C01B22"/>
          <w:sz w:val="23"/>
        </w:rPr>
        <w:t>Microsoft Teams</w:t>
      </w:r>
    </w:p>
    <w:p>
      <w:r>
        <w:t>El sitio natural para las alertas: «la extracción de junio falló» o «junio salió con cero casos». No participa en el proceso, pero es lo que evita que un fallo de madrugada se descubra el día 30.</w:t>
      </w:r>
    </w:p>
    <w:p>
      <w:pPr>
        <w:spacing w:before="200" w:after="60"/>
      </w:pPr>
      <w:r>
        <w:rPr>
          <w:b/>
          <w:color w:val="C01B22"/>
          <w:sz w:val="23"/>
        </w:rPr>
        <w:t>Power Automate Desktop</w:t>
      </w:r>
    </w:p>
    <w:p>
      <w:r>
        <w:t>Es el robot que hace clic. Sería el plan de emergencia si la API de GLPI dejara de estar disponible. Hoy no hace falta, y conviene que siga sin hacer falta.</w:t>
      </w:r>
    </w:p>
    <w:p>
      <w:pPr>
        <w:spacing w:before="200" w:after="60"/>
      </w:pPr>
      <w:r>
        <w:rPr>
          <w:b/>
          <w:color w:val="C01B22"/>
          <w:sz w:val="23"/>
        </w:rPr>
        <w:t>Power BI, Dataverse y Power Apps</w:t>
      </w:r>
    </w:p>
    <w:p>
      <w:r>
        <w:t>Son herramientas potentes, pero para este caso no encajan:</w:t>
      </w:r>
    </w:p>
    <w:tbl>
      <w:tblPr>
        <w:tblStyle w:val="TableGrid"/>
        <w:tblW w:type="auto" w:w="0"/>
        <w:jc w:val="center"/>
        <w:tblLayout w:type="fixed"/>
        <w:tblLook w:firstColumn="1" w:firstRow="1" w:lastColumn="0" w:lastRow="0" w:noHBand="0" w:noVBand="1" w:val="04A0"/>
      </w:tblPr>
      <w:tblGrid>
        <w:gridCol w:w="4759"/>
        <w:gridCol w:w="4759"/>
      </w:tblGrid>
      <w:tr>
        <w:trPr>
          <w:tblHeader/>
          <w:cantSplit/>
        </w:trPr>
        <w:tc>
          <w:tcPr>
            <w:tcW w:type="dxa" w:w="2381"/>
            <w:shd w:val="clear" w:color="auto" w:fill="C01B22"/>
          </w:tcPr>
          <w:p>
            <w:pPr>
              <w:spacing w:after="40" w:before="40"/>
            </w:pPr>
            <w:r>
              <w:rPr>
                <w:b/>
                <w:color w:val="FFFFFF"/>
                <w:sz w:val="20"/>
              </w:rPr>
              <w:t>Herramienta</w:t>
            </w:r>
          </w:p>
        </w:tc>
        <w:tc>
          <w:tcPr>
            <w:tcW w:type="dxa" w:w="7138"/>
            <w:shd w:val="clear" w:color="auto" w:fill="C01B22"/>
          </w:tcPr>
          <w:p>
            <w:pPr>
              <w:spacing w:after="40" w:before="40"/>
            </w:pPr>
            <w:r>
              <w:rPr>
                <w:b/>
                <w:color w:val="FFFFFF"/>
                <w:sz w:val="20"/>
              </w:rPr>
              <w:t>Por qué no, hoy</w:t>
            </w:r>
          </w:p>
        </w:tc>
      </w:tr>
      <w:tr>
        <w:trPr>
          <w:cantSplit/>
        </w:trPr>
        <w:tc>
          <w:tcPr>
            <w:tcW w:type="dxa" w:w="2381"/>
          </w:tcPr>
          <w:p>
            <w:pPr>
              <w:spacing w:after="40" w:before="40"/>
            </w:pPr>
            <w:r>
              <w:rPr>
                <w:sz w:val="20"/>
              </w:rPr>
              <w:t>Power BI</w:t>
            </w:r>
          </w:p>
        </w:tc>
        <w:tc>
          <w:tcPr>
            <w:tcW w:type="dxa" w:w="7138"/>
          </w:tcPr>
          <w:p>
            <w:pPr>
              <w:spacing w:after="40" w:before="40"/>
            </w:pPr>
            <w:r>
              <w:rPr>
                <w:sz w:val="20"/>
              </w:rPr>
              <w:t>Cambiaría el entregable. El informe HTML ya está aprobado y funciona</w:t>
            </w:r>
          </w:p>
        </w:tc>
      </w:tr>
      <w:tr>
        <w:trPr>
          <w:cantSplit/>
        </w:trPr>
        <w:tc>
          <w:tcPr>
            <w:tcW w:type="dxa" w:w="2381"/>
            <w:shd w:val="clear" w:color="auto" w:fill="F4F6F8"/>
          </w:tcPr>
          <w:p>
            <w:pPr>
              <w:spacing w:after="40" w:before="40"/>
            </w:pPr>
            <w:r>
              <w:rPr>
                <w:sz w:val="20"/>
              </w:rPr>
              <w:t>Dataverse</w:t>
            </w:r>
          </w:p>
        </w:tc>
        <w:tc>
          <w:tcPr>
            <w:tcW w:type="dxa" w:w="7138"/>
            <w:shd w:val="clear" w:color="auto" w:fill="F4F6F8"/>
          </w:tcPr>
          <w:p>
            <w:pPr>
              <w:spacing w:after="40" w:before="40"/>
            </w:pPr>
            <w:r>
              <w:rPr>
                <w:sz w:val="20"/>
              </w:rPr>
              <w:t>Una base de datos completa para un archivo al mes. Es desproporcionado</w:t>
            </w:r>
          </w:p>
        </w:tc>
      </w:tr>
      <w:tr>
        <w:trPr>
          <w:cantSplit/>
        </w:trPr>
        <w:tc>
          <w:tcPr>
            <w:tcW w:type="dxa" w:w="2381"/>
          </w:tcPr>
          <w:p>
            <w:pPr>
              <w:spacing w:after="40" w:before="40"/>
            </w:pPr>
            <w:r>
              <w:rPr>
                <w:sz w:val="20"/>
              </w:rPr>
              <w:t>Power Apps</w:t>
            </w:r>
          </w:p>
        </w:tc>
        <w:tc>
          <w:tcPr>
            <w:tcW w:type="dxa" w:w="7138"/>
          </w:tcPr>
          <w:p>
            <w:pPr>
              <w:spacing w:after="40" w:before="40"/>
            </w:pPr>
            <w:r>
              <w:rPr>
                <w:sz w:val="20"/>
              </w:rPr>
              <w:t>Sirve para crear formularios y pantallas. Aquí no hay nada que capturar a mano</w:t>
            </w:r>
          </w:p>
        </w:tc>
      </w:tr>
    </w:tbl>
    <w:p>
      <w:pPr>
        <w:spacing w:after="80"/>
      </w:pPr>
    </w:p>
    <w:p>
      <w:pPr>
        <w:spacing w:before="280" w:after="100"/>
      </w:pPr>
      <w:r>
        <w:rPr>
          <w:b/>
          <w:color w:val="1A1A1A"/>
          <w:sz w:val="27"/>
        </w:rPr>
        <w:t>Las opciones reales, comparadas</w:t>
      </w:r>
    </w:p>
    <w:p>
      <w:r>
        <w:t>Para el punto 1 —dónde se ejecuta el programa cada mes:</w:t>
      </w:r>
    </w:p>
    <w:tbl>
      <w:tblPr>
        <w:tblStyle w:val="TableGrid"/>
        <w:tblW w:type="auto" w:w="0"/>
        <w:jc w:val="center"/>
        <w:tblLayout w:type="fixed"/>
        <w:tblLook w:firstColumn="1" w:firstRow="1" w:lastColumn="0" w:lastRow="0" w:noHBand="0" w:noVBand="1" w:val="04A0"/>
      </w:tblPr>
      <w:tblGrid>
        <w:gridCol w:w="3173"/>
        <w:gridCol w:w="3173"/>
        <w:gridCol w:w="3173"/>
      </w:tblGrid>
      <w:tr>
        <w:trPr>
          <w:tblHeader/>
          <w:cantSplit/>
        </w:trPr>
        <w:tc>
          <w:tcPr>
            <w:tcW w:type="dxa" w:w="2608"/>
            <w:shd w:val="clear" w:color="auto" w:fill="C01B22"/>
          </w:tcPr>
          <w:p>
            <w:pPr>
              <w:spacing w:after="40" w:before="40"/>
            </w:pPr>
            <w:r>
              <w:rPr>
                <w:b/>
                <w:color w:val="FFFFFF"/>
                <w:sz w:val="20"/>
              </w:rPr>
              <w:t>Dónde</w:t>
            </w:r>
          </w:p>
        </w:tc>
        <w:tc>
          <w:tcPr>
            <w:tcW w:type="dxa" w:w="3742"/>
            <w:shd w:val="clear" w:color="auto" w:fill="C01B22"/>
          </w:tcPr>
          <w:p>
            <w:pPr>
              <w:spacing w:after="40" w:before="40"/>
            </w:pPr>
            <w:r>
              <w:rPr>
                <w:b/>
                <w:color w:val="FFFFFF"/>
                <w:sz w:val="20"/>
              </w:rPr>
              <w:t>A favor</w:t>
            </w:r>
          </w:p>
        </w:tc>
        <w:tc>
          <w:tcPr>
            <w:tcW w:type="dxa" w:w="3169"/>
            <w:shd w:val="clear" w:color="auto" w:fill="C01B22"/>
          </w:tcPr>
          <w:p>
            <w:pPr>
              <w:spacing w:after="40" w:before="40"/>
            </w:pPr>
            <w:r>
              <w:rPr>
                <w:b/>
                <w:color w:val="FFFFFF"/>
                <w:sz w:val="20"/>
              </w:rPr>
              <w:t>En contra</w:t>
            </w:r>
          </w:p>
        </w:tc>
      </w:tr>
      <w:tr>
        <w:trPr>
          <w:cantSplit/>
        </w:trPr>
        <w:tc>
          <w:tcPr>
            <w:tcW w:type="dxa" w:w="2608"/>
          </w:tcPr>
          <w:p>
            <w:pPr>
              <w:spacing w:after="40" w:before="40"/>
            </w:pPr>
            <w:r>
              <w:rPr>
                <w:b/>
                <w:sz w:val="20"/>
              </w:rPr>
              <w:t>El servidor de la empresa</w:t>
            </w:r>
          </w:p>
        </w:tc>
        <w:tc>
          <w:tcPr>
            <w:tcW w:type="dxa" w:w="3742"/>
          </w:tcPr>
          <w:p>
            <w:pPr>
              <w:spacing w:after="40" w:before="40"/>
            </w:pPr>
            <w:r>
              <w:rPr>
                <w:sz w:val="20"/>
              </w:rPr>
              <w:t>Ya existe, ya está encendido, ya se usa para otras automatizaciones. Está dentro de la red, así que llega a GLPI</w:t>
            </w:r>
          </w:p>
        </w:tc>
        <w:tc>
          <w:tcPr>
            <w:tcW w:type="dxa" w:w="3169"/>
          </w:tcPr>
          <w:p>
            <w:pPr>
              <w:spacing w:after="40" w:before="40"/>
            </w:pPr>
            <w:r>
              <w:rPr>
                <w:sz w:val="20"/>
              </w:rPr>
              <w:t>Depende de que te den acceso</w:t>
            </w:r>
          </w:p>
        </w:tc>
      </w:tr>
      <w:tr>
        <w:trPr>
          <w:cantSplit/>
        </w:trPr>
        <w:tc>
          <w:tcPr>
            <w:tcW w:type="dxa" w:w="2608"/>
            <w:shd w:val="clear" w:color="auto" w:fill="F4F6F8"/>
          </w:tcPr>
          <w:p>
            <w:pPr>
              <w:spacing w:after="40" w:before="40"/>
            </w:pPr>
            <w:r>
              <w:rPr>
                <w:b/>
                <w:sz w:val="20"/>
              </w:rPr>
              <w:t>Azure Functions</w:t>
            </w:r>
          </w:p>
        </w:tc>
        <w:tc>
          <w:tcPr>
            <w:tcW w:type="dxa" w:w="3742"/>
            <w:shd w:val="clear" w:color="auto" w:fill="F4F6F8"/>
          </w:tcPr>
          <w:p>
            <w:pPr>
              <w:spacing w:after="40" w:before="40"/>
            </w:pPr>
            <w:r>
              <w:rPr>
                <w:sz w:val="20"/>
              </w:rPr>
              <w:t>Nada que mantener. Se paga por uso</w:t>
            </w:r>
          </w:p>
        </w:tc>
        <w:tc>
          <w:tcPr>
            <w:tcW w:type="dxa" w:w="3169"/>
            <w:shd w:val="clear" w:color="auto" w:fill="F4F6F8"/>
          </w:tcPr>
          <w:p>
            <w:pPr>
              <w:spacing w:after="40" w:before="40"/>
            </w:pPr>
            <w:r>
              <w:rPr>
                <w:sz w:val="20"/>
              </w:rPr>
              <w:t>Hay que confirmar que llega a GLPI por la red, y que hay suscripción</w:t>
            </w:r>
          </w:p>
        </w:tc>
      </w:tr>
      <w:tr>
        <w:trPr>
          <w:cantSplit/>
        </w:trPr>
        <w:tc>
          <w:tcPr>
            <w:tcW w:type="dxa" w:w="2608"/>
          </w:tcPr>
          <w:p>
            <w:pPr>
              <w:spacing w:after="40" w:before="40"/>
            </w:pPr>
            <w:r>
              <w:rPr>
                <w:b/>
                <w:sz w:val="20"/>
              </w:rPr>
              <w:t>Un PC de la oficina</w:t>
            </w:r>
          </w:p>
        </w:tc>
        <w:tc>
          <w:tcPr>
            <w:tcW w:type="dxa" w:w="3742"/>
          </w:tcPr>
          <w:p>
            <w:pPr>
              <w:spacing w:after="40" w:before="40"/>
            </w:pPr>
            <w:r>
              <w:rPr>
                <w:sz w:val="20"/>
              </w:rPr>
              <w:t>Se monta hoy mismo con el Programador de tareas de Windows</w:t>
            </w:r>
          </w:p>
        </w:tc>
        <w:tc>
          <w:tcPr>
            <w:tcW w:type="dxa" w:w="3169"/>
          </w:tcPr>
          <w:p>
            <w:pPr>
              <w:spacing w:after="40" w:before="40"/>
            </w:pPr>
            <w:r>
              <w:rPr>
                <w:sz w:val="20"/>
              </w:rPr>
              <w:t>Depende de que nadie lo apague. Frágil</w:t>
            </w:r>
          </w:p>
        </w:tc>
      </w:tr>
    </w:tbl>
    <w:p>
      <w:pPr>
        <w:spacing w:after="80"/>
      </w:pPr>
    </w:p>
    <w:p>
      <w:r>
        <w:t>Para el punto 2 —cómo llega el archivo a su sitio:</w:t>
      </w:r>
    </w:p>
    <w:tbl>
      <w:tblPr>
        <w:tblStyle w:val="TableGrid"/>
        <w:tblW w:type="auto" w:w="0"/>
        <w:jc w:val="center"/>
        <w:tblLayout w:type="fixed"/>
        <w:tblLook w:firstColumn="1" w:firstRow="1" w:lastColumn="0" w:lastRow="0" w:noHBand="0" w:noVBand="1" w:val="04A0"/>
      </w:tblPr>
      <w:tblGrid>
        <w:gridCol w:w="3173"/>
        <w:gridCol w:w="3173"/>
        <w:gridCol w:w="3173"/>
      </w:tblGrid>
      <w:tr>
        <w:trPr>
          <w:tblHeader/>
          <w:cantSplit/>
        </w:trPr>
        <w:tc>
          <w:tcPr>
            <w:tcW w:type="dxa" w:w="3175"/>
            <w:shd w:val="clear" w:color="auto" w:fill="C01B22"/>
          </w:tcPr>
          <w:p>
            <w:pPr>
              <w:spacing w:after="40" w:before="40"/>
            </w:pPr>
            <w:r>
              <w:rPr>
                <w:b/>
                <w:color w:val="FFFFFF"/>
                <w:sz w:val="20"/>
              </w:rPr>
              <w:t>Cómo</w:t>
            </w:r>
          </w:p>
        </w:tc>
        <w:tc>
          <w:tcPr>
            <w:tcW w:type="dxa" w:w="3175"/>
            <w:shd w:val="clear" w:color="auto" w:fill="C01B22"/>
          </w:tcPr>
          <w:p>
            <w:pPr>
              <w:spacing w:after="40" w:before="40"/>
            </w:pPr>
            <w:r>
              <w:rPr>
                <w:b/>
                <w:color w:val="FFFFFF"/>
                <w:sz w:val="20"/>
              </w:rPr>
              <w:t>A favor</w:t>
            </w:r>
          </w:p>
        </w:tc>
        <w:tc>
          <w:tcPr>
            <w:tcW w:type="dxa" w:w="3169"/>
            <w:shd w:val="clear" w:color="auto" w:fill="C01B22"/>
          </w:tcPr>
          <w:p>
            <w:pPr>
              <w:spacing w:after="40" w:before="40"/>
            </w:pPr>
            <w:r>
              <w:rPr>
                <w:b/>
                <w:color w:val="FFFFFF"/>
                <w:sz w:val="20"/>
              </w:rPr>
              <w:t>En contra</w:t>
            </w:r>
          </w:p>
        </w:tc>
      </w:tr>
      <w:tr>
        <w:trPr>
          <w:cantSplit/>
        </w:trPr>
        <w:tc>
          <w:tcPr>
            <w:tcW w:type="dxa" w:w="3175"/>
          </w:tcPr>
          <w:p>
            <w:pPr>
              <w:spacing w:after="40" w:before="40"/>
            </w:pPr>
            <w:r>
              <w:rPr>
                <w:b/>
                <w:sz w:val="20"/>
              </w:rPr>
              <w:t>El programa escribe directo en SharePoint</w:t>
            </w:r>
            <w:r>
              <w:rPr>
                <w:sz w:val="20"/>
              </w:rPr>
              <w:t xml:space="preserve"> (con Graph)</w:t>
            </w:r>
          </w:p>
        </w:tc>
        <w:tc>
          <w:tcPr>
            <w:tcW w:type="dxa" w:w="3175"/>
          </w:tcPr>
          <w:p>
            <w:pPr>
              <w:spacing w:after="40" w:before="40"/>
            </w:pPr>
            <w:r>
              <w:rPr>
                <w:sz w:val="20"/>
              </w:rPr>
              <w:t>Menos piezas, menos cosas que se rompan de madrugada</w:t>
            </w:r>
          </w:p>
        </w:tc>
        <w:tc>
          <w:tcPr>
            <w:tcW w:type="dxa" w:w="3169"/>
          </w:tcPr>
          <w:p>
            <w:pPr>
              <w:spacing w:after="40" w:before="40"/>
            </w:pPr>
            <w:r>
              <w:rPr>
                <w:sz w:val="20"/>
              </w:rPr>
              <w:t>Requiere registrar la aplicación con un administrador</w:t>
            </w:r>
          </w:p>
        </w:tc>
      </w:tr>
      <w:tr>
        <w:trPr>
          <w:cantSplit/>
        </w:trPr>
        <w:tc>
          <w:tcPr>
            <w:tcW w:type="dxa" w:w="3175"/>
            <w:shd w:val="clear" w:color="auto" w:fill="F4F6F8"/>
          </w:tcPr>
          <w:p>
            <w:pPr>
              <w:spacing w:after="40" w:before="40"/>
            </w:pPr>
            <w:r>
              <w:rPr>
                <w:b/>
                <w:sz w:val="20"/>
              </w:rPr>
              <w:t>El programa guarda en una carpeta y Power Automate la mueve</w:t>
            </w:r>
          </w:p>
        </w:tc>
        <w:tc>
          <w:tcPr>
            <w:tcW w:type="dxa" w:w="3175"/>
            <w:shd w:val="clear" w:color="auto" w:fill="F4F6F8"/>
          </w:tcPr>
          <w:p>
            <w:pPr>
              <w:spacing w:after="40" w:before="40"/>
            </w:pPr>
            <w:r>
              <w:rPr>
                <w:sz w:val="20"/>
              </w:rPr>
              <w:t>No hace falta registrar nada</w:t>
            </w:r>
          </w:p>
        </w:tc>
        <w:tc>
          <w:tcPr>
            <w:tcW w:type="dxa" w:w="3169"/>
            <w:shd w:val="clear" w:color="auto" w:fill="F4F6F8"/>
          </w:tcPr>
          <w:p>
            <w:pPr>
              <w:spacing w:after="40" w:before="40"/>
            </w:pPr>
            <w:r>
              <w:rPr>
                <w:sz w:val="20"/>
              </w:rPr>
              <w:t>Una pieza más en la cadena, y otra cosa que puede fallar</w:t>
            </w:r>
          </w:p>
        </w:tc>
      </w:tr>
      <w:tr>
        <w:trPr>
          <w:cantSplit/>
        </w:trPr>
        <w:tc>
          <w:tcPr>
            <w:tcW w:type="dxa" w:w="3175"/>
          </w:tcPr>
          <w:p>
            <w:pPr>
              <w:spacing w:after="40" w:before="40"/>
            </w:pPr>
            <w:r>
              <w:rPr>
                <w:b/>
                <w:sz w:val="20"/>
              </w:rPr>
              <w:t>El programa guarda directo en la carpeta sincronizada</w:t>
            </w:r>
          </w:p>
        </w:tc>
        <w:tc>
          <w:tcPr>
            <w:tcW w:type="dxa" w:w="3175"/>
          </w:tcPr>
          <w:p>
            <w:pPr>
              <w:spacing w:after="40" w:before="40"/>
            </w:pPr>
            <w:r>
              <w:rPr>
                <w:sz w:val="20"/>
              </w:rPr>
              <w:t>Lo más simple de todo. OneDrive sube el archivo solo</w:t>
            </w:r>
          </w:p>
        </w:tc>
        <w:tc>
          <w:tcPr>
            <w:tcW w:type="dxa" w:w="3169"/>
          </w:tcPr>
          <w:p>
            <w:pPr>
              <w:spacing w:after="40" w:before="40"/>
            </w:pPr>
            <w:r>
              <w:rPr>
                <w:sz w:val="20"/>
              </w:rPr>
              <w:t>Solo sirve si el programa corre en un equipo con OneDrive instalado</w:t>
            </w:r>
          </w:p>
        </w:tc>
      </w:tr>
    </w:tbl>
    <w:p>
      <w:pPr>
        <w:spacing w:after="80"/>
      </w:pPr>
    </w:p>
    <w:p>
      <w:pPr>
        <w:spacing w:before="280" w:after="100"/>
      </w:pPr>
      <w:r>
        <w:rPr>
          <w:b/>
          <w:color w:val="1A1A1A"/>
          <w:sz w:val="27"/>
        </w:rPr>
        <w:t>La forma recomendada</w:t>
      </w:r>
    </w:p>
    <w:p>
      <w:r>
        <w:t>Ordenada de menos a más esfuerzo. Cada escalón funciona por sí solo; se puede parar en cualquiera:</w:t>
      </w:r>
    </w:p>
    <w:p>
      <w:pPr>
        <w:spacing w:after="40"/>
        <w:ind w:left="113"/>
      </w:pPr>
      <w:r>
        <w:rPr>
          <w:b/>
          <w:color w:val="C01B22"/>
        </w:rPr>
        <w:t xml:space="preserve">Paso 1.  </w:t>
      </w:r>
      <w:r>
        <w:rPr>
          <w:b/>
        </w:rPr>
        <w:t>Hoy: doble clic</w:t>
      </w:r>
    </w:p>
    <w:p>
      <w:pPr>
        <w:spacing w:after="160"/>
        <w:ind w:left="482"/>
      </w:pPr>
      <w:r>
        <w:t>Lo que ya tienes. Funciona, está probado y no depende de nadie.</w:t>
      </w:r>
    </w:p>
    <w:p>
      <w:pPr>
        <w:spacing w:after="40"/>
        <w:ind w:left="113"/>
      </w:pPr>
      <w:r>
        <w:rPr>
          <w:b/>
          <w:color w:val="C01B22"/>
        </w:rPr>
        <w:t xml:space="preserve">Paso 2.  </w:t>
      </w:r>
      <w:r>
        <w:rPr>
          <w:b/>
        </w:rPr>
        <w:t>Siguiente: que se ejecute solo</w:t>
      </w:r>
    </w:p>
    <w:p>
      <w:pPr>
        <w:spacing w:after="160"/>
        <w:ind w:left="482"/>
      </w:pPr>
      <w:r>
        <w:t>El Programador de tareas de Windows en el servidor de la empresa, ejecutando el mismo programa con la opción -NoAbrir. Sin cambiar una línea de código.</w:t>
      </w:r>
    </w:p>
    <w:p>
      <w:pPr>
        <w:spacing w:after="40"/>
        <w:ind w:left="113"/>
      </w:pPr>
      <w:r>
        <w:rPr>
          <w:b/>
          <w:color w:val="C01B22"/>
        </w:rPr>
        <w:t xml:space="preserve">Paso 3.  </w:t>
      </w:r>
      <w:r>
        <w:rPr>
          <w:b/>
        </w:rPr>
        <w:t>Después: que el archivo viaje</w:t>
      </w:r>
    </w:p>
    <w:p>
      <w:pPr>
        <w:spacing w:after="160"/>
        <w:ind w:left="482"/>
      </w:pPr>
      <w:r>
        <w:t>El programa deja el insumo en una carpeta de OneDrive sincronizada. La carpeta se sincroniza sola y el archivo aparece en el computador de quien tenga que abrir el informe. Sigue sin hacer falta ningún permiso especial.</w:t>
      </w:r>
    </w:p>
    <w:p>
      <w:pPr>
        <w:spacing w:after="40"/>
        <w:ind w:left="113"/>
      </w:pPr>
      <w:r>
        <w:rPr>
          <w:b/>
          <w:color w:val="C01B22"/>
        </w:rPr>
        <w:t xml:space="preserve">Paso 4.  </w:t>
      </w:r>
      <w:r>
        <w:rPr>
          <w:b/>
        </w:rPr>
        <w:t>Cuando haga falta: aviso si falla</w:t>
      </w:r>
    </w:p>
    <w:p>
      <w:pPr>
        <w:spacing w:after="160"/>
        <w:ind w:left="482"/>
      </w:pPr>
      <w:r>
        <w:t>Un flujo de Power Automate que vigile la carpeta: si el archivo del mes no apareció, o si llegó con observaciones, manda un mensaje a Teams. Esto es lo que convierte la automatización en algo de confiar.</w:t>
      </w:r>
    </w:p>
    <w:p>
      <w:pPr>
        <w:spacing w:after="40"/>
        <w:ind w:left="113"/>
      </w:pPr>
      <w:r>
        <w:rPr>
          <w:b/>
          <w:color w:val="C01B22"/>
        </w:rPr>
        <w:t xml:space="preserve">Paso 5.  </w:t>
      </w:r>
      <w:r>
        <w:rPr>
          <w:b/>
        </w:rPr>
        <w:t>Si se quiere afinar: escribir directo en SharePoint</w:t>
      </w:r>
    </w:p>
    <w:p>
      <w:pPr>
        <w:spacing w:after="160"/>
        <w:ind w:left="482"/>
      </w:pPr>
      <w:r>
        <w:t>Con Microsoft Graph, quitando el paso de la carpeta sincronizada. Es más limpio, pero no es urgente: solo hazlo si aparece una razón concreta.</w:t>
      </w:r>
    </w:p>
    <w:p>
      <w:pPr>
        <w:spacing w:before="180" w:after="40"/>
        <w:ind w:left="170"/>
        <w:shd w:val="clear" w:color="auto" w:fill="FFF4E5"/>
        <w:pBdr>
          <w:left w:val="single" w:sz="18" w:space="8" w:color="E8A33D"/>
        </w:pBdr>
      </w:pPr>
      <w:r>
        <w:rPr>
          <w:b/>
          <w:sz w:val="21"/>
        </w:rPr>
        <w:t>La regla que conviene no perder de vista</w:t>
      </w:r>
    </w:p>
    <w:p>
      <w:pPr>
        <w:spacing w:after="200"/>
        <w:ind w:left="170"/>
        <w:shd w:val="clear" w:color="auto" w:fill="FFF4E5"/>
        <w:pBdr>
          <w:left w:val="single" w:sz="18" w:space="8" w:color="E8A33D"/>
        </w:pBdr>
      </w:pPr>
      <w:r>
        <w:rPr>
          <w:sz w:val="21"/>
        </w:rPr>
        <w:t>Cada pieza que se añade es una pieza más que puede fallar a la 1 de la mañana sin que nadie se entere. La solución más simple que resuelve el problema real casi siempre gana. Hoy el proceso tiene tres piezas; que siga teniendo tres.</w:t>
      </w:r>
    </w:p>
    <w:p>
      <w:pPr>
        <w:spacing w:before="280" w:after="100"/>
      </w:pPr>
      <w:r>
        <w:rPr>
          <w:b/>
          <w:color w:val="1A1A1A"/>
          <w:sz w:val="27"/>
        </w:rPr>
        <w:t>Tres cosas que hay que resolver antes</w:t>
      </w:r>
    </w:p>
    <w:p>
      <w:pPr>
        <w:spacing w:before="200" w:after="60"/>
      </w:pPr>
      <w:r>
        <w:rPr>
          <w:b/>
          <w:color w:val="C01B22"/>
          <w:sz w:val="23"/>
        </w:rPr>
        <w:t>1. Una cuenta de servicio</w:t>
      </w:r>
    </w:p>
    <w:p>
      <w:r>
        <w:t xml:space="preserve">Hoy el programa usa credenciales personales. Eso tiene dos problemas reales: el día que esa persona cambie su contraseña, la automatización se cae </w:t>
      </w:r>
      <w:r>
        <w:rPr>
          <w:b/>
        </w:rPr>
        <w:t>y nadie sabrá por qué</w:t>
      </w:r>
      <w:r>
        <w:t>; y GLPI registra cada consulta a nombre de esa persona. Hay que pedir una cuenta de servicio de solo lectura.</w:t>
      </w:r>
    </w:p>
    <w:p>
      <w:pPr>
        <w:spacing w:before="200" w:after="60"/>
      </w:pPr>
      <w:r>
        <w:rPr>
          <w:b/>
          <w:color w:val="C01B22"/>
          <w:sz w:val="23"/>
        </w:rPr>
        <w:t>2. Los permisos de la carpeta</w:t>
      </w:r>
    </w:p>
    <w:p>
      <w:r>
        <w:t>Como se explicó en el capítulo 6, la huella protege los datos pero no impide que alguien que pueda escribir en la carpeta ponga otra cosa. Cuando el insumo viva en SharePoint, hay que definir quién tiene permiso de escritura.</w:t>
      </w:r>
    </w:p>
    <w:p>
      <w:pPr>
        <w:spacing w:before="200" w:after="60"/>
      </w:pPr>
      <w:r>
        <w:rPr>
          <w:b/>
          <w:color w:val="C01B22"/>
          <w:sz w:val="23"/>
        </w:rPr>
        <w:t>3. Qué pasa cuando falle</w:t>
      </w:r>
    </w:p>
    <w:p>
      <w:r>
        <w:t>Un proceso automático sin responsable es un proceso que un día deja de funcionar en silencio. Hay que decidir quién recibe la alerta y qué hace al recibirla.</w:t>
      </w:r>
    </w:p>
    <w:p>
      <w:r>
        <w:br w:type="page"/>
      </w:r>
    </w:p>
    <w:p>
      <w:pPr>
        <w:spacing w:before="0" w:after="200"/>
        <w:pBdr>
          <w:bottom w:val="single" w:sz="6" w:space="4" w:color="D8DEE4"/>
        </w:pBdr>
      </w:pPr>
      <w:r>
        <w:rPr>
          <w:b/>
          <w:color w:val="C01B22"/>
          <w:sz w:val="40"/>
        </w:rPr>
        <w:t>11. Lo que sabemos que NO funciona</w:t>
      </w:r>
    </w:p>
    <w:p>
      <w:r>
        <w:t>Comprobado, no supuesto. Sirve para no perder tiempo intentándolo:</w:t>
      </w:r>
    </w:p>
    <w:tbl>
      <w:tblPr>
        <w:tblStyle w:val="TableGrid"/>
        <w:tblW w:type="auto" w:w="0"/>
        <w:jc w:val="center"/>
        <w:tblLayout w:type="fixed"/>
        <w:tblLook w:firstColumn="1" w:firstRow="1" w:lastColumn="0" w:lastRow="0" w:noHBand="0" w:noVBand="1" w:val="04A0"/>
      </w:tblPr>
      <w:tblGrid>
        <w:gridCol w:w="4759"/>
        <w:gridCol w:w="4759"/>
      </w:tblGrid>
      <w:tr>
        <w:trPr>
          <w:tblHeader/>
          <w:cantSplit/>
        </w:trPr>
        <w:tc>
          <w:tcPr>
            <w:tcW w:type="dxa" w:w="3742"/>
            <w:shd w:val="clear" w:color="auto" w:fill="C01B22"/>
          </w:tcPr>
          <w:p>
            <w:pPr>
              <w:spacing w:after="40" w:before="40"/>
            </w:pPr>
            <w:r>
              <w:rPr>
                <w:b/>
                <w:color w:val="FFFFFF"/>
                <w:sz w:val="20"/>
              </w:rPr>
              <w:t>Idea</w:t>
            </w:r>
          </w:p>
        </w:tc>
        <w:tc>
          <w:tcPr>
            <w:tcW w:type="dxa" w:w="5777"/>
            <w:shd w:val="clear" w:color="auto" w:fill="C01B22"/>
          </w:tcPr>
          <w:p>
            <w:pPr>
              <w:spacing w:after="40" w:before="40"/>
            </w:pPr>
            <w:r>
              <w:rPr>
                <w:b/>
                <w:color w:val="FFFFFF"/>
                <w:sz w:val="20"/>
              </w:rPr>
              <w:t>Por qué no</w:t>
            </w:r>
          </w:p>
        </w:tc>
      </w:tr>
      <w:tr>
        <w:trPr>
          <w:cantSplit/>
        </w:trPr>
        <w:tc>
          <w:tcPr>
            <w:tcW w:type="dxa" w:w="3742"/>
          </w:tcPr>
          <w:p>
            <w:pPr>
              <w:spacing w:after="40" w:before="40"/>
            </w:pPr>
            <w:r>
              <w:rPr>
                <w:sz w:val="20"/>
              </w:rPr>
              <w:t>Que el informe consulte SharePoint por internet</w:t>
            </w:r>
          </w:p>
        </w:tc>
        <w:tc>
          <w:tcPr>
            <w:tcW w:type="dxa" w:w="5777"/>
          </w:tcPr>
          <w:p>
            <w:pPr>
              <w:spacing w:after="40" w:before="40"/>
            </w:pPr>
            <w:r>
              <w:rPr>
                <w:sz w:val="20"/>
              </w:rPr>
              <w:t>El navegador lo bloquea cuando el informe se abre con doble clic. No hay forma de activarlo</w:t>
            </w:r>
          </w:p>
        </w:tc>
      </w:tr>
      <w:tr>
        <w:trPr>
          <w:cantSplit/>
        </w:trPr>
        <w:tc>
          <w:tcPr>
            <w:tcW w:type="dxa" w:w="3742"/>
            <w:shd w:val="clear" w:color="auto" w:fill="F4F6F8"/>
          </w:tcPr>
          <w:p>
            <w:pPr>
              <w:spacing w:after="40" w:before="40"/>
            </w:pPr>
            <w:r>
              <w:rPr>
                <w:sz w:val="20"/>
              </w:rPr>
              <w:t>Publicar el informe como página de SharePoint</w:t>
            </w:r>
          </w:p>
        </w:tc>
        <w:tc>
          <w:tcPr>
            <w:tcW w:type="dxa" w:w="5777"/>
            <w:shd w:val="clear" w:color="auto" w:fill="F4F6F8"/>
          </w:tcPr>
          <w:p>
            <w:pPr>
              <w:spacing w:after="40" w:before="40"/>
            </w:pPr>
            <w:r>
              <w:rPr>
                <w:sz w:val="20"/>
              </w:rPr>
              <w:t>SharePoint lo ofrece como descarga, no lo ejecuta. La opción que lo permitiría viene desactivada por seguridad</w:t>
            </w:r>
          </w:p>
        </w:tc>
      </w:tr>
      <w:tr>
        <w:trPr>
          <w:cantSplit/>
        </w:trPr>
        <w:tc>
          <w:tcPr>
            <w:tcW w:type="dxa" w:w="3742"/>
          </w:tcPr>
          <w:p>
            <w:pPr>
              <w:spacing w:after="40" w:before="40"/>
            </w:pPr>
            <w:r>
              <w:rPr>
                <w:sz w:val="20"/>
              </w:rPr>
              <w:t>Que el informe lea un archivo que descargaste</w:t>
            </w:r>
          </w:p>
        </w:tc>
        <w:tc>
          <w:tcPr>
            <w:tcW w:type="dxa" w:w="5777"/>
          </w:tcPr>
          <w:p>
            <w:pPr>
              <w:spacing w:after="40" w:before="40"/>
            </w:pPr>
            <w:r>
              <w:rPr>
                <w:sz w:val="20"/>
              </w:rPr>
              <w:t>El navegador no puede mirar el disco duro. Si lo descargas tú, tienes que arrastrarlo tú</w:t>
            </w:r>
          </w:p>
        </w:tc>
      </w:tr>
      <w:tr>
        <w:trPr>
          <w:cantSplit/>
        </w:trPr>
        <w:tc>
          <w:tcPr>
            <w:tcW w:type="dxa" w:w="3742"/>
            <w:shd w:val="clear" w:color="auto" w:fill="F4F6F8"/>
          </w:tcPr>
          <w:p>
            <w:pPr>
              <w:spacing w:after="40" w:before="40"/>
            </w:pPr>
            <w:r>
              <w:rPr>
                <w:sz w:val="20"/>
              </w:rPr>
              <w:t>Que el informe pida acceso a una carpeta</w:t>
            </w:r>
          </w:p>
        </w:tc>
        <w:tc>
          <w:tcPr>
            <w:tcW w:type="dxa" w:w="5777"/>
            <w:shd w:val="clear" w:color="auto" w:fill="F4F6F8"/>
          </w:tcPr>
          <w:p>
            <w:pPr>
              <w:spacing w:after="40" w:before="40"/>
            </w:pPr>
            <w:r>
              <w:rPr>
                <w:sz w:val="20"/>
              </w:rPr>
              <w:t>Bloqueado también, por el mismo motivo</w:t>
            </w:r>
          </w:p>
        </w:tc>
      </w:tr>
      <w:tr>
        <w:trPr>
          <w:cantSplit/>
        </w:trPr>
        <w:tc>
          <w:tcPr>
            <w:tcW w:type="dxa" w:w="3742"/>
          </w:tcPr>
          <w:p>
            <w:pPr>
              <w:spacing w:after="40" w:before="40"/>
            </w:pPr>
            <w:r>
              <w:rPr>
                <w:sz w:val="20"/>
              </w:rPr>
              <w:t>Proteger el código del informe para que no lo copien</w:t>
            </w:r>
          </w:p>
        </w:tc>
        <w:tc>
          <w:tcPr>
            <w:tcW w:type="dxa" w:w="5777"/>
          </w:tcPr>
          <w:p>
            <w:pPr>
              <w:spacing w:after="40" w:before="40"/>
            </w:pPr>
            <w:r>
              <w:rPr>
                <w:sz w:val="20"/>
              </w:rPr>
              <w:t>El informe se entrega al cliente; quien tiene el archivo tiene el código. Ofuscarlo solo estorba. Lo que sí sirve es el aviso de confidencialidad que ya lleva</w:t>
            </w:r>
          </w:p>
        </w:tc>
      </w:tr>
    </w:tbl>
    <w:p>
      <w:pPr>
        <w:spacing w:after="80"/>
      </w:pPr>
    </w:p>
    <w:p>
      <w:pPr>
        <w:spacing w:before="180" w:after="40"/>
        <w:ind w:left="170"/>
        <w:shd w:val="clear" w:color="auto" w:fill="FFF4E5"/>
        <w:pBdr>
          <w:left w:val="single" w:sz="18" w:space="8" w:color="E8A33D"/>
        </w:pBdr>
      </w:pPr>
      <w:r>
        <w:rPr>
          <w:b/>
          <w:sz w:val="21"/>
        </w:rPr>
        <w:t>La frase que resume el capítulo 6</w:t>
      </w:r>
    </w:p>
    <w:p>
      <w:pPr>
        <w:spacing w:after="200"/>
        <w:ind w:left="170"/>
        <w:shd w:val="clear" w:color="auto" w:fill="FFF4E5"/>
        <w:pBdr>
          <w:left w:val="single" w:sz="18" w:space="8" w:color="E8A33D"/>
        </w:pBdr>
      </w:pPr>
      <w:r>
        <w:rPr>
          <w:sz w:val="21"/>
        </w:rPr>
        <w:t>No es «el informe lee lo que descargues». Es «</w:t>
      </w:r>
      <w:r>
        <w:rPr>
          <w:b/>
          <w:sz w:val="21"/>
        </w:rPr>
        <w:t>nadie descarga nada</w:t>
      </w:r>
      <w:r>
        <w:rPr>
          <w:sz w:val="21"/>
        </w:rPr>
        <w:t>». Si sigue habiendo una persona bajando el archivo, no se ahorra nada: da igual arrastrarlo al informe que ponerlo en una carpeta. Todo el valor está en que ese paso desaparezca.</w:t>
      </w:r>
    </w:p>
    <w:p>
      <w:r>
        <w:br w:type="page"/>
      </w:r>
    </w:p>
    <w:p>
      <w:pPr>
        <w:spacing w:before="0" w:after="200"/>
        <w:pBdr>
          <w:bottom w:val="single" w:sz="6" w:space="4" w:color="D8DEE4"/>
        </w:pBdr>
      </w:pPr>
      <w:r>
        <w:rPr>
          <w:b/>
          <w:color w:val="C01B22"/>
          <w:sz w:val="40"/>
        </w:rPr>
        <w:t>12. Decisiones pendientes</w:t>
      </w:r>
    </w:p>
    <w:p>
      <w:r>
        <w:t>Ninguna es un problema del programa. Son decisiones de negocio, y conviene cerrarlas antes de dejar el proceso funcionando solo — automatizar algo mal definido produce un informe que se genera solo y está equivocado.</w:t>
      </w:r>
    </w:p>
    <w:p>
      <w:pPr>
        <w:spacing w:before="200" w:after="60"/>
      </w:pPr>
      <w:r>
        <w:rPr>
          <w:b/>
          <w:color w:val="C01B22"/>
          <w:sz w:val="23"/>
        </w:rPr>
        <w:t>¿Por qué fecha se mide el mes?</w:t>
      </w:r>
    </w:p>
    <w:p>
      <w:r>
        <w:t xml:space="preserve">Hoy, tanto el programa como el informe usan la </w:t>
      </w:r>
      <w:r>
        <w:rPr>
          <w:b/>
        </w:rPr>
        <w:t>fecha de apertura</w:t>
      </w:r>
      <w:r>
        <w:t xml:space="preserve"> del caso. Pero un acuerdo de servicio podría medirse por la fecha en que se resolvió, o en que se cerró. Son tres cifras distintas. Cambiarlo es sencillo; decidirlo no es una decisión técnica.</w:t>
      </w:r>
    </w:p>
    <w:p>
      <w:pPr>
        <w:spacing w:before="200" w:after="60"/>
      </w:pPr>
      <w:r>
        <w:rPr>
          <w:b/>
          <w:color w:val="C01B22"/>
          <w:sz w:val="23"/>
        </w:rPr>
        <w:t>Junio de 2026 está vacío, y no solo para este cliente</w:t>
      </w:r>
    </w:p>
    <w:p>
      <w:r>
        <w:t xml:space="preserve">Se consultó GLPI entero: en junio de 2026 se abrieron </w:t>
      </w:r>
      <w:r>
        <w:rPr>
          <w:b/>
        </w:rPr>
        <w:t>13 tickets en toda la instalación</w:t>
      </w:r>
      <w:r>
        <w:t>, sumando todos los clientes. La caída viene de antes: 116 en marzo, 62 en abril, 36 en mayo, 13 en junio.</w:t>
      </w:r>
    </w:p>
    <w:p>
      <w:r>
        <w:t xml:space="preserve">Y solo existe una entidad con «fiducia» en el nombre, así que los casos no se movieron a otro sitio. La pregunta no es por qué falta un cliente, sino </w:t>
      </w:r>
      <w:r>
        <w:rPr>
          <w:b/>
        </w:rPr>
        <w:t>qué pasó con el registro de casos en GLPI</w:t>
      </w:r>
      <w:r>
        <w:t>.</w:t>
      </w:r>
    </w:p>
    <w:p>
      <w:pPr>
        <w:spacing w:before="200" w:after="60"/>
      </w:pPr>
      <w:r>
        <w:rPr>
          <w:b/>
          <w:color w:val="C01B22"/>
          <w:sz w:val="23"/>
        </w:rPr>
        <w:t>Las carpetas de tres niveles</w:t>
      </w:r>
    </w:p>
    <w:p>
      <w:r>
        <w:t xml:space="preserve">El informe excluye del conteo de incidentes los casos de la carpeta </w:t>
      </w:r>
      <w:r>
        <w:rPr>
          <w:rFonts w:ascii="Consolas" w:hAnsi="Consolas"/>
          <w:sz w:val="19"/>
        </w:rPr>
        <w:t>INCIDENTES &gt; Revisión Alerta</w:t>
      </w:r>
      <w:r>
        <w:t>, porque son revisiones que el propio monitoreo genera. Pero hay casos en carpetas de tercer nivel:</w:t>
      </w:r>
    </w:p>
    <w:tbl>
      <w:tblPr>
        <w:tblStyle w:val="TableGrid"/>
        <w:tblW w:type="auto" w:w="0"/>
        <w:jc w:val="center"/>
        <w:tblLayout w:type="fixed"/>
        <w:tblLook w:firstColumn="1" w:firstRow="1" w:lastColumn="0" w:lastRow="0" w:noHBand="0" w:noVBand="1" w:val="04A0"/>
      </w:tblPr>
      <w:tblGrid>
        <w:gridCol w:w="3173"/>
        <w:gridCol w:w="3173"/>
        <w:gridCol w:w="3173"/>
      </w:tblGrid>
      <w:tr>
        <w:trPr>
          <w:tblHeader/>
          <w:cantSplit/>
        </w:trPr>
        <w:tc>
          <w:tcPr>
            <w:tcW w:type="dxa" w:w="4876"/>
            <w:shd w:val="clear" w:color="auto" w:fill="C01B22"/>
          </w:tcPr>
          <w:p>
            <w:pPr>
              <w:spacing w:after="40" w:before="40"/>
            </w:pPr>
            <w:r>
              <w:rPr>
                <w:b/>
                <w:color w:val="FFFFFF"/>
                <w:sz w:val="20"/>
              </w:rPr>
              <w:t>Carpeta</w:t>
            </w:r>
          </w:p>
        </w:tc>
        <w:tc>
          <w:tcPr>
            <w:tcW w:type="dxa" w:w="1247"/>
            <w:shd w:val="clear" w:color="auto" w:fill="C01B22"/>
          </w:tcPr>
          <w:p>
            <w:pPr>
              <w:spacing w:after="40" w:before="40"/>
            </w:pPr>
            <w:r>
              <w:rPr>
                <w:b/>
                <w:color w:val="FFFFFF"/>
                <w:sz w:val="20"/>
              </w:rPr>
              <w:t>Casos</w:t>
            </w:r>
          </w:p>
        </w:tc>
        <w:tc>
          <w:tcPr>
            <w:tcW w:type="dxa" w:w="3396"/>
            <w:shd w:val="clear" w:color="auto" w:fill="C01B22"/>
          </w:tcPr>
          <w:p>
            <w:pPr>
              <w:spacing w:after="40" w:before="40"/>
            </w:pPr>
            <w:r>
              <w:rPr>
                <w:b/>
                <w:color w:val="FFFFFF"/>
                <w:sz w:val="20"/>
              </w:rPr>
              <w:t>Hoy se cuentan como…</w:t>
            </w:r>
          </w:p>
        </w:tc>
      </w:tr>
      <w:tr>
        <w:trPr>
          <w:cantSplit/>
        </w:trPr>
        <w:tc>
          <w:tcPr>
            <w:tcW w:type="dxa" w:w="4876"/>
          </w:tcPr>
          <w:p>
            <w:pPr>
              <w:spacing w:after="40" w:before="40"/>
            </w:pPr>
            <w:r>
              <w:rPr>
                <w:rFonts w:ascii="Consolas" w:hAnsi="Consolas"/>
                <w:sz w:val="20"/>
              </w:rPr>
              <w:t>INCIDENTES &gt; Revisión Alerta</w:t>
            </w:r>
          </w:p>
        </w:tc>
        <w:tc>
          <w:tcPr>
            <w:tcW w:type="dxa" w:w="1247"/>
          </w:tcPr>
          <w:p>
            <w:pPr>
              <w:spacing w:after="40" w:before="40"/>
            </w:pPr>
            <w:r>
              <w:rPr>
                <w:sz w:val="20"/>
              </w:rPr>
              <w:t>830</w:t>
            </w:r>
          </w:p>
        </w:tc>
        <w:tc>
          <w:tcPr>
            <w:tcW w:type="dxa" w:w="3396"/>
          </w:tcPr>
          <w:p>
            <w:pPr>
              <w:spacing w:after="40" w:before="40"/>
            </w:pPr>
            <w:r>
              <w:rPr>
                <w:sz w:val="20"/>
              </w:rPr>
              <w:t xml:space="preserve">Revisión — </w:t>
            </w:r>
            <w:r>
              <w:rPr>
                <w:b/>
                <w:sz w:val="20"/>
              </w:rPr>
              <w:t>excluidos</w:t>
            </w:r>
          </w:p>
        </w:tc>
      </w:tr>
      <w:tr>
        <w:trPr>
          <w:cantSplit/>
        </w:trPr>
        <w:tc>
          <w:tcPr>
            <w:tcW w:type="dxa" w:w="4876"/>
            <w:shd w:val="clear" w:color="auto" w:fill="F4F6F8"/>
          </w:tcPr>
          <w:p>
            <w:pPr>
              <w:spacing w:after="40" w:before="40"/>
            </w:pPr>
            <w:r>
              <w:rPr>
                <w:rFonts w:ascii="Consolas" w:hAnsi="Consolas"/>
                <w:sz w:val="20"/>
              </w:rPr>
              <w:t>INCIDENTES &gt; Revisión Alerta &gt; Bloqueos</w:t>
            </w:r>
          </w:p>
        </w:tc>
        <w:tc>
          <w:tcPr>
            <w:tcW w:type="dxa" w:w="1247"/>
            <w:shd w:val="clear" w:color="auto" w:fill="F4F6F8"/>
          </w:tcPr>
          <w:p>
            <w:pPr>
              <w:spacing w:after="40" w:before="40"/>
            </w:pPr>
            <w:r>
              <w:rPr>
                <w:sz w:val="20"/>
              </w:rPr>
              <w:t>83</w:t>
            </w:r>
          </w:p>
        </w:tc>
        <w:tc>
          <w:tcPr>
            <w:tcW w:type="dxa" w:w="3396"/>
            <w:shd w:val="clear" w:color="auto" w:fill="F4F6F8"/>
          </w:tcPr>
          <w:p>
            <w:pPr>
              <w:spacing w:after="40" w:before="40"/>
            </w:pPr>
            <w:r>
              <w:rPr>
                <w:sz w:val="20"/>
              </w:rPr>
              <w:t>Falla real de SETI</w:t>
            </w:r>
          </w:p>
        </w:tc>
      </w:tr>
      <w:tr>
        <w:trPr>
          <w:cantSplit/>
        </w:trPr>
        <w:tc>
          <w:tcPr>
            <w:tcW w:type="dxa" w:w="4876"/>
          </w:tcPr>
          <w:p>
            <w:pPr>
              <w:spacing w:after="40" w:before="40"/>
            </w:pPr>
            <w:r>
              <w:rPr>
                <w:rFonts w:ascii="Consolas" w:hAnsi="Consolas"/>
                <w:sz w:val="20"/>
              </w:rPr>
              <w:t>INCIDENTES &gt; Revisión Alerta &gt; Espacios</w:t>
            </w:r>
          </w:p>
        </w:tc>
        <w:tc>
          <w:tcPr>
            <w:tcW w:type="dxa" w:w="1247"/>
          </w:tcPr>
          <w:p>
            <w:pPr>
              <w:spacing w:after="40" w:before="40"/>
            </w:pPr>
            <w:r>
              <w:rPr>
                <w:sz w:val="20"/>
              </w:rPr>
              <w:t>8</w:t>
            </w:r>
          </w:p>
        </w:tc>
        <w:tc>
          <w:tcPr>
            <w:tcW w:type="dxa" w:w="3396"/>
          </w:tcPr>
          <w:p>
            <w:pPr>
              <w:spacing w:after="40" w:before="40"/>
            </w:pPr>
            <w:r>
              <w:rPr>
                <w:sz w:val="20"/>
              </w:rPr>
              <w:t>Falla real de SETI</w:t>
            </w:r>
          </w:p>
        </w:tc>
      </w:tr>
    </w:tbl>
    <w:p>
      <w:pPr>
        <w:spacing w:after="80"/>
      </w:pPr>
    </w:p>
    <w:p>
      <w:r>
        <w:t xml:space="preserve">La pregunta: ¿una revisión de alerta con bloqueos cuenta como revisión, o como falla nuestra? Según la respuesta, </w:t>
      </w:r>
      <w:r>
        <w:rPr>
          <w:b/>
        </w:rPr>
        <w:t>91 casos cambian de lado</w:t>
      </w:r>
      <w:r>
        <w:t>.</w:t>
      </w:r>
    </w:p>
    <w:p>
      <w:r>
        <w:br w:type="page"/>
      </w:r>
    </w:p>
    <w:p>
      <w:pPr>
        <w:spacing w:before="0" w:after="200"/>
        <w:pBdr>
          <w:bottom w:val="single" w:sz="6" w:space="4" w:color="D8DEE4"/>
        </w:pBdr>
      </w:pPr>
      <w:r>
        <w:rPr>
          <w:b/>
          <w:color w:val="C01B22"/>
          <w:sz w:val="40"/>
        </w:rPr>
        <w:t>13. Glosario</w:t>
      </w:r>
    </w:p>
    <w:p>
      <w:pPr>
        <w:spacing w:after="120"/>
        <w:ind w:left="113"/>
      </w:pPr>
      <w:r>
        <w:rPr>
          <w:b/>
          <w:color w:val="C01B22"/>
        </w:rPr>
        <w:t xml:space="preserve">API — </w:t>
      </w:r>
      <w:r>
        <w:t>La puerta que tiene un sistema para que otros programas le pidan datos, en vez de que lo haga una persona por la pantalla.</w:t>
      </w:r>
    </w:p>
    <w:p>
      <w:pPr>
        <w:spacing w:after="120"/>
        <w:ind w:left="113"/>
      </w:pPr>
      <w:r>
        <w:rPr>
          <w:b/>
          <w:color w:val="C01B22"/>
        </w:rPr>
        <w:t xml:space="preserve">Base64 — </w:t>
      </w:r>
      <w:r>
        <w:t>Una forma de escribir un archivo usando solo letras y números, para poder meterlo dentro de otro archivo sin romper nada. No es cifrado: no oculta nada.</w:t>
      </w:r>
    </w:p>
    <w:p>
      <w:pPr>
        <w:spacing w:after="120"/>
        <w:ind w:left="113"/>
      </w:pPr>
      <w:r>
        <w:rPr>
          <w:b/>
          <w:color w:val="C01B22"/>
        </w:rPr>
        <w:t xml:space="preserve">Código de salida — </w:t>
      </w:r>
      <w:r>
        <w:t>El número que deja un programa al terminar para decir cómo le fue. 0 significa bien.</w:t>
      </w:r>
    </w:p>
    <w:p>
      <w:pPr>
        <w:spacing w:after="120"/>
        <w:ind w:left="113"/>
      </w:pPr>
      <w:r>
        <w:rPr>
          <w:b/>
          <w:color w:val="C01B22"/>
        </w:rPr>
        <w:t xml:space="preserve">CSV — </w:t>
      </w:r>
      <w:r>
        <w:t>Una tabla guardada como texto plano, donde las columnas van separadas por un símbolo. Se abre con Excel.</w:t>
      </w:r>
    </w:p>
    <w:p>
      <w:pPr>
        <w:spacing w:after="120"/>
        <w:ind w:left="113"/>
      </w:pPr>
      <w:r>
        <w:rPr>
          <w:b/>
          <w:color w:val="C01B22"/>
        </w:rPr>
        <w:t xml:space="preserve">Cuenta de servicio — </w:t>
      </w:r>
      <w:r>
        <w:t>Un usuario creado para que lo use un programa, no una persona. Así la automatización no depende de la contraseña de nadie.</w:t>
      </w:r>
    </w:p>
    <w:p>
      <w:pPr>
        <w:spacing w:after="120"/>
        <w:ind w:left="113"/>
      </w:pPr>
      <w:r>
        <w:rPr>
          <w:b/>
          <w:color w:val="C01B22"/>
        </w:rPr>
        <w:t xml:space="preserve">Entidad — </w:t>
      </w:r>
      <w:r>
        <w:t>Como GLPI llama a cada cliente. Acción Fiduciaria es una entidad.</w:t>
      </w:r>
    </w:p>
    <w:p>
      <w:pPr>
        <w:spacing w:after="120"/>
        <w:ind w:left="113"/>
      </w:pPr>
      <w:r>
        <w:rPr>
          <w:b/>
          <w:color w:val="C01B22"/>
        </w:rPr>
        <w:t xml:space="preserve">HTML — </w:t>
      </w:r>
      <w:r>
        <w:t>El formato de las páginas web. El informe es un único archivo HTML que lleva todo dentro.</w:t>
      </w:r>
    </w:p>
    <w:p>
      <w:pPr>
        <w:spacing w:after="120"/>
        <w:ind w:left="113"/>
      </w:pPr>
      <w:r>
        <w:rPr>
          <w:b/>
          <w:color w:val="C01B22"/>
        </w:rPr>
        <w:t xml:space="preserve">Insumo — </w:t>
      </w:r>
      <w:r>
        <w:t>Cada uno de los archivos que alimentan el informe: la sábana de GLPI, AlertsList, el consolidado, los logros y las mitigaciones.</w:t>
      </w:r>
    </w:p>
    <w:p>
      <w:pPr>
        <w:spacing w:after="120"/>
        <w:ind w:left="113"/>
      </w:pPr>
      <w:r>
        <w:rPr>
          <w:b/>
          <w:color w:val="C01B22"/>
        </w:rPr>
        <w:t xml:space="preserve">Microsoft Graph — </w:t>
      </w:r>
      <w:r>
        <w:t>La puerta única de entrada a todo Microsoft 365: archivos, correo, calendario, Teams.</w:t>
      </w:r>
    </w:p>
    <w:p>
      <w:pPr>
        <w:spacing w:after="120"/>
        <w:ind w:left="113"/>
      </w:pPr>
      <w:r>
        <w:rPr>
          <w:b/>
          <w:color w:val="C01B22"/>
        </w:rPr>
        <w:t xml:space="preserve">Perfil (en GLPI) — </w:t>
      </w:r>
      <w:r>
        <w:t>Determina qué casos ve cada usuario. Con perfiles distintos se ven listas distintas, y por eso el programa lo ajusta.</w:t>
      </w:r>
    </w:p>
    <w:p>
      <w:pPr>
        <w:spacing w:after="120"/>
        <w:ind w:left="113"/>
      </w:pPr>
      <w:r>
        <w:rPr>
          <w:b/>
          <w:color w:val="C01B22"/>
        </w:rPr>
        <w:t xml:space="preserve">RPA / robot — </w:t>
      </w:r>
      <w:r>
        <w:t>Un programa que imita a una persona usando el computador: abre ventanas y hace clic. Se descartó por frágil.</w:t>
      </w:r>
    </w:p>
    <w:p>
      <w:pPr>
        <w:spacing w:after="120"/>
        <w:ind w:left="113"/>
      </w:pPr>
      <w:r>
        <w:rPr>
          <w:b/>
          <w:color w:val="C01B22"/>
        </w:rPr>
        <w:t xml:space="preserve">Sábana de casos — </w:t>
      </w:r>
      <w:r>
        <w:t>La lista completa de casos atendidos que se exporta de GLPI.</w:t>
      </w:r>
    </w:p>
    <w:p>
      <w:pPr>
        <w:spacing w:after="120"/>
        <w:ind w:left="113"/>
      </w:pPr>
      <w:r>
        <w:rPr>
          <w:b/>
          <w:color w:val="C01B22"/>
        </w:rPr>
        <w:t xml:space="preserve">SHA-256 / huella — </w:t>
      </w:r>
      <w:r>
        <w:t>Un código calculado a partir del contenido de un archivo. Si cambia una letra, cambia el código. Sirve para detectar alteraciones.</w:t>
      </w:r>
    </w:p>
    <w:p>
      <w:pPr>
        <w:spacing w:after="120"/>
        <w:ind w:left="113"/>
      </w:pPr>
      <w:r>
        <w:rPr>
          <w:b/>
          <w:color w:val="C01B22"/>
        </w:rPr>
        <w:t xml:space="preserve">SLA — </w:t>
      </w:r>
      <w:r>
        <w:t>El acuerdo de nivel de servicio: el compromiso de resolver los casos dentro de un plazo. El informe calcula qué porcentaje se cumplió.</w:t>
      </w:r>
    </w:p>
    <w:p>
      <w:pPr>
        <w:spacing w:after="120"/>
        <w:ind w:left="113"/>
      </w:pPr>
      <w:r>
        <w:rPr>
          <w:b/>
          <w:color w:val="C01B22"/>
        </w:rPr>
        <w:t xml:space="preserve">Token de sesión — </w:t>
      </w:r>
      <w:r>
        <w:t>El código temporal que da un sistema al iniciar sesión, y que hay que presentar en cada petición. Como un ticket de entrada.</w:t>
      </w:r>
    </w:p>
    <w:p/>
    <w:p>
      <w:pPr>
        <w:pBdr>
          <w:bottom w:val="single" w:sz="6" w:space="4" w:color="D8DEE4"/>
        </w:pBdr>
      </w:pPr>
    </w:p>
    <w:p>
      <w:r>
        <w:rPr>
          <w:color w:val="555F6B"/>
          <w:sz w:val="19"/>
        </w:rPr>
        <w:t>Documento preparado para estudiar el funcionamiento de la automatización. Todo lo que aquí se afirma como comprobado se verificó contra la instalación real de GLPI y en el navegador de este equipo el 24 de julio de 2026.</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