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95959"/>
          <w:spacing w:val="20"/>
          <w:sz w:val="20"/>
          <w:szCs w:val="20"/>
        </w:rPr>
        <w:t xml:space="preserve">INFORME DE ACCIÓN FIDUCIARIA</w:t>
      </w:r>
    </w:p>
    <w:p>
      <w:pPr>
        <w:pBdr>
          <w:bottom w:val="single" w:color="1F3864" w:sz="12" w:space="6"/>
        </w:pBdr>
        <w:spacing w:after="60"/>
      </w:pPr>
      <w:r>
        <w:rPr>
          <w:rFonts w:ascii="Calibri" w:cs="Calibri" w:eastAsia="Calibri" w:hAnsi="Calibri"/>
          <w:b/>
          <w:bCs/>
          <w:color w:val="1F3864"/>
          <w:sz w:val="40"/>
          <w:szCs w:val="40"/>
        </w:rPr>
        <w:t xml:space="preserve">Acta y análisis de reunión</w:t>
      </w:r>
    </w:p>
    <w:p>
      <w:pPr>
        <w:spacing w:after="240" w:line="276"/>
      </w:pPr>
      <w:r>
        <w:rPr>
          <w:rFonts w:ascii="Calibri" w:cs="Calibri" w:eastAsia="Calibri" w:hAnsi="Calibri"/>
          <w:i/>
          <w:iCs/>
          <w:color w:val="595959"/>
          <w:sz w:val="22"/>
          <w:szCs w:val="22"/>
        </w:rPr>
        <w:t xml:space="preserve">Revisión integral del nuevo informe automatizado y hoja de ruta hacia la eliminación del Excel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Campo</w:t>
            </w:r>
          </w:p>
        </w:tc>
        <w:tc>
          <w:tcPr>
            <w:tcW w:type="dxa" w:w="67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Detalle</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Asunto</w:t>
            </w:r>
          </w:p>
        </w:tc>
        <w:tc>
          <w:tcPr>
            <w:tcW w:type="dxa" w:w="67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Llamada "Revisemos informe mensual acción" — revisión punto por punto del nuevo informe HTML</w:t>
            </w:r>
          </w:p>
        </w:tc>
      </w:tr>
      <w:tr>
        <w:tc>
          <w:tcPr>
            <w:tcW w:type="dxa" w:w="26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Participantes</w:t>
            </w:r>
          </w:p>
        </w:tc>
        <w:tc>
          <w:tcPr>
            <w:tcW w:type="dxa" w:w="676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Santiago Amaya Cely (líder/cuenta) · Yordy Pardo Pajaro (desarrollo)</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Fecha</w:t>
            </w:r>
          </w:p>
        </w:tc>
        <w:tc>
          <w:tcPr>
            <w:tcW w:type="dxa" w:w="67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21 de julio de 2026</w:t>
            </w:r>
          </w:p>
        </w:tc>
      </w:tr>
      <w:tr>
        <w:tc>
          <w:tcPr>
            <w:tcW w:type="dxa" w:w="26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Duración</w:t>
            </w:r>
          </w:p>
        </w:tc>
        <w:tc>
          <w:tcPr>
            <w:tcW w:type="dxa" w:w="676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55 minutos 49 segundos (transcripción completa analizada, 785 intervenciones)</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Tipo de documento</w:t>
            </w:r>
          </w:p>
        </w:tc>
        <w:tc>
          <w:tcPr>
            <w:tcW w:type="dxa" w:w="67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Análisis y minuta derivada de la transcripción completa de la llamada</w:t>
            </w:r>
          </w:p>
        </w:tc>
      </w:tr>
      <w:tr>
        <w:tc>
          <w:tcPr>
            <w:tcW w:type="dxa" w:w="26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Resultado</w:t>
            </w:r>
          </w:p>
        </w:tc>
        <w:tc>
          <w:tcPr>
            <w:tcW w:type="dxa" w:w="676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Informe aprobado en general; se acuerdan ajustes puntuales y se define hoja de ruta de automatización de fuentes</w:t>
            </w:r>
          </w:p>
        </w:tc>
      </w:tr>
    </w:tbl>
    <w:p>
      <w:pPr>
        <w:pStyle w:val="Heading1"/>
        <w:pBdr>
          <w:bottom w:val="single" w:color="1F3864" w:sz="8" w:space="4"/>
        </w:pBdr>
        <w:spacing w:after="160" w:before="320"/>
      </w:pPr>
      <w:r>
        <w:rPr>
          <w:rFonts w:ascii="Calibri" w:cs="Calibri" w:eastAsia="Calibri" w:hAnsi="Calibri"/>
          <w:b/>
          <w:bCs/>
          <w:color w:val="1F3864"/>
          <w:sz w:val="28"/>
          <w:szCs w:val="28"/>
        </w:rPr>
        <w:t xml:space="preserve">1. Resumen ejecutivo</w:t>
      </w:r>
    </w:p>
    <w:p>
      <w:pPr>
        <w:spacing w:after="120" w:line="276"/>
      </w:pPr>
      <w:r>
        <w:rPr>
          <w:rFonts w:ascii="Calibri" w:cs="Calibri" w:eastAsia="Calibri" w:hAnsi="Calibri"/>
          <w:sz w:val="22"/>
          <w:szCs w:val="22"/>
        </w:rPr>
        <w:t xml:space="preserve">La reunión fue una sesión de revisión funcional (walkthrough) del nuevo informe HTML automatizado para la cuenta de Acción Fiduciaria, que reemplaza el antiguo informe basado en diapositivas y hojas de cálculo. Yordy compartió pantalla y recorrió el informe sección por sección; Santiago, desde su rol de líder de cuenta, evaluó cada tarjeta y gráfica desde la perspectiva de qué necesita mostrarle al cliente y a su propio jefe, señalando ajustes de forma (colores, sombreados, nombres de columnas) y de fondo (qué dato es redundante, qué falta, qué periodo debe cubrir cada gráfica).</w:t>
      </w:r>
    </w:p>
    <w:p>
      <w:pPr>
        <w:spacing w:after="120" w:line="276"/>
      </w:pPr>
      <w:r>
        <w:rPr>
          <w:rFonts w:ascii="Calibri" w:cs="Calibri" w:eastAsia="Calibri" w:hAnsi="Calibri"/>
          <w:sz w:val="22"/>
          <w:szCs w:val="22"/>
        </w:rPr>
        <w:t xml:space="preserve">El balance general fue muy positivo: Santiago calificó el resultado como "me gusta bastante, la verdad, me gusta mucho" y observó que ya se redujo "todo ese chorrero de diapositivas" a un solo documento exportable en HTML o PDF. Se acordaron ajustes concretos, con entrega en dos días y una nueva revisión el jueves 23. Santiago también expresó intención de presentar la herramienta a su jefe el lunes a las 3:00 p.m. y evaluar replicarla en otros clientes.</w:t>
      </w:r>
    </w:p>
    <w:p>
      <w:pPr>
        <w:spacing w:after="120" w:line="276"/>
      </w:pPr>
      <w:r>
        <w:rPr>
          <w:rFonts w:ascii="Calibri" w:cs="Calibri" w:eastAsia="Calibri" w:hAnsi="Calibri"/>
          <w:sz w:val="22"/>
          <w:szCs w:val="22"/>
        </w:rPr>
        <w:t xml:space="preserve">En los últimos minutos, la conversación giró hacia el siguiente cuello de botella: aunque el informe ya automatiza la consolidación y presentación, la captura de datos de origen sigue dependiendo de que Santiago llene un Excel manualmente. Se plantearon tres vías para cerrar esa brecha: conexión directa a bases de datos (SQL Server y Oracle), consulta a la API de Grafana para disponibilidad, y —la más compleja— integración con LPI para los casos.</w:t>
      </w:r>
    </w:p>
    <w:p>
      <w:pPr>
        <w:pStyle w:val="Heading1"/>
        <w:pBdr>
          <w:bottom w:val="single" w:color="1F3864" w:sz="8" w:space="4"/>
        </w:pBdr>
        <w:spacing w:after="160" w:before="320"/>
      </w:pPr>
      <w:r>
        <w:rPr>
          <w:rFonts w:ascii="Calibri" w:cs="Calibri" w:eastAsia="Calibri" w:hAnsi="Calibri"/>
          <w:b/>
          <w:bCs/>
          <w:color w:val="1F3864"/>
          <w:sz w:val="28"/>
          <w:szCs w:val="28"/>
        </w:rPr>
        <w:t xml:space="preserve">2. Revisión detallada del informe, sección por sección</w:t>
      </w:r>
    </w:p>
    <w:p>
      <w:pPr>
        <w:pStyle w:val="Heading2"/>
        <w:spacing w:after="100" w:before="240"/>
      </w:pPr>
      <w:r>
        <w:rPr>
          <w:rFonts w:ascii="Calibri" w:cs="Calibri" w:eastAsia="Calibri" w:hAnsi="Calibri"/>
          <w:b/>
          <w:bCs/>
          <w:color w:val="1F3864"/>
          <w:sz w:val="24"/>
          <w:szCs w:val="24"/>
        </w:rPr>
        <w:t xml:space="preserve">2.1 Indicadores y casos del periodo (min. 0:04 – 6:37)</w:t>
      </w:r>
    </w:p>
    <w:p>
      <w:pPr>
        <w:spacing w:after="120" w:line="276"/>
      </w:pPr>
      <w:r>
        <w:rPr>
          <w:rFonts w:ascii="Calibri" w:cs="Calibri" w:eastAsia="Calibri" w:hAnsi="Calibri"/>
          <w:sz w:val="22"/>
          <w:szCs w:val="22"/>
        </w:rPr>
        <w:t xml:space="preserve">Yordy hizo la demostración inicial: carga de informes igual que antes, selección del periodo (junio), consolidación, exportación de LPI y lectura automática de logros en el formato en que los envía el cliente (confirmado previamente por Carlos). Sobre la tarjeta de casos del periodo (49 casos atendidos en junio, frente a 58 en abril y 36 en mayo), surgieron los siguientes ajustes:</w:t>
      </w:r>
    </w:p>
    <w:p>
      <w:pPr>
        <w:pStyle w:val="ListParagraph"/>
        <w:numPr>
          <w:ilvl w:val="0"/>
          <w:numId w:val="2"/>
        </w:numPr>
        <w:spacing w:after="80" w:line="276"/>
      </w:pPr>
      <w:r>
        <w:rPr>
          <w:rFonts w:ascii="Calibri" w:cs="Calibri" w:eastAsia="Calibri" w:hAnsi="Calibri"/>
          <w:b/>
          <w:bCs/>
          <w:sz w:val="22"/>
          <w:szCs w:val="22"/>
        </w:rPr>
        <w:t xml:space="preserve">Color de alerta: </w:t>
      </w:r>
      <w:r>
        <w:rPr>
          <w:rFonts w:ascii="Calibri" w:cs="Calibri" w:eastAsia="Calibri" w:hAnsi="Calibri"/>
          <w:sz w:val="22"/>
          <w:szCs w:val="22"/>
        </w:rPr>
        <w:t xml:space="preserve">el periodo actual se resaltaba en rojo. Santiago pidió cambiarlo porque "el rojo me da una alerta" y genera la falsa impresión de que algo está mal; se acordó usar amarillo, azul y verde para distinguir los tres meses en vez de un semáforo de riesgo.</w:t>
      </w:r>
    </w:p>
    <w:p>
      <w:pPr>
        <w:pStyle w:val="ListParagraph"/>
        <w:numPr>
          <w:ilvl w:val="0"/>
          <w:numId w:val="2"/>
        </w:numPr>
        <w:spacing w:after="80" w:line="276"/>
      </w:pPr>
      <w:r>
        <w:rPr>
          <w:rFonts w:ascii="Calibri" w:cs="Calibri" w:eastAsia="Calibri" w:hAnsi="Calibri"/>
          <w:b/>
          <w:bCs/>
          <w:sz w:val="22"/>
          <w:szCs w:val="22"/>
        </w:rPr>
        <w:t xml:space="preserve">Sombreado del área bajo la línea: </w:t>
      </w:r>
      <w:r>
        <w:rPr>
          <w:rFonts w:ascii="Calibri" w:cs="Calibri" w:eastAsia="Calibri" w:hAnsi="Calibri"/>
          <w:sz w:val="22"/>
          <w:szCs w:val="22"/>
        </w:rPr>
        <w:t xml:space="preserve">Santiago señaló que el relleno debajo de la gráfica de casos se interpretaba visualmente como una "meta a alcanzar" (como si menos casos fuera negativo), cuando en realidad son solo el conteo mensual. Se acordó quitar el sombreado y dejar los tres valores (58, 36, 49) diferenciados por color de línea, no por área rellena.</w:t>
      </w:r>
    </w:p>
    <w:p>
      <w:pPr>
        <w:pStyle w:val="ListParagraph"/>
        <w:numPr>
          <w:ilvl w:val="0"/>
          <w:numId w:val="2"/>
        </w:numPr>
        <w:spacing w:after="80" w:line="276"/>
      </w:pPr>
      <w:r>
        <w:rPr>
          <w:rFonts w:ascii="Calibri" w:cs="Calibri" w:eastAsia="Calibri" w:hAnsi="Calibri"/>
          <w:b/>
          <w:bCs/>
          <w:sz w:val="22"/>
          <w:szCs w:val="22"/>
        </w:rPr>
        <w:t xml:space="preserve">Incidentes atribuibles a Seti: </w:t>
      </w:r>
      <w:r>
        <w:rPr>
          <w:rFonts w:ascii="Calibri" w:cs="Calibri" w:eastAsia="Calibri" w:hAnsi="Calibri"/>
          <w:sz w:val="22"/>
          <w:szCs w:val="22"/>
        </w:rPr>
        <w:t xml:space="preserve">pidió que este dato (actualmente 0) se muestre más grande, al mismo nivel visual que "casos atendidos", para que la gestión del equipo sea más visible ante el cliente.</w:t>
      </w:r>
    </w:p>
    <w:p>
      <w:pPr>
        <w:pStyle w:val="ListParagraph"/>
        <w:numPr>
          <w:ilvl w:val="0"/>
          <w:numId w:val="2"/>
        </w:numPr>
        <w:spacing w:after="80" w:line="276"/>
      </w:pPr>
      <w:r>
        <w:rPr>
          <w:rFonts w:ascii="Calibri" w:cs="Calibri" w:eastAsia="Calibri" w:hAnsi="Calibri"/>
          <w:b/>
          <w:bCs/>
          <w:sz w:val="22"/>
          <w:szCs w:val="22"/>
        </w:rPr>
        <w:t xml:space="preserve">Columna "Estado": </w:t>
      </w:r>
      <w:r>
        <w:rPr>
          <w:rFonts w:ascii="Calibri" w:cs="Calibri" w:eastAsia="Calibri" w:hAnsi="Calibri"/>
          <w:sz w:val="22"/>
          <w:szCs w:val="22"/>
        </w:rPr>
        <w:t xml:space="preserve">se elimina por redundante — la información ya se muestra arriba (alertas, requerimientos, incidentes).</w:t>
      </w:r>
    </w:p>
    <w:p>
      <w:pPr>
        <w:pStyle w:val="Heading2"/>
        <w:spacing w:after="100" w:before="240"/>
      </w:pPr>
      <w:r>
        <w:rPr>
          <w:rFonts w:ascii="Calibri" w:cs="Calibri" w:eastAsia="Calibri" w:hAnsi="Calibri"/>
          <w:b/>
          <w:bCs/>
          <w:color w:val="1F3864"/>
          <w:sz w:val="24"/>
          <w:szCs w:val="24"/>
        </w:rPr>
        <w:t xml:space="preserve">2.2 Disponibilidad global y motores (min. 6:38 – 15:51)</w:t>
      </w:r>
    </w:p>
    <w:p>
      <w:pPr>
        <w:spacing w:after="120" w:line="276"/>
      </w:pPr>
      <w:r>
        <w:rPr>
          <w:rFonts w:ascii="Calibri" w:cs="Calibri" w:eastAsia="Calibri" w:hAnsi="Calibri"/>
          <w:sz w:val="22"/>
          <w:szCs w:val="22"/>
        </w:rPr>
        <w:t xml:space="preserve">La tarjeta de disponibilidad global muestra 100% frente a una meta contractual de 99,3% (0,7 puntos porcentuales por encima). Los puntos discutidos:</w:t>
      </w:r>
    </w:p>
    <w:p>
      <w:pPr>
        <w:pStyle w:val="ListParagraph"/>
        <w:numPr>
          <w:ilvl w:val="0"/>
          <w:numId w:val="2"/>
        </w:numPr>
        <w:spacing w:after="80" w:line="276"/>
      </w:pPr>
      <w:r>
        <w:rPr>
          <w:rFonts w:ascii="Calibri" w:cs="Calibri" w:eastAsia="Calibri" w:hAnsi="Calibri"/>
          <w:b/>
          <w:bCs/>
          <w:sz w:val="22"/>
          <w:szCs w:val="22"/>
        </w:rPr>
        <w:t xml:space="preserve">Redacción de la meta: </w:t>
      </w:r>
      <w:r>
        <w:rPr>
          <w:rFonts w:ascii="Calibri" w:cs="Calibri" w:eastAsia="Calibri" w:hAnsi="Calibri"/>
          <w:sz w:val="22"/>
          <w:szCs w:val="22"/>
        </w:rPr>
        <w:t xml:space="preserve">cambiar el texto para que diga explícitamente "0,7% por encima de la meta contractual" en vez de una cifra ambigua.</w:t>
      </w:r>
    </w:p>
    <w:p>
      <w:pPr>
        <w:pStyle w:val="ListParagraph"/>
        <w:numPr>
          <w:ilvl w:val="0"/>
          <w:numId w:val="2"/>
        </w:numPr>
        <w:spacing w:after="80" w:line="276"/>
      </w:pPr>
      <w:r>
        <w:rPr>
          <w:rFonts w:ascii="Calibri" w:cs="Calibri" w:eastAsia="Calibri" w:hAnsi="Calibri"/>
          <w:b/>
          <w:bCs/>
          <w:sz w:val="22"/>
          <w:szCs w:val="22"/>
        </w:rPr>
        <w:t xml:space="preserve">Tarjeta de motores: </w:t>
      </w:r>
      <w:r>
        <w:rPr>
          <w:rFonts w:ascii="Calibri" w:cs="Calibri" w:eastAsia="Calibri" w:hAnsi="Calibri"/>
          <w:sz w:val="22"/>
          <w:szCs w:val="22"/>
        </w:rPr>
        <w:t xml:space="preserve">faltaba desagregar la disponibilidad por motor/base de datos (SQL Server, Oracle, etc.). Se acordó crear una tarjeta adicional para "motores" con los nombres reales de los motores en vez de una etiqueta genérica ("cuatro").</w:t>
      </w:r>
    </w:p>
    <w:p>
      <w:pPr>
        <w:pStyle w:val="ListParagraph"/>
        <w:numPr>
          <w:ilvl w:val="0"/>
          <w:numId w:val="2"/>
        </w:numPr>
        <w:spacing w:after="80" w:line="276"/>
      </w:pPr>
      <w:r>
        <w:rPr>
          <w:rFonts w:ascii="Calibri" w:cs="Calibri" w:eastAsia="Calibri" w:hAnsi="Calibri"/>
          <w:b/>
          <w:bCs/>
          <w:sz w:val="22"/>
          <w:szCs w:val="22"/>
        </w:rPr>
        <w:t xml:space="preserve">Rango histórico de la gráfica: </w:t>
      </w:r>
      <w:r>
        <w:rPr>
          <w:rFonts w:ascii="Calibri" w:cs="Calibri" w:eastAsia="Calibri" w:hAnsi="Calibri"/>
          <w:sz w:val="22"/>
          <w:szCs w:val="22"/>
        </w:rPr>
        <w:t xml:space="preserve">la gráfica no debía mostrar meses previos al inicio real del contrato con este cliente (agosto 2025); se corrigió ocultando el rango de diciembre 2024 a julio 2025 en el archivo fuente.</w:t>
      </w:r>
    </w:p>
    <w:p>
      <w:pPr>
        <w:spacing w:after="120" w:line="276"/>
      </w:pPr>
      <w:r>
        <w:rPr>
          <w:rFonts w:ascii="Calibri" w:cs="Calibri" w:eastAsia="Calibri" w:hAnsi="Calibri"/>
          <w:sz w:val="22"/>
          <w:szCs w:val="22"/>
        </w:rPr>
        <w:t xml:space="preserve">Santiago cerró esta sección pidiendo a Yordy que antes de subir cualquier cambio a producción pruebe las funcionalidades como si fuera el usuario final ("las pruebas son las que yo necesito que tú hagas antes de sacar a producción algo").</w:t>
      </w:r>
    </w:p>
    <w:p>
      <w:pPr>
        <w:pStyle w:val="Heading2"/>
        <w:spacing w:after="100" w:before="240"/>
      </w:pPr>
      <w:r>
        <w:rPr>
          <w:rFonts w:ascii="Calibri" w:cs="Calibri" w:eastAsia="Calibri" w:hAnsi="Calibri"/>
          <w:b/>
          <w:bCs/>
          <w:color w:val="1F3864"/>
          <w:sz w:val="24"/>
          <w:szCs w:val="24"/>
        </w:rPr>
        <w:t xml:space="preserve">2.3 Gestión de backups (min. 15:52 – 20:06)</w:t>
      </w:r>
    </w:p>
    <w:p>
      <w:pPr>
        <w:spacing w:after="120" w:line="276"/>
      </w:pPr>
      <w:r>
        <w:rPr>
          <w:rFonts w:ascii="Calibri" w:cs="Calibri" w:eastAsia="Calibri" w:hAnsi="Calibri"/>
          <w:sz w:val="22"/>
          <w:szCs w:val="22"/>
        </w:rPr>
        <w:t xml:space="preserve">La tarjeta de backups mostró 100% de ejecución en las 14 instancias verificadas para junio, sin tareas pendientes ni fallas. Santiago aprobó la tarjeta principal sin cambios, pero pidió:</w:t>
      </w:r>
    </w:p>
    <w:p>
      <w:pPr>
        <w:pStyle w:val="ListParagraph"/>
        <w:numPr>
          <w:ilvl w:val="0"/>
          <w:numId w:val="2"/>
        </w:numPr>
        <w:spacing w:after="80" w:line="276"/>
      </w:pPr>
      <w:r>
        <w:rPr>
          <w:rFonts w:ascii="Calibri" w:cs="Calibri" w:eastAsia="Calibri" w:hAnsi="Calibri"/>
          <w:sz w:val="22"/>
          <w:szCs w:val="22"/>
        </w:rPr>
        <w:t xml:space="preserve">Agregar la meta (99,3%) también en esta tarjeta, igual que en disponibilidad global, para poder comparar cumplimiento.</w:t>
      </w:r>
    </w:p>
    <w:p>
      <w:pPr>
        <w:pStyle w:val="ListParagraph"/>
        <w:numPr>
          <w:ilvl w:val="0"/>
          <w:numId w:val="2"/>
        </w:numPr>
        <w:spacing w:after="80" w:line="276"/>
      </w:pPr>
      <w:r>
        <w:rPr>
          <w:rFonts w:ascii="Calibri" w:cs="Calibri" w:eastAsia="Calibri" w:hAnsi="Calibri"/>
          <w:sz w:val="22"/>
          <w:szCs w:val="22"/>
        </w:rPr>
        <w:t xml:space="preserve">Un filtro de fecha ("desde tal fecha hasta tal fecha") para poder ver el histórico completo del contrato, no solo el mes en curso, y que la gráfica se recalcule al vuelo.</w:t>
      </w:r>
    </w:p>
    <w:p>
      <w:pPr>
        <w:pStyle w:val="ListParagraph"/>
        <w:numPr>
          <w:ilvl w:val="0"/>
          <w:numId w:val="2"/>
        </w:numPr>
        <w:spacing w:after="80" w:line="276"/>
      </w:pPr>
      <w:r>
        <w:rPr>
          <w:rFonts w:ascii="Calibri" w:cs="Calibri" w:eastAsia="Calibri" w:hAnsi="Calibri"/>
          <w:sz w:val="22"/>
          <w:szCs w:val="22"/>
        </w:rPr>
        <w:t xml:space="preserve">Demostró en vivo, seleccionando y arrastrando el rango de la tabla fuente en Excel, cómo al incluir más meses la gráfica de tendencia se actualiza sin saturarse — validando que ese enfoque de gráfica de línea funciona bien para series largas.</w:t>
      </w:r>
    </w:p>
    <w:p>
      <w:pPr>
        <w:pStyle w:val="Heading2"/>
        <w:spacing w:after="100" w:before="240"/>
      </w:pPr>
      <w:r>
        <w:rPr>
          <w:rFonts w:ascii="Calibri" w:cs="Calibri" w:eastAsia="Calibri" w:hAnsi="Calibri"/>
          <w:b/>
          <w:bCs/>
          <w:color w:val="1F3864"/>
          <w:sz w:val="24"/>
          <w:szCs w:val="24"/>
        </w:rPr>
        <w:t xml:space="preserve">2.4 Logros del servicio y mitigación de riesgos (min. 16:35 – 17:57)</w:t>
      </w:r>
    </w:p>
    <w:p>
      <w:pPr>
        <w:spacing w:after="120" w:line="276"/>
      </w:pPr>
      <w:r>
        <w:rPr>
          <w:rFonts w:ascii="Calibri" w:cs="Calibri" w:eastAsia="Calibri" w:hAnsi="Calibri"/>
          <w:sz w:val="22"/>
          <w:szCs w:val="22"/>
        </w:rPr>
        <w:t xml:space="preserve">Ambas tarjetas —logros identificados (estabilidad de cuentas privilegiadas, roles DBA sin cambios) y mitigaciones/riesgos gestionados (reducción de ocupación, ampliación preventiva)— fueron aprobadas sin cambios: "esa me gusta, dejémosla así quieta, está bien".</w:t>
      </w:r>
    </w:p>
    <w:p>
      <w:pPr>
        <w:pStyle w:val="Heading2"/>
        <w:spacing w:after="100" w:before="240"/>
      </w:pPr>
      <w:r>
        <w:rPr>
          <w:rFonts w:ascii="Calibri" w:cs="Calibri" w:eastAsia="Calibri" w:hAnsi="Calibri"/>
          <w:b/>
          <w:bCs/>
          <w:color w:val="1F3864"/>
          <w:sz w:val="24"/>
          <w:szCs w:val="24"/>
        </w:rPr>
        <w:t xml:space="preserve">2.5 Bolsa de horas (min. 17:41 – 19:27, nueva funcionalidad)</w:t>
      </w:r>
    </w:p>
    <w:p>
      <w:pPr>
        <w:spacing w:after="120" w:line="276"/>
      </w:pPr>
      <w:r>
        <w:rPr>
          <w:rFonts w:ascii="Calibri" w:cs="Calibri" w:eastAsia="Calibri" w:hAnsi="Calibri"/>
          <w:sz w:val="22"/>
          <w:szCs w:val="22"/>
        </w:rPr>
        <w:t xml:space="preserve">Yordy propuso agregar una fuente de datos para cargar el insumo de horas disponibles del contrato. Santiago pidió reemplazar la imagen decorativa existente por una tabla simple con tres datos: horas consumidas en el mes, horas totales de la bolsa y horas restantes. Su criterio explícito fue priorizar función sobre forma: "cuando a mí me funciona algo, yo ya después lo pongo bonito" — se acordó implementarlo funcional primero y refinar el diseño en una iteración posterior.</w:t>
      </w:r>
    </w:p>
    <w:p>
      <w:pPr>
        <w:pStyle w:val="Heading2"/>
        <w:spacing w:after="100" w:before="240"/>
      </w:pPr>
      <w:r>
        <w:rPr>
          <w:rFonts w:ascii="Calibri" w:cs="Calibri" w:eastAsia="Calibri" w:hAnsi="Calibri"/>
          <w:b/>
          <w:bCs/>
          <w:color w:val="1F3864"/>
          <w:sz w:val="24"/>
          <w:szCs w:val="24"/>
        </w:rPr>
        <w:t xml:space="preserve">2.6 Disponibilidad por CI / bases de datos (min. 19:27 – 23:28)</w:t>
      </w:r>
    </w:p>
    <w:p>
      <w:pPr>
        <w:spacing w:after="120" w:line="276"/>
      </w:pPr>
      <w:r>
        <w:rPr>
          <w:rFonts w:ascii="Calibri" w:cs="Calibri" w:eastAsia="Calibri" w:hAnsi="Calibri"/>
          <w:sz w:val="22"/>
          <w:szCs w:val="22"/>
        </w:rPr>
        <w:t xml:space="preserve">Se revisó la tarjeta de disponibilidad desagregada por los 14 sistemas (CI) del contrato. Los puntos de discusión:</w:t>
      </w:r>
    </w:p>
    <w:p>
      <w:pPr>
        <w:pStyle w:val="ListParagraph"/>
        <w:numPr>
          <w:ilvl w:val="0"/>
          <w:numId w:val="2"/>
        </w:numPr>
        <w:spacing w:after="80" w:line="276"/>
      </w:pPr>
      <w:r>
        <w:rPr>
          <w:rFonts w:ascii="Calibri" w:cs="Calibri" w:eastAsia="Calibri" w:hAnsi="Calibri"/>
          <w:sz w:val="22"/>
          <w:szCs w:val="22"/>
        </w:rPr>
        <w:t xml:space="preserve">Diferenciar claramente esta vista (por base de datos individual) de la vista de "motores" ya revisada, que agrupa por tipo de motor.</w:t>
      </w:r>
    </w:p>
    <w:p>
      <w:pPr>
        <w:pStyle w:val="ListParagraph"/>
        <w:numPr>
          <w:ilvl w:val="0"/>
          <w:numId w:val="2"/>
        </w:numPr>
        <w:spacing w:after="80" w:line="276"/>
      </w:pPr>
      <w:r>
        <w:rPr>
          <w:rFonts w:ascii="Calibri" w:cs="Calibri" w:eastAsia="Calibri" w:hAnsi="Calibri"/>
          <w:sz w:val="22"/>
          <w:szCs w:val="22"/>
        </w:rPr>
        <w:t xml:space="preserve">Con 14 bases de datos, una tabla mensual se vuelve difícil de leer al extenderse a 12 meses; se evaluó migrar a una gráfica de líneas o de barras, similar a la ya usada en disponibilidad global, para no perder legibilidad.</w:t>
      </w:r>
    </w:p>
    <w:p>
      <w:pPr>
        <w:pStyle w:val="ListParagraph"/>
        <w:numPr>
          <w:ilvl w:val="0"/>
          <w:numId w:val="2"/>
        </w:numPr>
        <w:spacing w:after="80" w:line="276"/>
      </w:pPr>
      <w:r>
        <w:rPr>
          <w:rFonts w:ascii="Calibri" w:cs="Calibri" w:eastAsia="Calibri" w:hAnsi="Calibri"/>
          <w:sz w:val="22"/>
          <w:szCs w:val="22"/>
        </w:rPr>
        <w:t xml:space="preserve">Santiago identificó, en el mismo momento de la revisión, que a esta tarjeta también le falta el dato de la meta contractual (99,3%) junto al resultado real, igual que en las demás tarjetas de disponibilidad.</w:t>
      </w:r>
    </w:p>
    <w:p>
      <w:pPr>
        <w:pStyle w:val="Heading2"/>
        <w:spacing w:after="100" w:before="240"/>
      </w:pPr>
      <w:r>
        <w:rPr>
          <w:rFonts w:ascii="Calibri" w:cs="Calibri" w:eastAsia="Calibri" w:hAnsi="Calibri"/>
          <w:b/>
          <w:bCs/>
          <w:color w:val="1F3864"/>
          <w:sz w:val="24"/>
          <w:szCs w:val="24"/>
        </w:rPr>
        <w:t xml:space="preserve">2.7 Indicadores del servicio / contrato (min. 23:30 – 27:55)</w:t>
      </w:r>
    </w:p>
    <w:p>
      <w:pPr>
        <w:pStyle w:val="ListParagraph"/>
        <w:numPr>
          <w:ilvl w:val="0"/>
          <w:numId w:val="2"/>
        </w:numPr>
        <w:spacing w:after="80" w:line="276"/>
      </w:pPr>
      <w:r>
        <w:rPr>
          <w:rFonts w:ascii="Calibri" w:cs="Calibri" w:eastAsia="Calibri" w:hAnsi="Calibri"/>
          <w:b/>
          <w:bCs/>
          <w:sz w:val="22"/>
          <w:szCs w:val="22"/>
        </w:rPr>
        <w:t xml:space="preserve">Renombrar la sección: </w:t>
      </w:r>
      <w:r>
        <w:rPr>
          <w:rFonts w:ascii="Calibri" w:cs="Calibri" w:eastAsia="Calibri" w:hAnsi="Calibri"/>
          <w:sz w:val="22"/>
          <w:szCs w:val="22"/>
        </w:rPr>
        <w:t xml:space="preserve">de "Indicadores del periodo" a "Indicadores del servicio" (o "del contrato"), ya que agrupa disponibilidad, tiempos de solución y entregables — métricas de todo el contrato, no solo del mes.</w:t>
      </w:r>
    </w:p>
    <w:p>
      <w:pPr>
        <w:pStyle w:val="ListParagraph"/>
        <w:numPr>
          <w:ilvl w:val="0"/>
          <w:numId w:val="2"/>
        </w:numPr>
        <w:spacing w:after="80" w:line="276"/>
      </w:pPr>
      <w:r>
        <w:rPr>
          <w:rFonts w:ascii="Calibri" w:cs="Calibri" w:eastAsia="Calibri" w:hAnsi="Calibri"/>
          <w:b/>
          <w:bCs/>
          <w:sz w:val="22"/>
          <w:szCs w:val="22"/>
        </w:rPr>
        <w:t xml:space="preserve">Eliminar redundancia: </w:t>
      </w:r>
      <w:r>
        <w:rPr>
          <w:rFonts w:ascii="Calibri" w:cs="Calibri" w:eastAsia="Calibri" w:hAnsi="Calibri"/>
          <w:sz w:val="22"/>
          <w:szCs w:val="22"/>
        </w:rPr>
        <w:t xml:space="preserve">la tarjeta de detalle de "tiempo de solución y entregables" repetía información ya visible afuera; se simplifica.</w:t>
      </w:r>
    </w:p>
    <w:p>
      <w:pPr>
        <w:pStyle w:val="ListParagraph"/>
        <w:numPr>
          <w:ilvl w:val="0"/>
          <w:numId w:val="2"/>
        </w:numPr>
        <w:spacing w:after="80" w:line="276"/>
      </w:pPr>
      <w:r>
        <w:rPr>
          <w:rFonts w:ascii="Calibri" w:cs="Calibri" w:eastAsia="Calibri" w:hAnsi="Calibri"/>
          <w:sz w:val="22"/>
          <w:szCs w:val="22"/>
        </w:rPr>
        <w:t xml:space="preserve">Extender el histórico oculto en el Excel fuente (actualmente oculto antes de agosto 2025) para que las gráficas de indicadores usen el mismo rango correcto que las demás.</w:t>
      </w:r>
    </w:p>
    <w:p>
      <w:pPr>
        <w:pStyle w:val="ListParagraph"/>
        <w:numPr>
          <w:ilvl w:val="0"/>
          <w:numId w:val="2"/>
        </w:numPr>
        <w:spacing w:after="80" w:line="276"/>
      </w:pPr>
      <w:r>
        <w:rPr>
          <w:rFonts w:ascii="Calibri" w:cs="Calibri" w:eastAsia="Calibri" w:hAnsi="Calibri"/>
          <w:sz w:val="22"/>
          <w:szCs w:val="22"/>
        </w:rPr>
        <w:t xml:space="preserve">Para "casos atendidos", Santiago pidió mostrar el porcentaje total de casos en la parte superior de la tarjeta, igual que se hizo en la sección 2.1.</w:t>
      </w:r>
    </w:p>
    <w:p>
      <w:pPr>
        <w:pStyle w:val="Heading2"/>
        <w:spacing w:after="100" w:before="240"/>
      </w:pPr>
      <w:r>
        <w:rPr>
          <w:rFonts w:ascii="Calibri" w:cs="Calibri" w:eastAsia="Calibri" w:hAnsi="Calibri"/>
          <w:b/>
          <w:bCs/>
          <w:color w:val="1F3864"/>
          <w:sz w:val="24"/>
          <w:szCs w:val="24"/>
        </w:rPr>
        <w:t xml:space="preserve">2.8 Exportación final y presentación al cliente (min. 27:55 – 48:41)</w:t>
      </w:r>
    </w:p>
    <w:p>
      <w:pPr>
        <w:spacing w:after="120" w:line="276"/>
      </w:pPr>
      <w:r>
        <w:rPr>
          <w:rFonts w:ascii="Calibri" w:cs="Calibri" w:eastAsia="Calibri" w:hAnsi="Calibri"/>
          <w:sz w:val="22"/>
          <w:szCs w:val="22"/>
        </w:rPr>
        <w:t xml:space="preserve">Se revisó el resultado consolidado: un único documento (contrato, resumen de tarjetas por sección) exportable como HTML interactivo o como PDF. Santiago valoró especialmente que el HTML permite al cliente interactuar con la información, mientras el PDF es más estático pero más fácil de compartir. Consideró que ambas opciones son necesarias según el canal de entrega. Su cierre de esta parte fue explícito: "a mí me gusta bastante, la verdad, me gusta mucho".</w:t>
      </w:r>
    </w:p>
    <w:p>
      <w:pPr>
        <w:pStyle w:val="Heading1"/>
        <w:pBdr>
          <w:bottom w:val="single" w:color="1F3864" w:sz="8" w:space="4"/>
        </w:pBdr>
        <w:spacing w:after="160" w:before="320"/>
      </w:pPr>
      <w:r>
        <w:rPr>
          <w:rFonts w:ascii="Calibri" w:cs="Calibri" w:eastAsia="Calibri" w:hAnsi="Calibri"/>
          <w:b/>
          <w:bCs/>
          <w:color w:val="1F3864"/>
          <w:sz w:val="28"/>
          <w:szCs w:val="28"/>
        </w:rPr>
        <w:t xml:space="preserve">3. Estado de automatizaciones ya completadas</w:t>
      </w:r>
    </w:p>
    <w:p>
      <w:pPr>
        <w:spacing w:after="120" w:line="276"/>
      </w:pPr>
      <w:r>
        <w:rPr>
          <w:rFonts w:ascii="Calibri" w:cs="Calibri" w:eastAsia="Calibri" w:hAnsi="Calibri"/>
          <w:sz w:val="22"/>
          <w:szCs w:val="22"/>
        </w:rPr>
        <w:t xml:space="preserve">Antes de pasar al tema de fuentes de datos, Yordy recapituló otros frentes de automatización ya cerrados en el periodo:</w:t>
      </w:r>
    </w:p>
    <w:p>
      <w:pPr>
        <w:pStyle w:val="ListParagraph"/>
        <w:numPr>
          <w:ilvl w:val="0"/>
          <w:numId w:val="2"/>
        </w:numPr>
        <w:spacing w:after="80" w:line="276"/>
      </w:pPr>
      <w:r>
        <w:rPr>
          <w:rFonts w:ascii="Calibri" w:cs="Calibri" w:eastAsia="Calibri" w:hAnsi="Calibri"/>
          <w:sz w:val="22"/>
          <w:szCs w:val="22"/>
        </w:rPr>
        <w:t xml:space="preserve">Automatización de envío de correos: finalizada y validada — Santiago confirmó haber revisado los correos del viernes y que quedaron bien.</w:t>
      </w:r>
    </w:p>
    <w:p>
      <w:pPr>
        <w:pStyle w:val="ListParagraph"/>
        <w:numPr>
          <w:ilvl w:val="0"/>
          <w:numId w:val="2"/>
        </w:numPr>
        <w:spacing w:after="80" w:line="276"/>
      </w:pPr>
      <w:r>
        <w:rPr>
          <w:rFonts w:ascii="Calibri" w:cs="Calibri" w:eastAsia="Calibri" w:hAnsi="Calibri"/>
          <w:sz w:val="22"/>
          <w:szCs w:val="22"/>
        </w:rPr>
        <w:t xml:space="preserve">Reporte de dispatcher: documentación cargada.</w:t>
      </w:r>
    </w:p>
    <w:p>
      <w:pPr>
        <w:pStyle w:val="ListParagraph"/>
        <w:numPr>
          <w:ilvl w:val="0"/>
          <w:numId w:val="2"/>
        </w:numPr>
        <w:spacing w:after="80" w:line="276"/>
      </w:pPr>
      <w:r>
        <w:rPr>
          <w:rFonts w:ascii="Calibri" w:cs="Calibri" w:eastAsia="Calibri" w:hAnsi="Calibri"/>
          <w:sz w:val="22"/>
          <w:szCs w:val="22"/>
        </w:rPr>
        <w:t xml:space="preserve">HTML de actividades de Conexus: cargado.</w:t>
      </w:r>
    </w:p>
    <w:p>
      <w:pPr>
        <w:spacing w:after="120" w:line="276"/>
      </w:pPr>
      <w:r>
        <w:rPr>
          <w:rFonts w:ascii="Calibri" w:cs="Calibri" w:eastAsia="Calibri" w:hAnsi="Calibri"/>
          <w:sz w:val="22"/>
          <w:szCs w:val="22"/>
        </w:rPr>
        <w:t xml:space="preserve">Santiago pidió que todo esto quede también registrado en el Excel de control de tiempos, para poder cuantificar cuánto tiempo se estaba ahorrando frente al proceso anterior.</w:t>
      </w:r>
    </w:p>
    <w:p>
      <w:pPr>
        <w:pStyle w:val="Heading1"/>
        <w:pBdr>
          <w:bottom w:val="single" w:color="1F3864" w:sz="8" w:space="4"/>
        </w:pBdr>
        <w:spacing w:after="160" w:before="320"/>
      </w:pPr>
      <w:r>
        <w:rPr>
          <w:rFonts w:ascii="Calibri" w:cs="Calibri" w:eastAsia="Calibri" w:hAnsi="Calibri"/>
          <w:b/>
          <w:bCs/>
          <w:color w:val="1F3864"/>
          <w:sz w:val="28"/>
          <w:szCs w:val="28"/>
        </w:rPr>
        <w:t xml:space="preserve">4. Hoja de ruta hacia la eliminación del Excel manual</w:t>
      </w:r>
    </w:p>
    <w:p>
      <w:pPr>
        <w:spacing w:after="120" w:line="276"/>
      </w:pPr>
      <w:r>
        <w:rPr>
          <w:rFonts w:ascii="Calibri" w:cs="Calibri" w:eastAsia="Calibri" w:hAnsi="Calibri"/>
          <w:sz w:val="22"/>
          <w:szCs w:val="22"/>
        </w:rPr>
        <w:t xml:space="preserve">El cierre de la reunión (min. 53:08 en adelante) definió el siguiente reto: aunque el informe ya transforma automáticamente todo lo que antes se hacía a mano ("quite aquí, ponga aquí"), el Excel de origen sigue existiendo porque esa información proviene de bases de datos que hoy se consultan y transcriben manualmente. Se plantearon tres vías, de menor a mayor complejidad:</w:t>
      </w:r>
    </w:p>
    <w:p>
      <w:pPr>
        <w:pStyle w:val="ListParagraph"/>
        <w:numPr>
          <w:ilvl w:val="0"/>
          <w:numId w:val="2"/>
        </w:numPr>
        <w:spacing w:after="80" w:line="276"/>
      </w:pPr>
      <w:r>
        <w:rPr>
          <w:rFonts w:ascii="Calibri" w:cs="Calibri" w:eastAsia="Calibri" w:hAnsi="Calibri"/>
          <w:b/>
          <w:bCs/>
          <w:sz w:val="22"/>
          <w:szCs w:val="22"/>
        </w:rPr>
        <w:t xml:space="preserve">Conexión directa a las bases de datos </w:t>
      </w:r>
      <w:r>
        <w:rPr>
          <w:rFonts w:ascii="Calibri" w:cs="Calibri" w:eastAsia="Calibri" w:hAnsi="Calibri"/>
          <w:sz w:val="22"/>
          <w:szCs w:val="22"/>
        </w:rPr>
        <w:t xml:space="preserve">(SQL Server y Oracle) del cliente, en el mismo esquema en que se haría desde Power BI. Es la vía más directa, pero requiere gestión de permisos de acceso.</w:t>
      </w:r>
    </w:p>
    <w:p>
      <w:pPr>
        <w:pStyle w:val="ListParagraph"/>
        <w:numPr>
          <w:ilvl w:val="0"/>
          <w:numId w:val="2"/>
        </w:numPr>
        <w:spacing w:after="80" w:line="276"/>
      </w:pPr>
      <w:r>
        <w:rPr>
          <w:rFonts w:ascii="Calibri" w:cs="Calibri" w:eastAsia="Calibri" w:hAnsi="Calibri"/>
          <w:b/>
          <w:bCs/>
          <w:sz w:val="22"/>
          <w:szCs w:val="22"/>
        </w:rPr>
        <w:t xml:space="preserve">Consulta vía API de Grafana </w:t>
      </w:r>
      <w:r>
        <w:rPr>
          <w:rFonts w:ascii="Calibri" w:cs="Calibri" w:eastAsia="Calibri" w:hAnsi="Calibri"/>
          <w:sz w:val="22"/>
          <w:szCs w:val="22"/>
        </w:rPr>
        <w:t xml:space="preserve">para el indicador de disponibilidad: un script (diario o el primer día de cada mes) ejecutaría una consulta que devuelve si cada base de datos estuvo al 100% o menos, y depositaría el resultado ya calculado en el archivo de trabajo. Santiago mencionó tener experiencia previa implementando este mecanismo en otras empresas.</w:t>
      </w:r>
    </w:p>
    <w:p>
      <w:pPr>
        <w:pStyle w:val="ListParagraph"/>
        <w:numPr>
          <w:ilvl w:val="0"/>
          <w:numId w:val="2"/>
        </w:numPr>
        <w:spacing w:after="80" w:line="276"/>
      </w:pPr>
      <w:r>
        <w:rPr>
          <w:rFonts w:ascii="Calibri" w:cs="Calibri" w:eastAsia="Calibri" w:hAnsi="Calibri"/>
          <w:b/>
          <w:bCs/>
          <w:sz w:val="22"/>
          <w:szCs w:val="22"/>
        </w:rPr>
        <w:t xml:space="preserve">Conexión a LPI </w:t>
      </w:r>
      <w:r>
        <w:rPr>
          <w:rFonts w:ascii="Calibri" w:cs="Calibri" w:eastAsia="Calibri" w:hAnsi="Calibri"/>
          <w:sz w:val="22"/>
          <w:szCs w:val="22"/>
        </w:rPr>
        <w:t xml:space="preserve">para los casos: identificada como la más compleja, tanto por el modelo de datos como por la gestión con esa contraparte ("eso con esa señora es complejo"). Se acuerda abordarla en una fase posterior, sin bloquear el avance de las otras dos vías.</w:t>
      </w:r>
    </w:p>
    <w:p>
      <w:pPr>
        <w:pStyle w:val="Heading1"/>
        <w:pBdr>
          <w:bottom w:val="single" w:color="1F3864" w:sz="8" w:space="4"/>
        </w:pBdr>
        <w:spacing w:after="160" w:before="320"/>
      </w:pPr>
      <w:r>
        <w:rPr>
          <w:rFonts w:ascii="Calibri" w:cs="Calibri" w:eastAsia="Calibri" w:hAnsi="Calibri"/>
          <w:b/>
          <w:bCs/>
          <w:color w:val="1F3864"/>
          <w:sz w:val="28"/>
          <w:szCs w:val="28"/>
        </w:rPr>
        <w:t xml:space="preserve">5. Decisiones y acuerdos</w:t>
      </w:r>
    </w:p>
    <w:p>
      <w:pPr>
        <w:pStyle w:val="ListParagraph"/>
        <w:numPr>
          <w:ilvl w:val="0"/>
          <w:numId w:val="2"/>
        </w:numPr>
        <w:spacing w:after="80" w:line="276"/>
      </w:pPr>
      <w:r>
        <w:rPr>
          <w:rFonts w:ascii="Calibri" w:cs="Calibri" w:eastAsia="Calibri" w:hAnsi="Calibri"/>
          <w:sz w:val="22"/>
          <w:szCs w:val="22"/>
        </w:rPr>
        <w:t xml:space="preserve">Se aprueba la estructura general del nuevo informe HTML/PDF como reemplazo definitivo del formato anterior basado en diapositivas.</w:t>
      </w:r>
    </w:p>
    <w:p>
      <w:pPr>
        <w:pStyle w:val="ListParagraph"/>
        <w:numPr>
          <w:ilvl w:val="0"/>
          <w:numId w:val="2"/>
        </w:numPr>
        <w:spacing w:after="80" w:line="276"/>
      </w:pPr>
      <w:r>
        <w:rPr>
          <w:rFonts w:ascii="Calibri" w:cs="Calibri" w:eastAsia="Calibri" w:hAnsi="Calibri"/>
          <w:sz w:val="22"/>
          <w:szCs w:val="22"/>
        </w:rPr>
        <w:t xml:space="preserve">Se define una lista concreta de ajustes de forma y fondo (colores, sombreados, columnas redundantes, nombres de secciones, metas faltantes) a resolver antes de la siguiente revisión.</w:t>
      </w:r>
    </w:p>
    <w:p>
      <w:pPr>
        <w:pStyle w:val="ListParagraph"/>
        <w:numPr>
          <w:ilvl w:val="0"/>
          <w:numId w:val="2"/>
        </w:numPr>
        <w:spacing w:after="80" w:line="276"/>
      </w:pPr>
      <w:r>
        <w:rPr>
          <w:rFonts w:ascii="Calibri" w:cs="Calibri" w:eastAsia="Calibri" w:hAnsi="Calibri"/>
          <w:sz w:val="22"/>
          <w:szCs w:val="22"/>
        </w:rPr>
        <w:t xml:space="preserve">Se prioriza funcionalidad sobre estética en los desarrollos nuevos (bolsa de horas): primero que funcione, luego se refina el diseño.</w:t>
      </w:r>
    </w:p>
    <w:p>
      <w:pPr>
        <w:pStyle w:val="ListParagraph"/>
        <w:numPr>
          <w:ilvl w:val="0"/>
          <w:numId w:val="2"/>
        </w:numPr>
        <w:spacing w:after="80" w:line="276"/>
      </w:pPr>
      <w:r>
        <w:rPr>
          <w:rFonts w:ascii="Calibri" w:cs="Calibri" w:eastAsia="Calibri" w:hAnsi="Calibri"/>
          <w:sz w:val="22"/>
          <w:szCs w:val="22"/>
        </w:rPr>
        <w:t xml:space="preserve">Yordy debe probar cada funcionalidad como usuario final antes de llevarla a producción.</w:t>
      </w:r>
    </w:p>
    <w:p>
      <w:pPr>
        <w:pStyle w:val="ListParagraph"/>
        <w:numPr>
          <w:ilvl w:val="0"/>
          <w:numId w:val="2"/>
        </w:numPr>
        <w:spacing w:after="80" w:line="276"/>
      </w:pPr>
      <w:r>
        <w:rPr>
          <w:rFonts w:ascii="Calibri" w:cs="Calibri" w:eastAsia="Calibri" w:hAnsi="Calibri"/>
          <w:sz w:val="22"/>
          <w:szCs w:val="22"/>
        </w:rPr>
        <w:t xml:space="preserve">Se mantiene sin cambios el informe del cliente Bancoldex por ahora.</w:t>
      </w:r>
    </w:p>
    <w:p>
      <w:pPr>
        <w:pStyle w:val="ListParagraph"/>
        <w:numPr>
          <w:ilvl w:val="0"/>
          <w:numId w:val="2"/>
        </w:numPr>
        <w:spacing w:after="80" w:line="276"/>
      </w:pPr>
      <w:r>
        <w:rPr>
          <w:rFonts w:ascii="Calibri" w:cs="Calibri" w:eastAsia="Calibri" w:hAnsi="Calibri"/>
          <w:sz w:val="22"/>
          <w:szCs w:val="22"/>
        </w:rPr>
        <w:t xml:space="preserve">Se decide avanzar la automatización de fuentes por etapas: primero disponibilidad vía Grafana, luego conexión a bases de datos, y en último lugar LPI.</w:t>
      </w:r>
    </w:p>
    <w:p>
      <w:pPr>
        <w:pStyle w:val="Heading1"/>
        <w:pBdr>
          <w:bottom w:val="single" w:color="1F3864" w:sz="8" w:space="4"/>
        </w:pBdr>
        <w:spacing w:after="160" w:before="320"/>
      </w:pPr>
      <w:r>
        <w:rPr>
          <w:rFonts w:ascii="Calibri" w:cs="Calibri" w:eastAsia="Calibri" w:hAnsi="Calibri"/>
          <w:b/>
          <w:bCs/>
          <w:color w:val="1F3864"/>
          <w:sz w:val="28"/>
          <w:szCs w:val="28"/>
        </w:rPr>
        <w:t xml:space="preserve">6.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1960"/>
        <w:gridCol w:w="1800"/>
      </w:tblGrid>
      <w:tr>
        <w:trPr>
          <w:tblHeader/>
        </w:trPr>
        <w:tc>
          <w:tcPr>
            <w:tcW w:type="dxa" w:w="5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w:t>
            </w:r>
          </w:p>
        </w:tc>
        <w:tc>
          <w:tcPr>
            <w:tcW w:type="dxa" w:w="51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Acción</w:t>
            </w:r>
          </w:p>
        </w:tc>
        <w:tc>
          <w:tcPr>
            <w:tcW w:type="dxa" w:w="19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Responsable</w:t>
            </w:r>
          </w:p>
        </w:tc>
        <w:tc>
          <w:tcPr>
            <w:tcW w:type="dxa" w:w="18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Cuándo</w:t>
            </w:r>
          </w:p>
        </w:tc>
      </w:tr>
      <w:tr>
        <w:tc>
          <w:tcPr>
            <w:tcW w:type="dxa" w:w="5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w:t>
            </w:r>
          </w:p>
        </w:tc>
        <w:tc>
          <w:tcPr>
            <w:tcW w:type="dxa" w:w="51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Aplicar los ajustes de colores, sombreados y columnas acordados en cada sección del informe</w:t>
            </w:r>
          </w:p>
        </w:tc>
        <w:tc>
          <w:tcPr>
            <w:tcW w:type="dxa" w:w="19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Yordy</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2 días</w:t>
            </w:r>
          </w:p>
        </w:tc>
      </w:tr>
      <w:tr>
        <w:tc>
          <w:tcPr>
            <w:tcW w:type="dxa" w:w="5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2</w:t>
            </w:r>
          </w:p>
        </w:tc>
        <w:tc>
          <w:tcPr>
            <w:tcW w:type="dxa" w:w="51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Agregar tarjeta de motores con nombres reales y meta en disponibilidad por CI</w:t>
            </w:r>
          </w:p>
        </w:tc>
        <w:tc>
          <w:tcPr>
            <w:tcW w:type="dxa" w:w="196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Yordy</w:t>
            </w:r>
          </w:p>
        </w:tc>
        <w:tc>
          <w:tcPr>
            <w:tcW w:type="dxa" w:w="18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2 días</w:t>
            </w:r>
          </w:p>
        </w:tc>
      </w:tr>
      <w:tr>
        <w:tc>
          <w:tcPr>
            <w:tcW w:type="dxa" w:w="5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3</w:t>
            </w:r>
          </w:p>
        </w:tc>
        <w:tc>
          <w:tcPr>
            <w:tcW w:type="dxa" w:w="51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Implementar la funcionalidad de bolsa de horas (carga de archivo + consumidas/total/restantes)</w:t>
            </w:r>
          </w:p>
        </w:tc>
        <w:tc>
          <w:tcPr>
            <w:tcW w:type="dxa" w:w="19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Yordy</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2 días</w:t>
            </w:r>
          </w:p>
        </w:tc>
      </w:tr>
      <w:tr>
        <w:tc>
          <w:tcPr>
            <w:tcW w:type="dxa" w:w="5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4</w:t>
            </w:r>
          </w:p>
        </w:tc>
        <w:tc>
          <w:tcPr>
            <w:tcW w:type="dxa" w:w="51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Nueva sesión de revisión del informe</w:t>
            </w:r>
          </w:p>
        </w:tc>
        <w:tc>
          <w:tcPr>
            <w:tcW w:type="dxa" w:w="196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Santiago / Yordy</w:t>
            </w:r>
          </w:p>
        </w:tc>
        <w:tc>
          <w:tcPr>
            <w:tcW w:type="dxa" w:w="18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Jueves 23 de julio, 10:30 a.m.</w:t>
            </w:r>
          </w:p>
        </w:tc>
      </w:tr>
      <w:tr>
        <w:tc>
          <w:tcPr>
            <w:tcW w:type="dxa" w:w="5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5</w:t>
            </w:r>
          </w:p>
        </w:tc>
        <w:tc>
          <w:tcPr>
            <w:tcW w:type="dxa" w:w="51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Presentar el informe a su jefe, destacando la gestión de desarrollo de Yordy</w:t>
            </w:r>
          </w:p>
        </w:tc>
        <w:tc>
          <w:tcPr>
            <w:tcW w:type="dxa" w:w="19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Santiago</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Lunes, 3:00 p.m.</w:t>
            </w:r>
          </w:p>
        </w:tc>
      </w:tr>
      <w:tr>
        <w:tc>
          <w:tcPr>
            <w:tcW w:type="dxa" w:w="5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6</w:t>
            </w:r>
          </w:p>
        </w:tc>
        <w:tc>
          <w:tcPr>
            <w:tcW w:type="dxa" w:w="51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Evaluar la API de Grafana para automatizar el indicador de disponibilidad</w:t>
            </w:r>
          </w:p>
        </w:tc>
        <w:tc>
          <w:tcPr>
            <w:tcW w:type="dxa" w:w="196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Santiago / Yordy</w:t>
            </w:r>
          </w:p>
        </w:tc>
        <w:tc>
          <w:tcPr>
            <w:tcW w:type="dxa" w:w="18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Por definir</w:t>
            </w:r>
          </w:p>
        </w:tc>
      </w:tr>
      <w:tr>
        <w:tc>
          <w:tcPr>
            <w:tcW w:type="dxa" w:w="5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7</w:t>
            </w:r>
          </w:p>
        </w:tc>
        <w:tc>
          <w:tcPr>
            <w:tcW w:type="dxa" w:w="51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Gestionar permisos de acceso a SQL Server y Oracle del cliente</w:t>
            </w:r>
          </w:p>
        </w:tc>
        <w:tc>
          <w:tcPr>
            <w:tcW w:type="dxa" w:w="196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Santiago</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Por definir</w:t>
            </w:r>
          </w:p>
        </w:tc>
      </w:tr>
      <w:tr>
        <w:tc>
          <w:tcPr>
            <w:tcW w:type="dxa" w:w="5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8</w:t>
            </w:r>
          </w:p>
        </w:tc>
        <w:tc>
          <w:tcPr>
            <w:tcW w:type="dxa" w:w="51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Registrar en el Excel de control el tiempo ahorrado por las automatizaciones ya cerradas (correos, dispatcher, Conexus)</w:t>
            </w:r>
          </w:p>
        </w:tc>
        <w:tc>
          <w:tcPr>
            <w:tcW w:type="dxa" w:w="196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Yordy</w:t>
            </w:r>
          </w:p>
        </w:tc>
        <w:tc>
          <w:tcPr>
            <w:tcW w:type="dxa" w:w="1800"/>
            <w:shd w:fill="F2F5FA" w:color="auto"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Por definir</w:t>
            </w:r>
          </w:p>
        </w:tc>
      </w:tr>
    </w:tbl>
    <w:p>
      <w:pPr>
        <w:pStyle w:val="Heading1"/>
        <w:pBdr>
          <w:bottom w:val="single" w:color="1F3864" w:sz="8" w:space="4"/>
        </w:pBdr>
        <w:spacing w:after="160" w:before="320"/>
      </w:pPr>
      <w:r>
        <w:rPr>
          <w:rFonts w:ascii="Calibri" w:cs="Calibri" w:eastAsia="Calibri" w:hAnsi="Calibri"/>
          <w:b/>
          <w:bCs/>
          <w:color w:val="1F3864"/>
          <w:sz w:val="28"/>
          <w:szCs w:val="28"/>
        </w:rPr>
        <w:t xml:space="preserve">7. Riesgos y consideraciones</w:t>
      </w:r>
    </w:p>
    <w:p>
      <w:pPr>
        <w:pStyle w:val="ListParagraph"/>
        <w:numPr>
          <w:ilvl w:val="0"/>
          <w:numId w:val="2"/>
        </w:numPr>
        <w:spacing w:after="80" w:line="276"/>
      </w:pPr>
      <w:r>
        <w:rPr>
          <w:rFonts w:ascii="Calibri" w:cs="Calibri" w:eastAsia="Calibri" w:hAnsi="Calibri"/>
          <w:b/>
          <w:bCs/>
          <w:sz w:val="22"/>
          <w:szCs w:val="22"/>
        </w:rPr>
        <w:t xml:space="preserve">Permisos de acceso. </w:t>
      </w:r>
      <w:r>
        <w:rPr>
          <w:rFonts w:ascii="Calibri" w:cs="Calibri" w:eastAsia="Calibri" w:hAnsi="Calibri"/>
          <w:sz w:val="22"/>
          <w:szCs w:val="22"/>
        </w:rPr>
        <w:t xml:space="preserve">Tanto la conexión a bases de datos del cliente como la integración con LPI dependen de autorizaciones externas que Yordy no controla directamente.</w:t>
      </w:r>
    </w:p>
    <w:p>
      <w:pPr>
        <w:pStyle w:val="ListParagraph"/>
        <w:numPr>
          <w:ilvl w:val="0"/>
          <w:numId w:val="2"/>
        </w:numPr>
        <w:spacing w:after="80" w:line="276"/>
      </w:pPr>
      <w:r>
        <w:rPr>
          <w:rFonts w:ascii="Calibri" w:cs="Calibri" w:eastAsia="Calibri" w:hAnsi="Calibri"/>
          <w:b/>
          <w:bCs/>
          <w:sz w:val="22"/>
          <w:szCs w:val="22"/>
        </w:rPr>
        <w:t xml:space="preserve">Complejidad de LPI. </w:t>
      </w:r>
      <w:r>
        <w:rPr>
          <w:rFonts w:ascii="Calibri" w:cs="Calibri" w:eastAsia="Calibri" w:hAnsi="Calibri"/>
          <w:sz w:val="22"/>
          <w:szCs w:val="22"/>
        </w:rPr>
        <w:t xml:space="preserve">Señalada explícitamente como el punto más difícil de la hoja de ruta, tanto en lo técnico como en la gestión con la contraparte.</w:t>
      </w:r>
    </w:p>
    <w:p>
      <w:pPr>
        <w:pStyle w:val="ListParagraph"/>
        <w:numPr>
          <w:ilvl w:val="0"/>
          <w:numId w:val="2"/>
        </w:numPr>
        <w:spacing w:after="80" w:line="276"/>
      </w:pPr>
      <w:r>
        <w:rPr>
          <w:rFonts w:ascii="Calibri" w:cs="Calibri" w:eastAsia="Calibri" w:hAnsi="Calibri"/>
          <w:b/>
          <w:bCs/>
          <w:sz w:val="22"/>
          <w:szCs w:val="22"/>
        </w:rPr>
        <w:t xml:space="preserve">Dependencia residual del Excel. </w:t>
      </w:r>
      <w:r>
        <w:rPr>
          <w:rFonts w:ascii="Calibri" w:cs="Calibri" w:eastAsia="Calibri" w:hAnsi="Calibri"/>
          <w:sz w:val="22"/>
          <w:szCs w:val="22"/>
        </w:rPr>
        <w:t xml:space="preserve">Mientras no se automaticen las fuentes, el ahorro de tiempo se concentra en la consolidación y presentación, no en la captura del dato origen.</w:t>
      </w:r>
    </w:p>
    <w:p>
      <w:pPr>
        <w:pStyle w:val="ListParagraph"/>
        <w:numPr>
          <w:ilvl w:val="0"/>
          <w:numId w:val="2"/>
        </w:numPr>
        <w:spacing w:after="80" w:line="276"/>
      </w:pPr>
      <w:r>
        <w:rPr>
          <w:rFonts w:ascii="Calibri" w:cs="Calibri" w:eastAsia="Calibri" w:hAnsi="Calibri"/>
          <w:b/>
          <w:bCs/>
          <w:sz w:val="22"/>
          <w:szCs w:val="22"/>
        </w:rPr>
        <w:t xml:space="preserve">Alcance en expansión. </w:t>
      </w:r>
      <w:r>
        <w:rPr>
          <w:rFonts w:ascii="Calibri" w:cs="Calibri" w:eastAsia="Calibri" w:hAnsi="Calibri"/>
          <w:sz w:val="22"/>
          <w:szCs w:val="22"/>
        </w:rPr>
        <w:t xml:space="preserve">Cada tarjeta revisada reveló ajustes adicionales no anticipados (metas faltantes, columnas redundantes); conviene cerrar el listado de pendientes antes de la sesión del jueves para no perder foco.</w:t>
      </w:r>
    </w:p>
    <w:p>
      <w:pPr>
        <w:pStyle w:val="Heading1"/>
        <w:pBdr>
          <w:bottom w:val="single" w:color="1F3864" w:sz="8" w:space="4"/>
        </w:pBdr>
        <w:spacing w:after="160" w:before="320"/>
      </w:pPr>
      <w:r>
        <w:rPr>
          <w:rFonts w:ascii="Calibri" w:cs="Calibri" w:eastAsia="Calibri" w:hAnsi="Calibri"/>
          <w:b/>
          <w:bCs/>
          <w:color w:val="1F3864"/>
          <w:sz w:val="28"/>
          <w:szCs w:val="28"/>
        </w:rPr>
        <w:t xml:space="preserve">Nota metodológica</w:t>
      </w:r>
    </w:p>
    <w:p>
      <w:pPr>
        <w:spacing w:after="120" w:line="276"/>
      </w:pPr>
      <w:r>
        <w:rPr>
          <w:rFonts w:ascii="Calibri" w:cs="Calibri" w:eastAsia="Calibri" w:hAnsi="Calibri"/>
          <w:i/>
          <w:iCs/>
          <w:color w:val="595959"/>
          <w:sz w:val="22"/>
          <w:szCs w:val="22"/>
        </w:rPr>
        <w:t xml:space="preserve">Este documento es una síntesis analítica de la transcripción automática completa de la llamada (785 intervenciones, 55 minutos 49 segundos). La transcripción presentaba errores propios del reconocimiento de voz que fueron normalizados en la redacción sin alterar el sentido de las intervenciones — por ejemplo, expresiones truncadas o palabras sueltas en inglés que corresponden a ruido de reconocimiento, y variaciones de nombres propios ("Sicoal Server" por SQL Server). No se añadieron compromisos, cifras ni fechas que no consten explícitamente en el audio.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y análisis — Llamada con Santiago Amaya Cely</dc:title>
  <dc:creator>Yordy Pardo Pajaro</dc:creator>
  <dc:description>Análisis completo de la reunión de revisión del informe de acción fiduciaria</dc:description>
  <cp:lastModifiedBy>Un-named</cp:lastModifiedBy>
  <cp:revision>1</cp:revision>
  <dcterms:created xsi:type="dcterms:W3CDTF">2026-07-22T03:24:15.844Z</dcterms:created>
  <dcterms:modified xsi:type="dcterms:W3CDTF">2026-07-22T03:24:15.848Z</dcterms:modified>
</cp:coreProperties>
</file>

<file path=docProps/custom.xml><?xml version="1.0" encoding="utf-8"?>
<Properties xmlns="http://schemas.openxmlformats.org/officeDocument/2006/custom-properties" xmlns:vt="http://schemas.openxmlformats.org/officeDocument/2006/docPropsVTypes"/>
</file>