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rPr>
          <w:b/>
          <w:bCs/>
          <w:color w:val="595959"/>
          <w:sz w:val="24"/>
          <w:szCs w:val="24"/>
        </w:rPr>
        <w:t xml:space="preserve">SETI</w:t>
      </w:r>
    </w:p>
    <w:p>
      <w:pPr>
        <w:spacing w:after="80" w:before="200"/>
      </w:pPr>
      <w:r>
        <w:rPr>
          <w:b/>
          <w:bCs/>
          <w:color w:val="1F3864"/>
          <w:sz w:val="38"/>
          <w:szCs w:val="38"/>
        </w:rPr>
        <w:t xml:space="preserve">Automatización de insumos del informe: GLPI + AlertOps</w:t>
      </w:r>
    </w:p>
    <w:p>
      <w:pPr>
        <w:spacing w:after="300"/>
      </w:pPr>
      <w:r>
        <w:rPr>
          <w:color w:val="2E5A8C"/>
          <w:sz w:val="26"/>
          <w:szCs w:val="26"/>
        </w:rPr>
        <w:t xml:space="preserve">Plan de cierre y guía de configuración en servidor</w:t>
      </w:r>
    </w:p>
    <w:p>
      <w:pPr>
        <w:spacing w:after="160" w:line="300"/>
        <w:rPr>
          <w:i/>
          <w:iCs/>
          <w:color w:val="595959"/>
        </w:rPr>
      </w:pPr>
      <w:r>
        <w:rPr>
          <w:i/>
          <w:iCs/>
          <w:color w:val="595959"/>
          <w:sz w:val="21"/>
          <w:szCs w:val="21"/>
        </w:rPr>
        <w:t xml:space="preserve">Informe Gerencial · Acción Fiduciaria</w:t>
      </w:r>
    </w:p>
    <w:p>
      <w:pPr>
        <w:spacing w:after="60" w:before="300"/>
      </w:pPr>
      <w:r>
        <w:rPr>
          <w:b/>
          <w:bCs/>
          <w:sz w:val="21"/>
          <w:szCs w:val="21"/>
        </w:rPr>
        <w:t xml:space="preserve">Preparado por: </w:t>
      </w:r>
      <w:r>
        <w:rPr>
          <w:sz w:val="21"/>
          <w:szCs w:val="21"/>
        </w:rPr>
        <w:t xml:space="preserve">Yordy Pardo Pájaro</w:t>
      </w:r>
    </w:p>
    <w:p>
      <w:pPr>
        <w:spacing w:after="60"/>
      </w:pPr>
      <w:r>
        <w:rPr>
          <w:b/>
          <w:bCs/>
          <w:sz w:val="21"/>
          <w:szCs w:val="21"/>
        </w:rPr>
        <w:t xml:space="preserve">Para: </w:t>
      </w:r>
      <w:r>
        <w:rPr>
          <w:sz w:val="21"/>
          <w:szCs w:val="21"/>
        </w:rPr>
        <w:t xml:space="preserve">Santiago Amaya Cely</w:t>
      </w:r>
    </w:p>
    <w:p>
      <w:pPr>
        <w:spacing w:after="60"/>
      </w:pPr>
      <w:r>
        <w:rPr>
          <w:b/>
          <w:bCs/>
          <w:sz w:val="21"/>
          <w:szCs w:val="21"/>
        </w:rPr>
        <w:t xml:space="preserve">Fecha: </w:t>
      </w:r>
      <w:r>
        <w:rPr>
          <w:sz w:val="21"/>
          <w:szCs w:val="21"/>
        </w:rPr>
        <w:t xml:space="preserve">28 de julio de 2026</w:t>
      </w:r>
    </w:p>
    <w:p>
      <w:pPr>
        <w:spacing w:after="300"/>
      </w:pPr>
      <w:r>
        <w:rPr>
          <w:b/>
          <w:bCs/>
          <w:sz w:val="21"/>
          <w:szCs w:val="21"/>
        </w:rPr>
        <w:t xml:space="preserve">Referencia: </w:t>
      </w:r>
      <w:r>
        <w:rPr>
          <w:sz w:val="21"/>
          <w:szCs w:val="21"/>
        </w:rPr>
        <w:t xml:space="preserve">Actualiza el plan de cierre del 28/07 con AlertOps, la verificación en vivo de ambas fuentes y la guía de puesta en producción</w:t>
      </w:r>
    </w:p>
    <w:p>
      <w:pPr>
        <w:spacing w:after="160" w:line="300"/>
        <w:rPr>
          <w:i/>
          <w:iCs/>
          <w:color w:val="595959"/>
          <w:sz w:val="19"/>
          <w:szCs w:val="19"/>
        </w:rPr>
      </w:pPr>
      <w:r>
        <w:rPr>
          <w:i/>
          <w:iCs/>
          <w:color w:val="595959"/>
          <w:sz w:val="19"/>
          <w:szCs w:val="19"/>
        </w:rPr>
        <w:t xml:space="preserve">Documento interno de trabajo. Contiene rutas, credenciales de referencia y decisiones pendientes sobre sistemas de SETI; no está destinado al cliente.</w:t>
      </w:r>
    </w:p>
    <w:p>
      <w:r>
        <w:br w:type="page"/>
      </w:r>
    </w:p>
    <w:p>
      <w:pPr>
        <w:pStyle w:val="Heading1"/>
        <w:pBdr>
          <w:bottom w:val="single" w:color="1F3864" w:sz="6" w:space="4"/>
        </w:pBdr>
        <w:spacing w:after="160" w:before="360"/>
      </w:pPr>
      <w:r>
        <w:rPr>
          <w:b/>
          <w:bCs/>
          <w:color w:val="1F3864"/>
          <w:sz w:val="30"/>
          <w:szCs w:val="30"/>
        </w:rPr>
        <w:t xml:space="preserve">1. Resumen ejecutivo</w:t>
      </w:r>
    </w:p>
    <w:p>
      <w:pPr>
        <w:spacing w:after="160" w:line="300"/>
      </w:pPr>
      <w:r>
        <w:rPr>
          <w:sz w:val="21"/>
          <w:szCs w:val="21"/>
        </w:rPr>
        <w:t xml:space="preserve">Desde el plan de cierre anterior (solo GLPI) esto avanzó de investigación a automatización funcionando: se sumó AlertOps completo, se unificaron las dos extracciones en un solo comando, GLPI dejó de traer el histórico completo (ahora filtra por mes en origen), el periodo se calcula solo — nunca hay que escribirlo — y las dos fuentes se verificaron contra las cuentas reales de SETI, no contra datos de prueba.</w:t>
      </w:r>
    </w:p>
    <w:p>
      <w:pPr>
        <w:spacing w:after="160" w:line="300"/>
      </w:pPr>
      <w:r>
        <w:rPr>
          <w:sz w:val="21"/>
          <w:szCs w:val="21"/>
        </w:rPr>
        <w:t xml:space="preserve">Lo único que sigue bloqueando dejar esto corriendo desatendido es organizativo, no técnico: cuentas de servicio (hoy son credenciales personales), dónde se ejecuta la tarea, y el destino en SharePoint/OneDrive. La sección 4 de este documento explica exactamente cómo configurar el servidor en cuanto esas decisiones estén tomadas — con un script ya escrito y probado, no una descripción teórica.</w:t>
      </w:r>
    </w:p>
    <w:p>
      <w:pPr>
        <w:pStyle w:val="Heading2"/>
        <w:spacing w:after="120" w:before="260"/>
      </w:pPr>
      <w:r>
        <w:rPr>
          <w:b/>
          <w:bCs/>
          <w:color w:val="2E5A8C"/>
          <w:sz w:val="24"/>
          <w:szCs w:val="24"/>
        </w:rPr>
        <w:t xml:space="preserve">Estado de cada pieza</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06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Parte del proceso</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Estado</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Detalle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Extraer de GLPI, filtrado por mes en origen</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Verificado en vivo: mayo (8/8 vs. manual), junio (0, confirmado), julio parcial (5)</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Extraer de AlertOps, filtrado por cliente</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Verificado en vivo: junio (53), más completo que el export manual (49)</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Un solo comando para las dos fuentes</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actualizar_informe.py — corre ambas, copia el insumo, opcionalmente abre el HTML</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Periodo automático (mes cerrado)</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Nunca hay que escribir --periodo; si es agosto, reporta julio solo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El informe carga ambas fuentes solo</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Verificado en file:// (la forma real de abrirlo), con caché resuelta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Script listo para tarea programada</w:t>
            </w:r>
          </w:p>
        </w:tc>
        <w:tc>
          <w:tcPr>
            <w:tcW w:type="dxa" w:w="2000"/>
            <w:shd w:fill="E2EFDA" w:val="clear"/>
            <w:tcMar>
              <w:top w:type="dxa" w:w="100"/>
              <w:left w:type="dxa" w:w="120"/>
              <w:bottom w:type="dxa" w:w="100"/>
              <w:right w:type="dxa" w:w="120"/>
            </w:tcMar>
          </w:tcPr>
          <w:p>
            <w:pPr>
              <w:jc w:val="left"/>
            </w:pPr>
            <w:r>
              <w:rPr>
                <w:b w:val="false"/>
                <w:bCs w:val="false"/>
                <w:color w:val="000000"/>
                <w:sz w:val="20"/>
                <w:szCs w:val="20"/>
              </w:rPr>
              <w:t xml:space="preserve">Listo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tarea_mensual.sh — probado en éxito y en fallo (ver §4)</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Cuentas de servicio de solo lectura</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Pendiente</w:t>
            </w:r>
          </w:p>
        </w:tc>
        <w:tc>
          <w:tcPr>
            <w:tcW w:type="dxa" w:w="2000"/>
            <w:tcMar>
              <w:top w:type="dxa" w:w="100"/>
              <w:left w:type="dxa" w:w="120"/>
              <w:bottom w:type="dxa" w:w="100"/>
              <w:right w:type="dxa" w:w="120"/>
            </w:tcMar>
          </w:tcPr>
          <w:p>
            <w:pPr>
              <w:jc w:val="left"/>
            </w:pPr>
            <w:r>
              <w:rPr>
                <w:b w:val="false"/>
                <w:bCs w:val="false"/>
                <w:color w:val="000000"/>
                <w:sz w:val="20"/>
                <w:szCs w:val="20"/>
              </w:rPr>
              <w:t xml:space="preserve">Hoy son credenciales personales; funcionan pero no deben quedarse así</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Depósito automático en SharePoint/OneDrive</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Pendiente</w:t>
            </w:r>
          </w:p>
        </w:tc>
        <w:tc>
          <w:tcPr>
            <w:tcW w:type="dxa" w:w="2000"/>
            <w:tcMar>
              <w:top w:type="dxa" w:w="100"/>
              <w:left w:type="dxa" w:w="120"/>
              <w:bottom w:type="dxa" w:w="100"/>
              <w:right w:type="dxa" w:w="120"/>
            </w:tcMar>
          </w:tcPr>
          <w:p>
            <w:pPr>
              <w:jc w:val="left"/>
            </w:pPr>
            <w:r>
              <w:rPr>
                <w:b w:val="false"/>
                <w:bCs w:val="false"/>
                <w:color w:val="000000"/>
                <w:sz w:val="20"/>
                <w:szCs w:val="20"/>
              </w:rPr>
              <w:t xml:space="preserve">Hoy el insumo queda en el equipo donde corre el script</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Dónde se ejecuta la tarea</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Pendiente</w:t>
            </w:r>
          </w:p>
        </w:tc>
        <w:tc>
          <w:tcPr>
            <w:tcW w:type="dxa" w:w="2000"/>
            <w:tcMar>
              <w:top w:type="dxa" w:w="100"/>
              <w:left w:type="dxa" w:w="120"/>
              <w:bottom w:type="dxa" w:w="100"/>
              <w:right w:type="dxa" w:w="120"/>
            </w:tcMar>
          </w:tcPr>
          <w:p>
            <w:pPr>
              <w:jc w:val="left"/>
            </w:pPr>
            <w:r>
              <w:rPr>
                <w:b w:val="false"/>
                <w:bCs w:val="false"/>
                <w:color w:val="000000"/>
                <w:sz w:val="20"/>
                <w:szCs w:val="20"/>
              </w:rPr>
              <w:t xml:space="preserve">Elegir servidor — ver §4 para instalarlo en cuanto se decida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Alerta ante fallo + responsable</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Pendiente</w:t>
            </w:r>
          </w:p>
        </w:tc>
        <w:tc>
          <w:tcPr>
            <w:tcW w:type="dxa" w:w="2000"/>
            <w:tcMar>
              <w:top w:type="dxa" w:w="100"/>
              <w:left w:type="dxa" w:w="120"/>
              <w:bottom w:type="dxa" w:w="100"/>
              <w:right w:type="dxa" w:w="120"/>
            </w:tcMar>
          </w:tcPr>
          <w:p>
            <w:pPr>
              <w:jc w:val="left"/>
            </w:pPr>
            <w:r>
              <w:rPr>
                <w:b w:val="false"/>
                <w:bCs w:val="false"/>
                <w:color w:val="000000"/>
                <w:sz w:val="20"/>
                <w:szCs w:val="20"/>
              </w:rPr>
              <w:t xml:space="preserve">El script ya distingue éxito/fallo; falta el webhook y el nombre</w:t>
            </w:r>
          </w:p>
        </w:tc>
      </w:tr>
    </w:tbl>
    <w:p>
      <w:pPr>
        <w:spacing w:after="160" w:line="300"/>
      </w:pPr>
      <w:r>
        <w:rPr>
          <w:sz w:val="21"/>
          <w:szCs w:val="21"/>
        </w:rPr>
        <w:t xml:space="preserve"/>
      </w:r>
    </w:p>
    <w:p>
      <w:pPr>
        <w:spacing w:after="160" w:line="300"/>
      </w:pPr>
      <w:r>
        <w:rPr>
          <w:sz w:val="21"/>
          <w:szCs w:val="21"/>
        </w:rPr>
        <w:t xml:space="preserve">Dos decisiones de negocio del histórico de casos siguen abiertas (junio en cero, categorías de tres niveles) — sección 6. No bloquean nada técnico, pero sí afectan lo que dirán los próximos informes.</w:t>
      </w:r>
    </w:p>
    <w:p>
      <w:pPr>
        <w:pStyle w:val="Heading1"/>
        <w:pBdr>
          <w:bottom w:val="single" w:color="1F3864" w:sz="6" w:space="4"/>
        </w:pBdr>
        <w:spacing w:after="160" w:before="360"/>
      </w:pPr>
      <w:r>
        <w:rPr>
          <w:b/>
          <w:bCs/>
          <w:color w:val="1F3864"/>
          <w:sz w:val="30"/>
          <w:szCs w:val="30"/>
        </w:rPr>
        <w:t xml:space="preserve">2. Lo que ya funciona</w:t>
      </w:r>
    </w:p>
    <w:p>
      <w:pPr>
        <w:spacing w:after="160" w:line="300"/>
      </w:pPr>
      <w:r>
        <w:rPr>
          <w:sz w:val="21"/>
          <w:szCs w:val="21"/>
        </w:rPr>
        <w:t xml:space="preserve">Todo esto está construido, probado y no requiere ninguna decisión pendiente para seguir funcionando como está:</w:t>
      </w:r>
    </w:p>
    <w:p>
      <w:pPr>
        <w:pStyle w:val="ListParagraph"/>
        <w:numPr>
          <w:ilvl w:val="0"/>
          <w:numId w:val="2"/>
        </w:numPr>
        <w:spacing w:after="100" w:line="290"/>
      </w:pPr>
      <w:r>
        <w:rPr>
          <w:b/>
          <w:bCs/>
          <w:sz w:val="21"/>
          <w:szCs w:val="21"/>
        </w:rPr>
        <w:t xml:space="preserve">Las dos APIs, documentadas y en vivo: </w:t>
      </w:r>
      <w:r>
        <w:rPr>
          <w:sz w:val="21"/>
          <w:szCs w:val="21"/>
        </w:rPr>
        <w:t xml:space="preserve">GLPI vía su API REST (ya lo tenía SETI, sin permisos nuevos) y AlertOps vía su API REST v2, documentada en un Swagger público. Ninguna necesitó un robot que simule clics.</w:t>
      </w:r>
    </w:p>
    <w:p>
      <w:pPr>
        <w:pStyle w:val="ListParagraph"/>
        <w:numPr>
          <w:ilvl w:val="0"/>
          <w:numId w:val="2"/>
        </w:numPr>
        <w:spacing w:after="100" w:line="290"/>
      </w:pPr>
      <w:r>
        <w:rPr>
          <w:b/>
          <w:bCs/>
          <w:sz w:val="21"/>
          <w:szCs w:val="21"/>
        </w:rPr>
        <w:t xml:space="preserve">GLPI ya no trae el histórico completo: </w:t>
      </w:r>
      <w:r>
        <w:rPr>
          <w:sz w:val="21"/>
          <w:szCs w:val="21"/>
        </w:rPr>
        <w:t xml:space="preserve">antes pedía todos los casos de la entidad (1103 al momento de escribir esto) y confiaba en que el navegador filtrara el mes. Ahora el filtro de fecha va en la propia consulta a GLPI (searchOption 15, con criterios morethan/lessthan) — el CSV que sale ya viene acotado al mes, más liviano y sin arrastrar meses que no tocan.</w:t>
      </w:r>
    </w:p>
    <w:p>
      <w:pPr>
        <w:pStyle w:val="ListParagraph"/>
        <w:numPr>
          <w:ilvl w:val="0"/>
          <w:numId w:val="2"/>
        </w:numPr>
        <w:spacing w:after="100" w:line="290"/>
      </w:pPr>
      <w:r>
        <w:rPr>
          <w:b/>
          <w:bCs/>
          <w:sz w:val="21"/>
          <w:szCs w:val="21"/>
        </w:rPr>
        <w:t xml:space="preserve">AlertOps filtra por cliente antes de escribir el archivo: </w:t>
      </w:r>
      <w:r>
        <w:rPr>
          <w:sz w:val="21"/>
          <w:szCs w:val="21"/>
        </w:rPr>
        <w:t xml:space="preserve">la cuenta es de SETI completo (no hay campo de entidad en su API), así que el extractor reconoce «Cliente: accion_fiduciaria» dentro del texto de cada alerta — la misma extracción que ya hacía el informe a mano — y descarta el resto antes de generar el CSV.</w:t>
      </w:r>
    </w:p>
    <w:p>
      <w:pPr>
        <w:pStyle w:val="ListParagraph"/>
        <w:numPr>
          <w:ilvl w:val="0"/>
          <w:numId w:val="2"/>
        </w:numPr>
        <w:spacing w:after="100" w:line="290"/>
      </w:pPr>
      <w:r>
        <w:rPr>
          <w:b/>
          <w:bCs/>
          <w:sz w:val="21"/>
          <w:szCs w:val="21"/>
        </w:rPr>
        <w:t xml:space="preserve">Un solo comando para todo: </w:t>
      </w:r>
      <w:r>
        <w:rPr>
          <w:rFonts w:ascii="Courier New" w:cs="Courier New" w:eastAsia="Courier New" w:hAnsi="Courier New"/>
          <w:sz w:val="20"/>
          <w:szCs w:val="20"/>
        </w:rPr>
        <w:t xml:space="preserve">actualizar_informe.py</w:t>
      </w:r>
      <w:r>
        <w:rPr>
          <w:sz w:val="21"/>
          <w:szCs w:val="21"/>
        </w:rPr>
        <w:t xml:space="preserve"> corre las dos extracciones, guarda cada insumo original para auditoría, arma el archivo que lee el informe, y lo copia junto al HTML. Antes ese último paso era manual.</w:t>
      </w:r>
    </w:p>
    <w:p>
      <w:pPr>
        <w:pStyle w:val="ListParagraph"/>
        <w:numPr>
          <w:ilvl w:val="0"/>
          <w:numId w:val="2"/>
        </w:numPr>
        <w:spacing w:after="100" w:line="290"/>
      </w:pPr>
      <w:r>
        <w:rPr>
          <w:b/>
          <w:bCs/>
          <w:sz w:val="21"/>
          <w:szCs w:val="21"/>
        </w:rPr>
        <w:t xml:space="preserve">El periodo se calcula solo: </w:t>
      </w:r>
      <w:r>
        <w:rPr>
          <w:rFonts w:ascii="Courier New" w:cs="Courier New" w:eastAsia="Courier New" w:hAnsi="Courier New"/>
          <w:sz w:val="20"/>
          <w:szCs w:val="20"/>
        </w:rPr>
        <w:t xml:space="preserve">mes_cerrado()</w:t>
      </w:r>
      <w:r>
        <w:rPr>
          <w:sz w:val="21"/>
          <w:szCs w:val="21"/>
        </w:rPr>
        <w:t xml:space="preserve"> en </w:t>
      </w:r>
      <w:r>
        <w:rPr>
          <w:rFonts w:ascii="Courier New" w:cs="Courier New" w:eastAsia="Courier New" w:hAnsi="Courier New"/>
          <w:sz w:val="20"/>
          <w:szCs w:val="20"/>
        </w:rPr>
        <w:t xml:space="preserve">insumos_af.py</w:t>
      </w:r>
      <w:r>
        <w:rPr>
          <w:sz w:val="21"/>
          <w:szCs w:val="21"/>
        </w:rPr>
        <w:t xml:space="preserve"> — si hoy es agosto, reporta julio. El mes en curso nunca se reporta porque todavía no tiene sus datos completos. Nunca hay que escribir </w:t>
      </w:r>
      <w:r>
        <w:rPr>
          <w:rFonts w:ascii="Courier New" w:cs="Courier New" w:eastAsia="Courier New" w:hAnsi="Courier New"/>
          <w:sz w:val="20"/>
          <w:szCs w:val="20"/>
        </w:rPr>
        <w:t xml:space="preserve">--periodo</w:t>
      </w:r>
      <w:r>
        <w:rPr>
          <w:sz w:val="21"/>
          <w:szCs w:val="21"/>
        </w:rPr>
        <w:t xml:space="preserve"> para el uso normal.</w:t>
      </w:r>
    </w:p>
    <w:p>
      <w:pPr>
        <w:pStyle w:val="ListParagraph"/>
        <w:numPr>
          <w:ilvl w:val="0"/>
          <w:numId w:val="2"/>
        </w:numPr>
        <w:spacing w:after="100" w:line="290"/>
      </w:pPr>
      <w:r>
        <w:rPr>
          <w:b/>
          <w:bCs/>
          <w:sz w:val="21"/>
          <w:szCs w:val="21"/>
        </w:rPr>
        <w:t xml:space="preserve">Ninguna fuente bloquea a la otra: </w:t>
      </w:r>
      <w:r>
        <w:rPr>
          <w:sz w:val="21"/>
          <w:szCs w:val="21"/>
        </w:rPr>
        <w:t xml:space="preserve">si GLPI falla pero AlertOps responde (o al revés), la que funcionó se carga igual — tanto en el script como en el HTML. Y si un mes cierra en cero para cualquiera de las dos (ya le pasó a GLPI en junio), el informe lo trata como una ausencia confirmada, no como un error.</w:t>
      </w:r>
    </w:p>
    <w:p>
      <w:pPr>
        <w:pStyle w:val="ListParagraph"/>
        <w:numPr>
          <w:ilvl w:val="0"/>
          <w:numId w:val="2"/>
        </w:numPr>
        <w:spacing w:after="100" w:line="290"/>
      </w:pPr>
      <w:r>
        <w:rPr>
          <w:b/>
          <w:bCs/>
          <w:sz w:val="21"/>
          <w:szCs w:val="21"/>
        </w:rPr>
        <w:t xml:space="preserve">Abrir el resultado, si se quiere: </w:t>
      </w:r>
      <w:r>
        <w:rPr>
          <w:rFonts w:ascii="Courier New" w:cs="Courier New" w:eastAsia="Courier New" w:hAnsi="Courier New"/>
          <w:sz w:val="20"/>
          <w:szCs w:val="20"/>
        </w:rPr>
        <w:t xml:space="preserve">--abrir</w:t>
      </w:r>
      <w:r>
        <w:rPr>
          <w:sz w:val="21"/>
          <w:szCs w:val="21"/>
        </w:rPr>
        <w:t xml:space="preserve"> hace que </w:t>
      </w:r>
      <w:r>
        <w:rPr>
          <w:rFonts w:ascii="Courier New" w:cs="Courier New" w:eastAsia="Courier New" w:hAnsi="Courier New"/>
          <w:sz w:val="20"/>
          <w:szCs w:val="20"/>
        </w:rPr>
        <w:t xml:space="preserve">actualizar_informe.py</w:t>
      </w:r>
      <w:r>
        <w:rPr>
          <w:sz w:val="21"/>
          <w:szCs w:val="21"/>
        </w:rPr>
        <w:t xml:space="preserve"> abra el HTML al terminar. Es opcional y no debe usarse en la tarea programada — ahí no hay quien vea el navegador.</w:t>
      </w:r>
    </w:p>
    <w:p>
      <w:pPr>
        <w:pStyle w:val="ListParagraph"/>
        <w:numPr>
          <w:ilvl w:val="0"/>
          <w:numId w:val="2"/>
        </w:numPr>
        <w:spacing w:after="100" w:line="290"/>
      </w:pPr>
      <w:r>
        <w:rPr>
          <w:b/>
          <w:bCs/>
          <w:sz w:val="21"/>
          <w:szCs w:val="21"/>
        </w:rPr>
        <w:t xml:space="preserve">Validación simétrica en el HTML: </w:t>
      </w:r>
      <w:r>
        <w:rPr>
          <w:sz w:val="21"/>
          <w:szCs w:val="21"/>
        </w:rPr>
        <w:t xml:space="preserve">se encontró y corrigió una inconsistencia real durante las pruebas: AlertsList trataba «cero filas» como error, mientras GLPI ya lo trataba como ausencia confirmada. Con el extractor automático, un mes real sin alertas es tan posible como un mes real sin casos — ahora las dos fuentes se comportan igual.</w:t>
      </w:r>
    </w:p>
    <w:p>
      <w:pPr>
        <w:pStyle w:val="ListParagraph"/>
        <w:numPr>
          <w:ilvl w:val="0"/>
          <w:numId w:val="2"/>
        </w:numPr>
        <w:spacing w:after="100" w:line="290"/>
      </w:pPr>
      <w:r>
        <w:rPr>
          <w:b/>
          <w:bCs/>
          <w:sz w:val="21"/>
          <w:szCs w:val="21"/>
        </w:rPr>
        <w:t xml:space="preserve">Caché del documento: </w:t>
      </w:r>
      <w:r>
        <w:rPr>
          <w:sz w:val="21"/>
          <w:szCs w:val="21"/>
        </w:rPr>
        <w:t xml:space="preserve">se detectó que el navegador podía servir una versión vieja del HTML completo (no solo del insumo) incluso recargando la misma pestaña. Se añadieron cabeceras </w:t>
      </w:r>
      <w:r>
        <w:rPr>
          <w:rFonts w:ascii="Courier New" w:cs="Courier New" w:eastAsia="Courier New" w:hAnsi="Courier New"/>
          <w:sz w:val="20"/>
          <w:szCs w:val="20"/>
        </w:rPr>
        <w:t xml:space="preserve">Cache-Control: no-cache, no-store, must-revalidate</w:t>
      </w:r>
      <w:r>
        <w:rPr>
          <w:sz w:val="21"/>
          <w:szCs w:val="21"/>
        </w:rPr>
        <w:t xml:space="preserve"> al documento; se confirmó en dos rondas que el problema deja de reproducirse.</w:t>
      </w:r>
    </w:p>
    <w:p>
      <w:pPr>
        <w:pStyle w:val="Heading1"/>
        <w:pBdr>
          <w:bottom w:val="single" w:color="1F3864" w:sz="6" w:space="4"/>
        </w:pBdr>
        <w:spacing w:after="160" w:before="360"/>
      </w:pPr>
      <w:r>
        <w:rPr>
          <w:b/>
          <w:bCs/>
          <w:color w:val="1F3864"/>
          <w:sz w:val="30"/>
          <w:szCs w:val="30"/>
        </w:rPr>
        <w:t xml:space="preserve">3. Verificación en vivo, contra las cuentas reales de SETI</w:t>
      </w:r>
    </w:p>
    <w:p>
      <w:pPr>
        <w:spacing w:after="160" w:line="300"/>
      </w:pPr>
      <w:r>
        <w:rPr>
          <w:sz w:val="21"/>
          <w:szCs w:val="21"/>
        </w:rPr>
        <w:t xml:space="preserve">Todo lo de esta sección se corrió contra los sistemas reales, no contra datos sintéticos ni simulados.</w:t>
      </w:r>
    </w:p>
    <w:p>
      <w:pPr>
        <w:pStyle w:val="Heading2"/>
        <w:spacing w:after="120" w:before="260"/>
      </w:pPr>
      <w:r>
        <w:rPr>
          <w:b/>
          <w:bCs/>
          <w:color w:val="2E5A8C"/>
          <w:sz w:val="24"/>
          <w:szCs w:val="24"/>
        </w:rPr>
        <w:t xml:space="preserve">GLPI</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546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Mes</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Casos</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Verificación</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Mayo 2026</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w:t>
            </w:r>
          </w:p>
        </w:tc>
        <w:tc>
          <w:tcPr>
            <w:tcW w:type="dxa" w:w="2000"/>
            <w:tcMar>
              <w:top w:type="dxa" w:w="100"/>
              <w:left w:type="dxa" w:w="120"/>
              <w:bottom w:type="dxa" w:w="100"/>
              <w:right w:type="dxa" w:w="120"/>
            </w:tcMar>
          </w:tcPr>
          <w:p>
            <w:pPr>
              <w:jc w:val="left"/>
            </w:pPr>
            <w:r>
              <w:rPr>
                <w:b w:val="false"/>
                <w:bCs w:val="false"/>
                <w:color w:val="000000"/>
                <w:sz w:val="20"/>
                <w:szCs w:val="20"/>
              </w:rPr>
              <w:t xml:space="preserve">Los 8 ID coinciden exactamente con Insumos/glpi (20).xlsx (el manual trae espacio como separador de miles: «300 861» = «300861»)</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Junio 2026</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0</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Confirmado en vivo — coincide con el hallazgo ya documentado el 24/07</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Julio 2026 (parcial, al 28/07)</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5</w:t>
            </w:r>
          </w:p>
        </w:tc>
        <w:tc>
          <w:tcPr>
            <w:tcW w:type="dxa" w:w="2000"/>
            <w:tcMar>
              <w:top w:type="dxa" w:w="100"/>
              <w:left w:type="dxa" w:w="120"/>
              <w:bottom w:type="dxa" w:w="100"/>
              <w:right w:type="dxa" w:w="120"/>
            </w:tcMar>
          </w:tcPr>
          <w:p>
            <w:pPr>
              <w:jc w:val="left"/>
            </w:pPr>
            <w:r>
              <w:rPr>
                <w:b w:val="false"/>
                <w:bCs w:val="false"/>
                <w:color w:val="000000"/>
                <w:sz w:val="20"/>
                <w:szCs w:val="20"/>
              </w:rPr>
              <w:t xml:space="preserve">4 requerimientos, 1 incidente, ninguno con SLA excedido — el mes aún no cierra</w:t>
            </w:r>
          </w:p>
        </w:tc>
      </w:tr>
    </w:tbl>
    <w:p>
      <w:pPr>
        <w:spacing w:after="160" w:line="300"/>
      </w:pPr>
      <w:r>
        <w:rPr>
          <w:sz w:val="21"/>
          <w:szCs w:val="21"/>
        </w:rPr>
        <w:t xml:space="preserve"/>
      </w:r>
    </w:p>
    <w:p>
      <w:pPr>
        <w:pStyle w:val="Heading2"/>
        <w:spacing w:after="120" w:before="260"/>
      </w:pPr>
      <w:r>
        <w:rPr>
          <w:b/>
          <w:bCs/>
          <w:color w:val="2E5A8C"/>
          <w:sz w:val="24"/>
          <w:szCs w:val="24"/>
        </w:rPr>
        <w:t xml:space="preserve">AlertOps</w:t>
      </w:r>
    </w:p>
    <w:p>
      <w:pPr>
        <w:spacing w:after="160" w:line="300"/>
      </w:pPr>
      <w:r>
        <w:rPr>
          <w:sz w:val="21"/>
          <w:szCs w:val="21"/>
        </w:rPr>
        <w:t xml:space="preserve">Junio 2026: la API devolvió 121 alertas de toda la cuenta SETI; el filtro de cliente dejó 53 de Acción Fiduciaria, 6 de ellas «No reconocimiento» (prioridad alta).</w:t>
      </w:r>
    </w:p>
    <w:p>
      <w:pPr>
        <w:spacing w:after="160" w:line="300"/>
      </w:pPr>
      <w:r>
        <w:rPr>
          <w:sz w:val="21"/>
          <w:szCs w:val="21"/>
        </w:rPr>
        <w:t xml:space="preserve">Comparado ID por ID contra el export manual (Insumos/AlertsList.xlsx, 61 filas): 49 coinciden en ambos. De las 16 que difieren, 12 quedan fuera del mes calendario en el manual (correctamente excluidas) y 4 son alertas reales del 1 y 2 de junio que el export manual nunca tuvo — empezaba el día 9. Las 6 de prioridad alta coinciden exactamente en las dos fuentes.</w:t>
      </w:r>
    </w:p>
    <w:p>
      <w:pPr>
        <w:spacing w:after="160" w:before="60"/>
      </w:pPr>
      <w:r>
        <w:rPr>
          <w:b/>
          <w:bCs/>
          <w:sz w:val="21"/>
          <w:szCs w:val="21"/>
        </w:rPr>
        <w:t xml:space="preserve">Conclusión: </w:t>
      </w:r>
      <w:r>
        <w:rPr>
          <w:i/>
          <w:iCs/>
          <w:color w:val="595959"/>
          <w:sz w:val="21"/>
          <w:szCs w:val="21"/>
        </w:rPr>
        <w:t xml:space="preserve">la extracción automática es más completa que la manual, no solo igual de buena.</w:t>
      </w:r>
    </w:p>
    <w:p>
      <w:pPr>
        <w:pStyle w:val="Heading2"/>
        <w:spacing w:after="120" w:before="260"/>
      </w:pPr>
      <w:r>
        <w:rPr>
          <w:b/>
          <w:bCs/>
          <w:color w:val="2E5A8C"/>
          <w:sz w:val="24"/>
          <w:szCs w:val="24"/>
        </w:rPr>
        <w:t xml:space="preserve">El informe HTML, con datos reales</w:t>
      </w:r>
    </w:p>
    <w:p>
      <w:pPr>
        <w:spacing w:after="160" w:line="300"/>
      </w:pPr>
      <w:r>
        <w:rPr>
          <w:sz w:val="21"/>
          <w:szCs w:val="21"/>
        </w:rPr>
        <w:t xml:space="preserve">Con actualizar_informe.py y el insumos-af.js resultante copiado junto al HTML, se abrió el archivo real del proyecto (no una copia) en file:// — la forma en que se abre en producción. Las dos fuentes cargaron solas, el checklist de «informe listo» marcó ambos criterios en verde, y no hubo errores de consola.</w:t>
      </w:r>
    </w:p>
    <w:p>
      <w:pPr>
        <w:pStyle w:val="Heading1"/>
        <w:pBdr>
          <w:bottom w:val="single" w:color="1F3864" w:sz="6" w:space="4"/>
        </w:pBdr>
        <w:spacing w:after="160" w:before="360"/>
      </w:pPr>
      <w:r>
        <w:rPr>
          <w:b/>
          <w:bCs/>
          <w:color w:val="1F3864"/>
          <w:sz w:val="30"/>
          <w:szCs w:val="30"/>
        </w:rPr>
        <w:t xml:space="preserve">4. Cómo configurar esto en el servidor</w:t>
      </w:r>
    </w:p>
    <w:p>
      <w:pPr>
        <w:spacing w:after="160" w:line="300"/>
      </w:pPr>
      <w:r>
        <w:rPr>
          <w:sz w:val="21"/>
          <w:szCs w:val="21"/>
        </w:rPr>
        <w:t xml:space="preserve">Esta sección es la guía operativa para dejar la tarea corriendo sola. No depende de que ya esté decidido cuál de los tres servidores candidatos se usa (§5) — los pasos son los mismos en cualquiera de ellos; solo cambia dónde se ejecutan.</w:t>
      </w:r>
    </w:p>
    <w:p>
      <w:pPr>
        <w:pStyle w:val="Heading2"/>
        <w:spacing w:after="120" w:before="260"/>
      </w:pPr>
      <w:r>
        <w:rPr>
          <w:b/>
          <w:bCs/>
          <w:color w:val="2E5A8C"/>
          <w:sz w:val="24"/>
          <w:szCs w:val="24"/>
        </w:rPr>
        <w:t xml:space="preserve">4.1 — Requisitos</w:t>
      </w:r>
    </w:p>
    <w:p>
      <w:pPr>
        <w:pStyle w:val="ListParagraph"/>
        <w:numPr>
          <w:ilvl w:val="0"/>
          <w:numId w:val="2"/>
        </w:numPr>
        <w:spacing w:after="100" w:line="290"/>
      </w:pPr>
      <w:r>
        <w:rPr>
          <w:sz w:val="21"/>
          <w:szCs w:val="21"/>
        </w:rPr>
        <w:t xml:space="preserve">Python 3, sin ninguna librería externa que instalar — los cinco scripts usan solo la biblioteca estándar.</w:t>
      </w:r>
    </w:p>
    <w:p>
      <w:pPr>
        <w:pStyle w:val="ListParagraph"/>
        <w:numPr>
          <w:ilvl w:val="0"/>
          <w:numId w:val="2"/>
        </w:numPr>
        <w:spacing w:after="100" w:line="290"/>
      </w:pPr>
      <w:r>
        <w:rPr>
          <w:sz w:val="21"/>
          <w:szCs w:val="21"/>
        </w:rPr>
        <w:t xml:space="preserve">Copiar al servidor: la carpeta </w:t>
      </w:r>
      <w:r>
        <w:rPr>
          <w:rFonts w:ascii="Courier New" w:cs="Courier New" w:eastAsia="Courier New" w:hAnsi="Courier New"/>
          <w:sz w:val="20"/>
          <w:szCs w:val="20"/>
        </w:rPr>
        <w:t xml:space="preserve">automatizacion/</w:t>
      </w:r>
      <w:r>
        <w:rPr>
          <w:sz w:val="21"/>
          <w:szCs w:val="21"/>
        </w:rPr>
        <w:t xml:space="preserve"> completa y </w:t>
      </w:r>
      <w:r>
        <w:rPr>
          <w:rFonts w:ascii="Courier New" w:cs="Courier New" w:eastAsia="Courier New" w:hAnsi="Courier New"/>
          <w:sz w:val="20"/>
          <w:szCs w:val="20"/>
        </w:rPr>
        <w:t xml:space="preserve">informe-accion-fiduciaria 1.html</w:t>
      </w:r>
      <w:r>
        <w:rPr>
          <w:sz w:val="21"/>
          <w:szCs w:val="21"/>
        </w:rPr>
        <w:t xml:space="preserve">, manteniendo la misma posición relativa entre ambos (el HTML un nivel arriba de </w:t>
      </w:r>
      <w:r>
        <w:rPr>
          <w:rFonts w:ascii="Courier New" w:cs="Courier New" w:eastAsia="Courier New" w:hAnsi="Courier New"/>
          <w:sz w:val="20"/>
          <w:szCs w:val="20"/>
        </w:rPr>
        <w:t xml:space="preserve">automatizacion/</w:t>
      </w:r>
      <w:r>
        <w:rPr>
          <w:sz w:val="21"/>
          <w:szCs w:val="21"/>
        </w:rPr>
        <w:t xml:space="preserve">).</w:t>
      </w:r>
    </w:p>
    <w:p>
      <w:pPr>
        <w:pStyle w:val="ListParagraph"/>
        <w:numPr>
          <w:ilvl w:val="0"/>
          <w:numId w:val="2"/>
        </w:numPr>
        <w:spacing w:after="100" w:line="290"/>
      </w:pPr>
      <w:r>
        <w:rPr>
          <w:sz w:val="21"/>
          <w:szCs w:val="21"/>
        </w:rPr>
        <w:t xml:space="preserve">Acceso saliente a internet hacia </w:t>
      </w:r>
      <w:r>
        <w:rPr>
          <w:rFonts w:ascii="Courier New" w:cs="Courier New" w:eastAsia="Courier New" w:hAnsi="Courier New"/>
          <w:sz w:val="20"/>
          <w:szCs w:val="20"/>
        </w:rPr>
        <w:t xml:space="preserve">www.seti.co</w:t>
      </w:r>
      <w:r>
        <w:rPr>
          <w:sz w:val="21"/>
          <w:szCs w:val="21"/>
        </w:rPr>
        <w:t xml:space="preserve"> (GLPI) y </w:t>
      </w:r>
      <w:r>
        <w:rPr>
          <w:rFonts w:ascii="Courier New" w:cs="Courier New" w:eastAsia="Courier New" w:hAnsi="Courier New"/>
          <w:sz w:val="20"/>
          <w:szCs w:val="20"/>
        </w:rPr>
        <w:t xml:space="preserve">api.alertops.com</w:t>
      </w:r>
      <w:r>
        <w:rPr>
          <w:sz w:val="21"/>
          <w:szCs w:val="21"/>
        </w:rPr>
        <w:t xml:space="preserve"> (AlertOps) — las dos APIs están publicadas, ningún servidor candidato tiene problema de alcance de red.</w:t>
      </w:r>
    </w:p>
    <w:p>
      <w:pPr>
        <w:pStyle w:val="Heading2"/>
        <w:spacing w:after="120" w:before="260"/>
      </w:pPr>
      <w:r>
        <w:rPr>
          <w:b/>
          <w:bCs/>
          <w:color w:val="2E5A8C"/>
          <w:sz w:val="24"/>
          <w:szCs w:val="24"/>
        </w:rPr>
        <w:t xml:space="preserve">4.2 — Credenciales</w:t>
      </w:r>
    </w:p>
    <w:p>
      <w:pPr>
        <w:spacing w:after="160" w:line="300"/>
      </w:pPr>
      <w:r>
        <w:rPr>
          <w:sz w:val="21"/>
          <w:szCs w:val="21"/>
        </w:rPr>
        <w:t xml:space="preserve">Crear (o copiar) automatizacion/.env en el servidor, con el mismo formato que automatizacion/.env.ejemplo:</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GLPI_URL=https://www.seti.co/glpi</w:t>
      </w:r>
      <w:r>
        <w:br/>
      </w:r>
      <w:r>
        <w:rPr>
          <w:rFonts w:ascii="Courier New" w:cs="Courier New" w:eastAsia="Courier New" w:hAnsi="Courier New"/>
          <w:sz w:val="20"/>
          <w:szCs w:val="20"/>
        </w:rPr>
        <w:t xml:space="preserve">GLPI_USER=&lt;cuenta de servicio&gt;</w:t>
      </w:r>
      <w:r>
        <w:br/>
      </w:r>
      <w:r>
        <w:rPr>
          <w:rFonts w:ascii="Courier New" w:cs="Courier New" w:eastAsia="Courier New" w:hAnsi="Courier New"/>
          <w:sz w:val="20"/>
          <w:szCs w:val="20"/>
        </w:rPr>
        <w:t xml:space="preserve">GLPI_PASSWORD=&lt;...&gt;</w:t>
      </w:r>
      <w:r>
        <w:br/>
      </w:r>
      <w:r>
        <w:rPr>
          <w:rFonts w:ascii="Courier New" w:cs="Courier New" w:eastAsia="Courier New" w:hAnsi="Courier New"/>
          <w:sz w:val="20"/>
          <w:szCs w:val="20"/>
        </w:rPr>
        <w:t xml:space="preserve">GLPI_ENTIDAD="ACCION FIDUCIARIA"</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AOPS_URL=https://api.alertops.com</w:t>
      </w:r>
      <w:r>
        <w:br/>
      </w:r>
      <w:r>
        <w:rPr>
          <w:rFonts w:ascii="Courier New" w:cs="Courier New" w:eastAsia="Courier New" w:hAnsi="Courier New"/>
          <w:sz w:val="20"/>
          <w:szCs w:val="20"/>
        </w:rPr>
        <w:t xml:space="preserve">AOPS_API_KEY=&lt;api-key de la cuenta de servicio&gt;</w:t>
      </w:r>
      <w:r>
        <w:br/>
      </w:r>
      <w:r>
        <w:rPr>
          <w:rFonts w:ascii="Courier New" w:cs="Courier New" w:eastAsia="Courier New" w:hAnsi="Courier New"/>
          <w:sz w:val="20"/>
          <w:szCs w:val="20"/>
        </w:rPr>
        <w:t xml:space="preserve">AOPS_CLIENTE="ACCION FIDUCIARIA"</w:t>
      </w:r>
    </w:p>
    <w:p>
      <w:pPr>
        <w:spacing w:after="60" w:before="60"/>
      </w:pPr>
      <w:r>
        <w:rPr>
          <w:b/>
          <w:bCs/>
          <w:sz w:val="21"/>
          <w:szCs w:val="21"/>
        </w:rPr>
        <w:t xml:space="preserve">Importante: </w:t>
      </w:r>
      <w:r>
        <w:rPr>
          <w:i/>
          <w:iCs/>
          <w:color w:val="595959"/>
          <w:sz w:val="21"/>
          <w:szCs w:val="21"/>
        </w:rPr>
        <w:t xml:space="preserve">.env nunca debe ir al repositorio de código ni copiarse por un canal que quede archivado sin cifrar (chat, correo). En el servidor definitivo, moverlo a un gestor de secretos (Key Vault o el que tenga Carlos Barrera).</w:t>
      </w:r>
    </w:p>
    <w:p>
      <w:pPr>
        <w:pStyle w:val="Heading2"/>
        <w:spacing w:after="120" w:before="260"/>
      </w:pPr>
      <w:r>
        <w:rPr>
          <w:b/>
          <w:bCs/>
          <w:color w:val="2E5A8C"/>
          <w:sz w:val="24"/>
          <w:szCs w:val="24"/>
        </w:rPr>
        <w:t xml:space="preserve">4.3 — El script de la tarea (ya escrito y probado)</w:t>
      </w:r>
    </w:p>
    <w:p>
      <w:pPr>
        <w:spacing w:after="160" w:line="300"/>
      </w:pPr>
      <w:r>
        <w:rPr>
          <w:sz w:val="21"/>
          <w:szCs w:val="21"/>
        </w:rPr>
        <w:t xml:space="preserve">automatizacion/tarea_mensual.sh envuelve el comando único, deja un log con fecha, y marca claramente éxito o fallo — con un lugar ya preparado para conectar una alerta de Teams en cuanto exista el webhook:</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#!/bin/bash</w:t>
      </w:r>
      <w:r>
        <w:br/>
      </w:r>
      <w:r>
        <w:rPr>
          <w:rFonts w:ascii="Courier New" w:cs="Courier New" w:eastAsia="Courier New" w:hAnsi="Courier New"/>
          <w:sz w:val="20"/>
          <w:szCs w:val="20"/>
        </w:rPr>
        <w:t xml:space="preserve"># Tarea programada mensual — corre GLPI + AlertOps y deja el informe listo.</w:t>
      </w:r>
      <w:r>
        <w:br/>
      </w:r>
      <w:r>
        <w:rPr>
          <w:rFonts w:ascii="Courier New" w:cs="Courier New" w:eastAsia="Courier New" w:hAnsi="Courier New"/>
          <w:sz w:val="20"/>
          <w:szCs w:val="20"/>
        </w:rPr>
        <w:t xml:space="preserve">#</w:t>
      </w:r>
      <w:r>
        <w:br/>
      </w:r>
      <w:r>
        <w:rPr>
          <w:rFonts w:ascii="Courier New" w:cs="Courier New" w:eastAsia="Courier New" w:hAnsi="Courier New"/>
          <w:sz w:val="20"/>
          <w:szCs w:val="20"/>
        </w:rPr>
        <w:t xml:space="preserve"># Uso en crontab, el primero de cada mes a la 1:00 a. m.:</w:t>
      </w:r>
      <w:r>
        <w:br/>
      </w:r>
      <w:r>
        <w:rPr>
          <w:rFonts w:ascii="Courier New" w:cs="Courier New" w:eastAsia="Courier New" w:hAnsi="Courier New"/>
          <w:sz w:val="20"/>
          <w:szCs w:val="20"/>
        </w:rPr>
        <w:t xml:space="preserve">#   0 1 1 * * /ruta/al/proyecto/automatizacion/tarea_mensual.sh</w:t>
      </w:r>
      <w:r>
        <w:br/>
      </w:r>
      <w:r>
        <w:rPr>
          <w:rFonts w:ascii="Courier New" w:cs="Courier New" w:eastAsia="Courier New" w:hAnsi="Courier New"/>
          <w:sz w:val="20"/>
          <w:szCs w:val="20"/>
        </w:rPr>
        <w:t xml:space="preserve">#</w:t>
      </w:r>
      <w:r>
        <w:br/>
      </w:r>
      <w:r>
        <w:rPr>
          <w:rFonts w:ascii="Courier New" w:cs="Courier New" w:eastAsia="Courier New" w:hAnsi="Courier New"/>
          <w:sz w:val="20"/>
          <w:szCs w:val="20"/>
        </w:rPr>
        <w:t xml:space="preserve"># No lleva --abrir: en un servidor sin pantalla no hay quien vea el navegador.</w:t>
      </w:r>
      <w:r>
        <w:br/>
      </w:r>
      <w:r>
        <w:rPr>
          <w:rFonts w:ascii="Courier New" w:cs="Courier New" w:eastAsia="Courier New" w:hAnsi="Courier New"/>
          <w:sz w:val="20"/>
          <w:szCs w:val="20"/>
        </w:rPr>
        <w:t xml:space="preserve"># No necesita --periodo: actualizar_informe.py calcula solo el mes que cerró.</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set -uo pipefail</w:t>
      </w:r>
      <w:r>
        <w:br/>
      </w:r>
      <w:r>
        <w:rPr>
          <w:rFonts w:ascii="Courier New" w:cs="Courier New" w:eastAsia="Courier New" w:hAnsi="Courier New"/>
          <w:sz w:val="20"/>
          <w:szCs w:val="20"/>
        </w:rPr>
        <w:t xml:space="preserve">cd "$(dirname "$0")/.." || exit 1</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mkdir -p automatizacion/salida</w:t>
      </w:r>
      <w:r>
        <w:br/>
      </w:r>
      <w:r>
        <w:rPr>
          <w:rFonts w:ascii="Courier New" w:cs="Courier New" w:eastAsia="Courier New" w:hAnsi="Courier New"/>
          <w:sz w:val="20"/>
          <w:szCs w:val="20"/>
        </w:rPr>
        <w:t xml:space="preserve">LOG="automatizacion/salida/tarea_mensual.log"</w:t>
      </w:r>
      <w:r>
        <w:br/>
      </w:r>
      <w:r>
        <w:rPr>
          <w:rFonts w:ascii="Courier New" w:cs="Courier New" w:eastAsia="Courier New" w:hAnsi="Courier New"/>
          <w:sz w:val="20"/>
          <w:szCs w:val="20"/>
        </w:rPr>
        <w:t xml:space="preserve">FECHA=$(date '+%Y-%m-%d %H:%M:%S')</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echo "=== $FECHA ===" &gt;&gt; "$LOG"</w:t>
      </w:r>
      <w:r>
        <w:br/>
      </w:r>
      <w:r>
        <w:rPr>
          <w:rFonts w:ascii="Courier New" w:cs="Courier New" w:eastAsia="Courier New" w:hAnsi="Courier New"/>
          <w:sz w:val="20"/>
          <w:szCs w:val="20"/>
        </w:rPr>
        <w:t xml:space="preserve">python3 automatizacion/actualizar_informe.py &gt;&gt; "$LOG" 2&gt;&amp;1</w:t>
      </w:r>
      <w:r>
        <w:br/>
      </w:r>
      <w:r>
        <w:rPr>
          <w:rFonts w:ascii="Courier New" w:cs="Courier New" w:eastAsia="Courier New" w:hAnsi="Courier New"/>
          <w:sz w:val="20"/>
          <w:szCs w:val="20"/>
        </w:rPr>
        <w:t xml:space="preserve">CODIGO=$?</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if [ $CODIGO -ne 0 ]; then</w:t>
      </w:r>
      <w:r>
        <w:br/>
      </w:r>
      <w:r>
        <w:rPr>
          <w:rFonts w:ascii="Courier New" w:cs="Courier New" w:eastAsia="Courier New" w:hAnsi="Courier New"/>
          <w:sz w:val="20"/>
          <w:szCs w:val="20"/>
        </w:rPr>
        <w:t xml:space="preserve">  echo "FALLÓ (código $CODIGO) — $FECHA" &gt;&gt; "$LOG"</w:t>
      </w:r>
      <w:r>
        <w:br/>
      </w:r>
      <w:r>
        <w:rPr>
          <w:rFonts w:ascii="Courier New" w:cs="Courier New" w:eastAsia="Courier New" w:hAnsi="Courier New"/>
          <w:sz w:val="20"/>
          <w:szCs w:val="20"/>
        </w:rPr>
        <w:t xml:space="preserve">  # Alerta ante fallo: descomentar cuando exista el webhook de Teams y quede</w:t>
      </w:r>
      <w:r>
        <w:br/>
      </w:r>
      <w:r>
        <w:rPr>
          <w:rFonts w:ascii="Courier New" w:cs="Courier New" w:eastAsia="Courier New" w:hAnsi="Courier New"/>
          <w:sz w:val="20"/>
          <w:szCs w:val="20"/>
        </w:rPr>
        <w:t xml:space="preserve">  # definido TEAMS_WEBHOOK_URL (en este mismo archivo o en el entorno del cron).</w:t>
      </w:r>
      <w:r>
        <w:br/>
      </w:r>
      <w:r>
        <w:rPr>
          <w:rFonts w:ascii="Courier New" w:cs="Courier New" w:eastAsia="Courier New" w:hAnsi="Courier New"/>
          <w:sz w:val="20"/>
          <w:szCs w:val="20"/>
        </w:rPr>
        <w:t xml:space="preserve">  # curl -s -X POST -H 'Content-Type: application/json' \</w:t>
      </w:r>
      <w:r>
        <w:br/>
      </w:r>
      <w:r>
        <w:rPr>
          <w:rFonts w:ascii="Courier New" w:cs="Courier New" w:eastAsia="Courier New" w:hAnsi="Courier New"/>
          <w:sz w:val="20"/>
          <w:szCs w:val="20"/>
        </w:rPr>
        <w:t xml:space="preserve">  #   -d "{\"text\":\"Automatización GLPI/AlertOps falló el ${FECHA} (código ${CODIGO}). Revisar ${LOG} en el servidor.\"}" \</w:t>
      </w:r>
      <w:r>
        <w:br/>
      </w:r>
      <w:r>
        <w:rPr>
          <w:rFonts w:ascii="Courier New" w:cs="Courier New" w:eastAsia="Courier New" w:hAnsi="Courier New"/>
          <w:sz w:val="20"/>
          <w:szCs w:val="20"/>
        </w:rPr>
        <w:t xml:space="preserve">  #   "$TEAMS_WEBHOOK_URL"</w:t>
      </w:r>
      <w:r>
        <w:br/>
      </w:r>
      <w:r>
        <w:rPr>
          <w:rFonts w:ascii="Courier New" w:cs="Courier New" w:eastAsia="Courier New" w:hAnsi="Courier New"/>
          <w:sz w:val="20"/>
          <w:szCs w:val="20"/>
        </w:rPr>
        <w:t xml:space="preserve">else</w:t>
      </w:r>
      <w:r>
        <w:br/>
      </w:r>
      <w:r>
        <w:rPr>
          <w:rFonts w:ascii="Courier New" w:cs="Courier New" w:eastAsia="Courier New" w:hAnsi="Courier New"/>
          <w:sz w:val="20"/>
          <w:szCs w:val="20"/>
        </w:rPr>
        <w:t xml:space="preserve">  echo "OK — $FECHA" &gt;&gt; "$LOG"</w:t>
      </w:r>
      <w:r>
        <w:br/>
      </w:r>
      <w:r>
        <w:rPr>
          <w:rFonts w:ascii="Courier New" w:cs="Courier New" w:eastAsia="Courier New" w:hAnsi="Courier New"/>
          <w:sz w:val="20"/>
          <w:szCs w:val="20"/>
        </w:rPr>
        <w:t xml:space="preserve">fi</w:t>
      </w:r>
      <w:r>
        <w:br/>
      </w:r>
      <w:r>
        <w:rPr>
          <w:rFonts w:ascii="Courier New" w:cs="Courier New" w:eastAsia="Courier New" w:hAnsi="Courier New"/>
          <w:sz w:val="20"/>
          <w:szCs w:val="20"/>
        </w:rPr>
        <w:t xml:space="preserve"/>
      </w:r>
      <w:r>
        <w:br/>
      </w:r>
      <w:r>
        <w:rPr>
          <w:rFonts w:ascii="Courier New" w:cs="Courier New" w:eastAsia="Courier New" w:hAnsi="Courier New"/>
          <w:sz w:val="20"/>
          <w:szCs w:val="20"/>
        </w:rPr>
        <w:t xml:space="preserve">exit $CODIGO</w:t>
      </w:r>
      <w:r>
        <w:br/>
      </w:r>
      <w:r>
        <w:rPr>
          <w:rFonts w:ascii="Courier New" w:cs="Courier New" w:eastAsia="Courier New" w:hAnsi="Courier New"/>
          <w:sz w:val="20"/>
          <w:szCs w:val="20"/>
        </w:rPr>
        <w:t xml:space="preserve"/>
      </w:r>
    </w:p>
    <w:p>
      <w:pPr>
        <w:spacing w:after="160" w:line="300"/>
      </w:pPr>
      <w:r>
        <w:rPr>
          <w:sz w:val="21"/>
          <w:szCs w:val="21"/>
        </w:rPr>
        <w:t xml:space="preserve">Se probó dos veces: una corrida completa exitosa (código de salida 0, log con «OK»), y una corrida con las credenciales retiradas a propósito (código de salida 1, log con «FALLÓ»). El script distingue los dos casos correctamente.</w:t>
      </w:r>
    </w:p>
    <w:p>
      <w:pPr>
        <w:pStyle w:val="Heading2"/>
        <w:spacing w:after="120" w:before="260"/>
      </w:pPr>
      <w:r>
        <w:rPr>
          <w:b/>
          <w:bCs/>
          <w:color w:val="2E5A8C"/>
          <w:sz w:val="24"/>
          <w:szCs w:val="24"/>
        </w:rPr>
        <w:t xml:space="preserve">4.4 — Programar la tarea</w:t>
      </w:r>
    </w:p>
    <w:p>
      <w:pPr>
        <w:spacing w:after="160" w:line="300"/>
      </w:pPr>
      <w:r>
        <w:rPr>
          <w:sz w:val="21"/>
          <w:szCs w:val="21"/>
        </w:rPr>
        <w:t xml:space="preserve">En un servidor Linux/Mac (cron):</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chmod +x automatizacion/tarea_mensual.sh</w:t>
      </w:r>
      <w:r>
        <w:br/>
      </w:r>
      <w:r>
        <w:rPr>
          <w:rFonts w:ascii="Courier New" w:cs="Courier New" w:eastAsia="Courier New" w:hAnsi="Courier New"/>
          <w:sz w:val="20"/>
          <w:szCs w:val="20"/>
        </w:rPr>
        <w:t xml:space="preserve">crontab -e</w:t>
      </w:r>
      <w:r>
        <w:br/>
      </w:r>
      <w:r>
        <w:rPr>
          <w:rFonts w:ascii="Courier New" w:cs="Courier New" w:eastAsia="Courier New" w:hAnsi="Courier New"/>
          <w:sz w:val="20"/>
          <w:szCs w:val="20"/>
        </w:rPr>
        <w:t xml:space="preserve"># agregar esta línea (el primero de cada mes, 1:00 a. m.):</w:t>
      </w:r>
      <w:r>
        <w:br/>
      </w:r>
      <w:r>
        <w:rPr>
          <w:rFonts w:ascii="Courier New" w:cs="Courier New" w:eastAsia="Courier New" w:hAnsi="Courier New"/>
          <w:sz w:val="20"/>
          <w:szCs w:val="20"/>
        </w:rPr>
        <w:t xml:space="preserve">0 1 1 * * /ruta/completa/al/proyecto/automatizacion/tarea_mensual.sh</w:t>
      </w:r>
    </w:p>
    <w:p>
      <w:pPr>
        <w:spacing w:after="160" w:line="300"/>
      </w:pPr>
      <w:r>
        <w:rPr>
          <w:sz w:val="21"/>
          <w:szCs w:val="21"/>
        </w:rPr>
        <w:t xml:space="preserve">En un servidor Windows (Programador de tareas), equivalente:</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Acción:     Iniciar un programa</w:t>
      </w:r>
      <w:r>
        <w:br/>
      </w:r>
      <w:r>
        <w:rPr>
          <w:rFonts w:ascii="Courier New" w:cs="Courier New" w:eastAsia="Courier New" w:hAnsi="Courier New"/>
          <w:sz w:val="20"/>
          <w:szCs w:val="20"/>
        </w:rPr>
        <w:t xml:space="preserve">Programa:   python.exe (o py.exe)</w:t>
      </w:r>
      <w:r>
        <w:br/>
      </w:r>
      <w:r>
        <w:rPr>
          <w:rFonts w:ascii="Courier New" w:cs="Courier New" w:eastAsia="Courier New" w:hAnsi="Courier New"/>
          <w:sz w:val="20"/>
          <w:szCs w:val="20"/>
        </w:rPr>
        <w:t xml:space="preserve">Argumentos: automatizacion\actualizar_informe.py</w:t>
      </w:r>
      <w:r>
        <w:br/>
      </w:r>
      <w:r>
        <w:rPr>
          <w:rFonts w:ascii="Courier New" w:cs="Courier New" w:eastAsia="Courier New" w:hAnsi="Courier New"/>
          <w:sz w:val="20"/>
          <w:szCs w:val="20"/>
        </w:rPr>
        <w:t xml:space="preserve">Iniciar en: C:\ruta\completa\al\proyecto</w:t>
      </w:r>
      <w:r>
        <w:br/>
      </w:r>
      <w:r>
        <w:rPr>
          <w:rFonts w:ascii="Courier New" w:cs="Courier New" w:eastAsia="Courier New" w:hAnsi="Courier New"/>
          <w:sz w:val="20"/>
          <w:szCs w:val="20"/>
        </w:rPr>
        <w:t xml:space="preserve">Desencadenador: Mensual, día 1, 1:00 a. m.</w:t>
      </w:r>
    </w:p>
    <w:p>
      <w:pPr>
        <w:spacing w:after="160" w:line="300"/>
      </w:pPr>
      <w:r>
        <w:rPr>
          <w:sz w:val="21"/>
          <w:szCs w:val="21"/>
        </w:rPr>
        <w:t xml:space="preserve">No hace falta pasar --periodo en ninguno de los dos casos: el script calcula solo el mes cerrado en el momento en que corre.</w:t>
      </w:r>
    </w:p>
    <w:p>
      <w:pPr>
        <w:pStyle w:val="Heading2"/>
        <w:spacing w:after="120" w:before="260"/>
      </w:pPr>
      <w:r>
        <w:rPr>
          <w:b/>
          <w:bCs/>
          <w:color w:val="2E5A8C"/>
          <w:sz w:val="24"/>
          <w:szCs w:val="24"/>
        </w:rPr>
        <w:t xml:space="preserve">4.5 — Verificar que corrió bien</w:t>
      </w:r>
    </w:p>
    <w:p>
      <w:pPr>
        <w:pStyle w:val="ListParagraph"/>
        <w:numPr>
          <w:ilvl w:val="0"/>
          <w:numId w:val="2"/>
        </w:numPr>
        <w:spacing w:after="100" w:line="290"/>
      </w:pPr>
      <w:r>
        <w:rPr>
          <w:sz w:val="21"/>
          <w:szCs w:val="21"/>
        </w:rPr>
        <w:t xml:space="preserve">El código de salida: 0 si al menos una fuente funcionó y (si tocaba) el HTML quedó actualizado; 1 si las dos fallaron o el HTML no se encontró.</w:t>
      </w:r>
    </w:p>
    <w:p>
      <w:pPr>
        <w:pStyle w:val="ListParagraph"/>
        <w:numPr>
          <w:ilvl w:val="0"/>
          <w:numId w:val="2"/>
        </w:numPr>
        <w:spacing w:after="100" w:line="290"/>
      </w:pPr>
      <w:r>
        <w:rPr>
          <w:sz w:val="21"/>
          <w:szCs w:val="21"/>
        </w:rPr>
        <w:t xml:space="preserve">El log en </w:t>
      </w:r>
      <w:r>
        <w:rPr>
          <w:rFonts w:ascii="Courier New" w:cs="Courier New" w:eastAsia="Courier New" w:hAnsi="Courier New"/>
          <w:sz w:val="20"/>
          <w:szCs w:val="20"/>
        </w:rPr>
        <w:t xml:space="preserve">automatizacion/salida/tarea_mensual.log</w:t>
      </w:r>
      <w:r>
        <w:rPr>
          <w:sz w:val="21"/>
          <w:szCs w:val="21"/>
        </w:rPr>
        <w:t xml:space="preserve"> — cada corrida deja su fecha, el resumen de GLPI/AlertOps, y un renglón final «OK» o «FALLÓ (código N)».</w:t>
      </w:r>
    </w:p>
    <w:p>
      <w:pPr>
        <w:pStyle w:val="ListParagraph"/>
        <w:numPr>
          <w:ilvl w:val="0"/>
          <w:numId w:val="2"/>
        </w:numPr>
        <w:spacing w:after="100" w:line="290"/>
      </w:pPr>
      <w:r>
        <w:rPr>
          <w:sz w:val="21"/>
          <w:szCs w:val="21"/>
        </w:rPr>
        <w:t xml:space="preserve">Abrir el informe y revisar el aviso de «Cargar informes»: siempre muestra de dónde y cuándo se extrajo cada fuente. Un insumo viejo se delata por su propia fecha.</w:t>
      </w:r>
    </w:p>
    <w:p>
      <w:pPr>
        <w:pStyle w:val="Heading2"/>
        <w:spacing w:after="120" w:before="260"/>
      </w:pPr>
      <w:r>
        <w:rPr>
          <w:b/>
          <w:bCs/>
          <w:color w:val="2E5A8C"/>
          <w:sz w:val="24"/>
          <w:szCs w:val="24"/>
        </w:rPr>
        <w:t xml:space="preserve">4.6 — Alerta ante fallo (falta conectar el webhook, no la lógica)</w:t>
      </w:r>
    </w:p>
    <w:p>
      <w:pPr>
        <w:spacing w:after="160" w:line="300"/>
      </w:pPr>
      <w:r>
        <w:rPr>
          <w:sz w:val="21"/>
          <w:szCs w:val="21"/>
        </w:rPr>
        <w:t xml:space="preserve">El script ya sabe distinguir éxito de fallo; lo único que falta es la URL del webhook de Teams (o el canal que se decida) para des-comentar el bloque ya escrito en tarea_mensual.sh:</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curl -s -X POST -H 'Content-Type: application/json' \</w:t>
      </w:r>
      <w:r>
        <w:br/>
      </w:r>
      <w:r>
        <w:rPr>
          <w:rFonts w:ascii="Courier New" w:cs="Courier New" w:eastAsia="Courier New" w:hAnsi="Courier New"/>
          <w:sz w:val="20"/>
          <w:szCs w:val="20"/>
        </w:rPr>
        <w:t xml:space="preserve">  -d "{\"text\":\"Automatización falló ($FECHA, código $CODIGO)\"}" \</w:t>
      </w:r>
      <w:r>
        <w:br/>
      </w:r>
      <w:r>
        <w:rPr>
          <w:rFonts w:ascii="Courier New" w:cs="Courier New" w:eastAsia="Courier New" w:hAnsi="Courier New"/>
          <w:sz w:val="20"/>
          <w:szCs w:val="20"/>
        </w:rPr>
        <w:t xml:space="preserve">  "$TEAMS_WEBHOOK_URL"</w:t>
      </w:r>
    </w:p>
    <w:p>
      <w:pPr>
        <w:spacing w:after="160" w:line="300"/>
      </w:pPr>
      <w:r>
        <w:rPr>
          <w:sz w:val="21"/>
          <w:szCs w:val="21"/>
        </w:rPr>
        <w:t xml:space="preserve">Con eso puesto y un TEAMS_WEBHOOK_URL definido, un fallo el día 1 se avisa el día 1 — no se descubre el día 30 cuando ya toca emitir el informe.</w:t>
      </w:r>
    </w:p>
    <w:p>
      <w:pPr>
        <w:pStyle w:val="Heading1"/>
        <w:pBdr>
          <w:bottom w:val="single" w:color="1F3864" w:sz="6" w:space="4"/>
        </w:pBdr>
        <w:spacing w:after="160" w:before="360"/>
      </w:pPr>
      <w:r>
        <w:rPr>
          <w:b/>
          <w:bCs/>
          <w:color w:val="1F3864"/>
          <w:sz w:val="30"/>
          <w:szCs w:val="30"/>
        </w:rPr>
        <w:t xml:space="preserve">5. Lo que falta — solo decisiones y accesos, no código</w:t>
      </w:r>
    </w:p>
    <w:p>
      <w:pPr>
        <w:pStyle w:val="Heading2"/>
        <w:spacing w:after="120" w:before="260"/>
      </w:pPr>
      <w:r>
        <w:rPr>
          <w:b/>
          <w:bCs/>
          <w:color w:val="2E5A8C"/>
          <w:sz w:val="24"/>
          <w:szCs w:val="24"/>
        </w:rPr>
        <w:t xml:space="preserve">Dónde se ejecuta</w:t>
      </w:r>
    </w:p>
    <w:tbl>
      <w:tblPr>
        <w:tblW w:type="dxa" w:w="8860"/>
        <w:tblBorders>
          <w:top w:val="single" w:color="auto" w:sz="4"/>
          <w:left w:val="single" w:color="auto" w:sz="4"/>
          <w:bottom w:val="single" w:color="auto" w:sz="4"/>
          <w:right w:val="single" w:color="auto" w:sz="4"/>
          <w:insideH w:val="single" w:color="auto" w:sz="4"/>
          <w:insideV w:val="single" w:color="auto" w:sz="4"/>
        </w:tblBorders>
      </w:tblPr>
      <w:tblGrid>
        <w:gridCol w:w="2200"/>
        <w:gridCol w:w="5400"/>
        <w:gridCol w:w="126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Opción</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Consideración</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Esfuerzo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Servidor de Carlos Barrera</w:t>
            </w:r>
          </w:p>
        </w:tc>
        <w:tc>
          <w:tcPr>
            <w:tcW w:type="dxa" w:w="2000"/>
            <w:tcMar>
              <w:top w:type="dxa" w:w="100"/>
              <w:left w:type="dxa" w:w="120"/>
              <w:bottom w:type="dxa" w:w="100"/>
              <w:right w:type="dxa" w:w="120"/>
            </w:tcMar>
          </w:tcPr>
          <w:p>
            <w:pPr>
              <w:jc w:val="left"/>
            </w:pPr>
            <w:r>
              <w:rPr>
                <w:b w:val="false"/>
                <w:bCs w:val="false"/>
                <w:color w:val="000000"/>
                <w:sz w:val="20"/>
                <w:szCs w:val="20"/>
              </w:rPr>
              <w:t xml:space="preserve">Lo planteado en la llamada original. Ya automatiza otros procesos ahí; instalar siguiendo §4 tal cual.</w:t>
            </w:r>
          </w:p>
        </w:tc>
        <w:tc>
          <w:tcPr>
            <w:tcW w:type="dxa" w:w="2000"/>
            <w:tcMar>
              <w:top w:type="dxa" w:w="100"/>
              <w:left w:type="dxa" w:w="120"/>
              <w:bottom w:type="dxa" w:w="100"/>
              <w:right w:type="dxa" w:w="120"/>
            </w:tcMar>
          </w:tcPr>
          <w:p>
            <w:pPr>
              <w:jc w:val="left"/>
            </w:pPr>
            <w:r>
              <w:rPr>
                <w:b w:val="false"/>
                <w:bCs w:val="false"/>
                <w:color w:val="000000"/>
                <w:sz w:val="20"/>
                <w:szCs w:val="20"/>
              </w:rPr>
              <w:t xml:space="preserve">Bajo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Azure Functions</w:t>
            </w:r>
          </w:p>
        </w:tc>
        <w:tc>
          <w:tcPr>
            <w:tcW w:type="dxa" w:w="2000"/>
            <w:tcMar>
              <w:top w:type="dxa" w:w="100"/>
              <w:left w:type="dxa" w:w="120"/>
              <w:bottom w:type="dxa" w:w="100"/>
              <w:right w:type="dxa" w:w="120"/>
            </w:tcMar>
          </w:tcPr>
          <w:p>
            <w:pPr>
              <w:jc w:val="left"/>
            </w:pPr>
            <w:r>
              <w:rPr>
                <w:b w:val="false"/>
                <w:bCs w:val="false"/>
                <w:color w:val="000000"/>
                <w:sz w:val="20"/>
                <w:szCs w:val="20"/>
              </w:rPr>
              <w:t xml:space="preserve">Monitoreo nativo, pero exige confirmar suscripción disponible y quién queda a cargo del costo.</w:t>
            </w:r>
          </w:p>
        </w:tc>
        <w:tc>
          <w:tcPr>
            <w:tcW w:type="dxa" w:w="2000"/>
            <w:tcMar>
              <w:top w:type="dxa" w:w="100"/>
              <w:left w:type="dxa" w:w="120"/>
              <w:bottom w:type="dxa" w:w="100"/>
              <w:right w:type="dxa" w:w="120"/>
            </w:tcMar>
          </w:tcPr>
          <w:p>
            <w:pPr>
              <w:jc w:val="left"/>
            </w:pPr>
            <w:r>
              <w:rPr>
                <w:b w:val="false"/>
                <w:bCs w:val="false"/>
                <w:color w:val="000000"/>
                <w:sz w:val="20"/>
                <w:szCs w:val="20"/>
              </w:rPr>
              <w:t xml:space="preserve">Medio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Equipo de oficina</w:t>
            </w:r>
          </w:p>
        </w:tc>
        <w:tc>
          <w:tcPr>
            <w:tcW w:type="dxa" w:w="2000"/>
            <w:tcMar>
              <w:top w:type="dxa" w:w="100"/>
              <w:left w:type="dxa" w:w="120"/>
              <w:bottom w:type="dxa" w:w="100"/>
              <w:right w:type="dxa" w:w="120"/>
            </w:tcMar>
          </w:tcPr>
          <w:p>
            <w:pPr>
              <w:jc w:val="left"/>
            </w:pPr>
            <w:r>
              <w:rPr>
                <w:b w:val="false"/>
                <w:bCs w:val="false"/>
                <w:color w:val="000000"/>
                <w:sz w:val="20"/>
                <w:szCs w:val="20"/>
              </w:rPr>
              <w:t xml:space="preserve">Sin gestiones adicionales, pero depende de que quede encendido a la 1:00 a. m. — el riesgo más alto de los tres.</w:t>
            </w:r>
          </w:p>
        </w:tc>
        <w:tc>
          <w:tcPr>
            <w:tcW w:type="dxa" w:w="2000"/>
            <w:tcMar>
              <w:top w:type="dxa" w:w="100"/>
              <w:left w:type="dxa" w:w="120"/>
              <w:bottom w:type="dxa" w:w="100"/>
              <w:right w:type="dxa" w:w="120"/>
            </w:tcMar>
          </w:tcPr>
          <w:p>
            <w:pPr>
              <w:jc w:val="left"/>
            </w:pPr>
            <w:r>
              <w:rPr>
                <w:b w:val="false"/>
                <w:bCs w:val="false"/>
                <w:color w:val="000000"/>
                <w:sz w:val="20"/>
                <w:szCs w:val="20"/>
              </w:rPr>
              <w:t xml:space="preserve">Bajo</w:t>
            </w:r>
          </w:p>
        </w:tc>
      </w:tr>
    </w:tbl>
    <w:p>
      <w:pPr>
        <w:spacing w:after="160" w:line="300"/>
      </w:pPr>
      <w:r>
        <w:rPr>
          <w:sz w:val="21"/>
          <w:szCs w:val="21"/>
        </w:rPr>
        <w:t xml:space="preserve"/>
      </w:r>
    </w:p>
    <w:p>
      <w:pPr>
        <w:pStyle w:val="ListParagraph"/>
        <w:numPr>
          <w:ilvl w:val="0"/>
          <w:numId w:val="2"/>
        </w:numPr>
        <w:spacing w:after="100" w:line="290"/>
      </w:pPr>
      <w:r>
        <w:rPr>
          <w:b/>
          <w:bCs/>
          <w:sz w:val="21"/>
          <w:szCs w:val="21"/>
        </w:rPr>
        <w:t xml:space="preserve">Cuentas de servicio de solo lectura, </w:t>
      </w:r>
      <w:r>
        <w:rPr>
          <w:sz w:val="21"/>
          <w:szCs w:val="21"/>
        </w:rPr>
        <w:t xml:space="preserve">en GLPI y en AlertOps. Hoy </w:t>
      </w:r>
      <w:r>
        <w:rPr>
          <w:rFonts w:ascii="Courier New" w:cs="Courier New" w:eastAsia="Courier New" w:hAnsi="Courier New"/>
          <w:sz w:val="20"/>
          <w:szCs w:val="20"/>
        </w:rPr>
        <w:t xml:space="preserve">automatizacion/.env</w:t>
      </w:r>
      <w:r>
        <w:rPr>
          <w:sz w:val="21"/>
          <w:szCs w:val="21"/>
        </w:rPr>
        <w:t xml:space="preserve"> tiene credenciales personales — funcionan y ya se verificaron en vivo, pero si la automatización corre con la cuenta de una persona, el día que la cambie el proceso se cae en silencio, y cada acción queda registrada a su nombre.</w:t>
      </w:r>
    </w:p>
    <w:p>
      <w:pPr>
        <w:pStyle w:val="ListParagraph"/>
        <w:numPr>
          <w:ilvl w:val="0"/>
          <w:numId w:val="2"/>
        </w:numPr>
        <w:spacing w:after="100" w:line="290"/>
      </w:pPr>
      <w:r>
        <w:rPr>
          <w:b/>
          <w:bCs/>
          <w:sz w:val="21"/>
          <w:szCs w:val="21"/>
        </w:rPr>
        <w:t xml:space="preserve">Depósito automático en SharePoint/OneDrive. </w:t>
      </w:r>
      <w:r>
        <w:rPr>
          <w:sz w:val="21"/>
          <w:szCs w:val="21"/>
        </w:rPr>
        <w:t xml:space="preserve">Hoy </w:t>
      </w:r>
      <w:r>
        <w:rPr>
          <w:rFonts w:ascii="Courier New" w:cs="Courier New" w:eastAsia="Courier New" w:hAnsi="Courier New"/>
          <w:sz w:val="20"/>
          <w:szCs w:val="20"/>
        </w:rPr>
        <w:t xml:space="preserve">actualizar_informe.py</w:t>
      </w:r>
      <w:r>
        <w:rPr>
          <w:sz w:val="21"/>
          <w:szCs w:val="21"/>
        </w:rPr>
        <w:t xml:space="preserve"> deja el insumo junto al HTML del equipo donde corre; falta que lo escriba directamente en la biblioteca del cliente.</w:t>
      </w:r>
    </w:p>
    <w:p>
      <w:pPr>
        <w:pStyle w:val="ListParagraph"/>
        <w:numPr>
          <w:ilvl w:val="0"/>
          <w:numId w:val="2"/>
        </w:numPr>
        <w:spacing w:after="100" w:line="290"/>
      </w:pPr>
      <w:r>
        <w:rPr>
          <w:b/>
          <w:bCs/>
          <w:sz w:val="21"/>
          <w:szCs w:val="21"/>
        </w:rPr>
        <w:t xml:space="preserve">Webhook de alerta y responsable operativo </w:t>
      </w:r>
      <w:r>
        <w:rPr>
          <w:sz w:val="21"/>
          <w:szCs w:val="21"/>
        </w:rPr>
        <w:t xml:space="preserve">que lo reciba y actúe — ver §4.6.</w:t>
      </w:r>
    </w:p>
    <w:p>
      <w:pPr>
        <w:pStyle w:val="Heading1"/>
        <w:pBdr>
          <w:bottom w:val="single" w:color="1F3864" w:sz="6" w:space="4"/>
        </w:pBdr>
        <w:spacing w:after="160" w:before="360"/>
      </w:pPr>
      <w:r>
        <w:rPr>
          <w:b/>
          <w:bCs/>
          <w:color w:val="1F3864"/>
          <w:sz w:val="30"/>
          <w:szCs w:val="30"/>
        </w:rPr>
        <w:t xml:space="preserve">6. Decisiones de negocio (no bloquean la automatización, pero sí las cifras)</w:t>
      </w:r>
    </w:p>
    <w:p>
      <w:pPr>
        <w:pStyle w:val="Heading2"/>
        <w:spacing w:after="120" w:before="260"/>
      </w:pPr>
      <w:r>
        <w:rPr>
          <w:b/>
          <w:bCs/>
          <w:color w:val="2E5A8C"/>
          <w:sz w:val="24"/>
          <w:szCs w:val="24"/>
        </w:rPr>
        <w:t xml:space="preserve">6.1 — Junio de 2026 sigue en cero</w:t>
      </w:r>
    </w:p>
    <w:p>
      <w:pPr>
        <w:spacing w:after="160" w:line="300"/>
      </w:pPr>
      <w:r>
        <w:rPr>
          <w:sz w:val="21"/>
          <w:szCs w:val="21"/>
        </w:rPr>
        <w:t xml:space="preserve">Reconfirmado en vivo esta semana: 0 casos de Acción Fiduciaria en GLPI para junio, por los tres campos de fecha disponibles. La evolución completa, con julio ya parcialmente a la vista:</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Mes</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Casos de Acción Fiduciaria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Marzo 2026</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84</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Abril 2026</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24</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Mayo 2026</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Junio 2026</w:t>
            </w:r>
          </w:p>
        </w:tc>
        <w:tc>
          <w:tcPr>
            <w:tcW w:type="dxa" w:w="2000"/>
            <w:tcMar>
              <w:top w:type="dxa" w:w="100"/>
              <w:left w:type="dxa" w:w="120"/>
              <w:bottom w:type="dxa" w:w="100"/>
              <w:right w:type="dxa" w:w="120"/>
            </w:tcMar>
          </w:tcPr>
          <w:p>
            <w:pPr>
              <w:jc w:val="center"/>
            </w:pPr>
            <w:r>
              <w:rPr>
                <w:b/>
                <w:bCs/>
                <w:color w:val="000000"/>
                <w:sz w:val="20"/>
                <w:szCs w:val="20"/>
              </w:rPr>
              <w:t xml:space="preserve">0</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Julio 2026 (parcial, al 28/07)</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5</w:t>
            </w:r>
          </w:p>
        </w:tc>
      </w:tr>
    </w:tbl>
    <w:p>
      <w:pPr>
        <w:spacing w:after="160" w:line="300"/>
      </w:pPr>
      <w:r>
        <w:rPr>
          <w:sz w:val="21"/>
          <w:szCs w:val="21"/>
        </w:rPr>
        <w:t xml:space="preserve"/>
      </w:r>
    </w:p>
    <w:p>
      <w:pPr>
        <w:spacing w:after="200" w:before="100"/>
      </w:pPr>
      <w:r>
        <w:rPr>
          <w:b/>
          <w:bCs/>
          <w:sz w:val="21"/>
          <w:szCs w:val="21"/>
        </w:rPr>
        <w:t xml:space="preserve">Se necesita saber: </w:t>
      </w:r>
      <w:r>
        <w:rPr>
          <w:sz w:val="21"/>
          <w:szCs w:val="21"/>
        </w:rPr>
        <w:t xml:space="preserve">si el servicio efectivamente no tuvo casos en junio, si se registraron bajo otra entidad, o si el flujo de trabajo cambió. Julio muestra actividad de nuevo (5 casos a la fecha), lo que hace más notoria la pregunta sobre el hueco de junio.</w:t>
      </w:r>
    </w:p>
    <w:p>
      <w:pPr>
        <w:pStyle w:val="Heading2"/>
        <w:spacing w:after="120" w:before="260"/>
      </w:pPr>
      <w:r>
        <w:rPr>
          <w:b/>
          <w:bCs/>
          <w:color w:val="2E5A8C"/>
          <w:sz w:val="24"/>
          <w:szCs w:val="24"/>
        </w:rPr>
        <w:t xml:space="preserve">6.2 — Categorías de tres niveles en el conteo de incidentes</w:t>
      </w:r>
    </w:p>
    <w:p>
      <w:pPr>
        <w:spacing w:after="160" w:line="300"/>
      </w:pPr>
      <w:r>
        <w:rPr>
          <w:sz w:val="21"/>
          <w:szCs w:val="21"/>
        </w:rPr>
        <w:t xml:space="preserve">Sin cambios desde el plan anterior: el informe excluye del conteo de fallas los tickets que son revisiones de alertas ya contabilizadas, mirando el último tramo de la categoría — funciona con dos niveles, falla con tres: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80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Categoría en GLPI</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Casos</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Se cuenta hoy como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INCIDENTES &gt; Revision Alerta</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830</w:t>
            </w:r>
          </w:p>
        </w:tc>
        <w:tc>
          <w:tcPr>
            <w:tcW w:type="dxa" w:w="2000"/>
            <w:tcMar>
              <w:top w:type="dxa" w:w="100"/>
              <w:left w:type="dxa" w:w="120"/>
              <w:bottom w:type="dxa" w:w="100"/>
              <w:right w:type="dxa" w:w="120"/>
            </w:tcMar>
          </w:tcPr>
          <w:p>
            <w:pPr>
              <w:jc w:val="left"/>
            </w:pPr>
            <w:r>
              <w:rPr>
                <w:b w:val="false"/>
                <w:bCs w:val="false"/>
                <w:color w:val="000000"/>
                <w:sz w:val="20"/>
                <w:szCs w:val="20"/>
              </w:rPr>
              <w:t xml:space="preserve">Revisión — se excluye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INCIDENTES &gt; Revision Alerta &gt; Bloqueos</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83</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Falla real de SETI</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INCIDENTES &gt; Revision Alerta &gt; Espacios</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w:t>
            </w:r>
          </w:p>
        </w:tc>
        <w:tc>
          <w:tcPr>
            <w:tcW w:type="dxa" w:w="2000"/>
            <w:shd w:fill="FCE4D6" w:val="clear"/>
            <w:tcMar>
              <w:top w:type="dxa" w:w="100"/>
              <w:left w:type="dxa" w:w="120"/>
              <w:bottom w:type="dxa" w:w="100"/>
              <w:right w:type="dxa" w:w="120"/>
            </w:tcMar>
          </w:tcPr>
          <w:p>
            <w:pPr>
              <w:jc w:val="left"/>
            </w:pPr>
            <w:r>
              <w:rPr>
                <w:b w:val="false"/>
                <w:bCs w:val="false"/>
                <w:color w:val="000000"/>
                <w:sz w:val="20"/>
                <w:szCs w:val="20"/>
              </w:rPr>
              <w:t xml:space="preserve">Falla real de SETI</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INCIDENTES &gt; Revision Bloqueos</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22</w:t>
            </w:r>
          </w:p>
        </w:tc>
        <w:tc>
          <w:tcPr>
            <w:tcW w:type="dxa" w:w="2000"/>
            <w:tcMar>
              <w:top w:type="dxa" w:w="100"/>
              <w:left w:type="dxa" w:w="120"/>
              <w:bottom w:type="dxa" w:w="100"/>
              <w:right w:type="dxa" w:w="120"/>
            </w:tcMar>
          </w:tcPr>
          <w:p>
            <w:pPr>
              <w:jc w:val="left"/>
            </w:pPr>
            <w:r>
              <w:rPr>
                <w:b w:val="false"/>
                <w:bCs w:val="false"/>
                <w:color w:val="000000"/>
                <w:sz w:val="20"/>
                <w:szCs w:val="20"/>
              </w:rPr>
              <w:t xml:space="preserve">Revisión — se excluye</w:t>
            </w:r>
          </w:p>
        </w:tc>
      </w:tr>
    </w:tbl>
    <w:p>
      <w:pPr>
        <w:spacing w:after="160" w:line="300"/>
      </w:pPr>
      <w:r>
        <w:rPr>
          <w:sz w:val="21"/>
          <w:szCs w:val="21"/>
        </w:rPr>
        <w:t xml:space="preserve"/>
      </w:r>
    </w:p>
    <w:p>
      <w:pPr>
        <w:spacing w:after="100" w:before="100"/>
      </w:pPr>
      <w:r>
        <w:rPr>
          <w:b/>
          <w:bCs/>
          <w:sz w:val="21"/>
          <w:szCs w:val="21"/>
        </w:rPr>
        <w:t xml:space="preserve">Pregunta pendiente: </w:t>
      </w:r>
      <w:r>
        <w:rPr>
          <w:sz w:val="21"/>
          <w:szCs w:val="21"/>
        </w:rPr>
        <w:t xml:space="preserve">¿una «revisión de alerta con bloqueos» es una revisión o una falla atribuible a SETI? 91 casos del histórico cambian de lado según la respuesta. No afectó a mayo (todos requerimientos) ni a junio (cero casos), pero sí afectará al primer mes que traiga estas categorías en volumen.</w:t>
      </w:r>
    </w:p>
    <w:p>
      <w:pPr>
        <w:pStyle w:val="Heading1"/>
        <w:pBdr>
          <w:bottom w:val="single" w:color="1F3864" w:sz="6" w:space="4"/>
        </w:pBdr>
        <w:spacing w:after="160" w:before="360"/>
      </w:pPr>
      <w:r>
        <w:rPr>
          <w:b/>
          <w:bCs/>
          <w:color w:val="1F3864"/>
          <w:sz w:val="30"/>
          <w:szCs w:val="30"/>
        </w:rPr>
        <w:t xml:space="preserve">7. Qué se necesita de cada persona</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100"/>
        <w:gridCol w:w="4800"/>
        <w:gridCol w:w="110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Persona</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Qué se le pide</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Bloquea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Santiago Amaya Cely</w:t>
            </w:r>
          </w:p>
        </w:tc>
        <w:tc>
          <w:tcPr>
            <w:tcW w:type="dxa" w:w="2000"/>
            <w:tcMar>
              <w:top w:type="dxa" w:w="100"/>
              <w:left w:type="dxa" w:w="120"/>
              <w:bottom w:type="dxa" w:w="100"/>
              <w:right w:type="dxa" w:w="120"/>
            </w:tcMar>
          </w:tcPr>
          <w:p>
            <w:pPr>
              <w:jc w:val="left"/>
            </w:pPr>
            <w:r>
              <w:rPr>
                <w:b w:val="false"/>
                <w:bCs w:val="false"/>
                <w:color w:val="000000"/>
                <w:sz w:val="20"/>
                <w:szCs w:val="20"/>
              </w:rPr>
              <w:t xml:space="preserve">Decidir dónde corre la tarea (§5), confirmar la ruta de SharePoint/OneDrive, nombrar responsable operativo, y responder las decisiones de negocio (§6).</w:t>
            </w:r>
          </w:p>
        </w:tc>
        <w:tc>
          <w:tcPr>
            <w:tcW w:type="dxa" w:w="2000"/>
            <w:tcMar>
              <w:top w:type="dxa" w:w="100"/>
              <w:left w:type="dxa" w:w="120"/>
              <w:bottom w:type="dxa" w:w="100"/>
              <w:right w:type="dxa" w:w="120"/>
            </w:tcMar>
          </w:tcPr>
          <w:p>
            <w:pPr>
              <w:jc w:val="left"/>
            </w:pPr>
            <w:r>
              <w:rPr>
                <w:b w:val="false"/>
                <w:bCs w:val="false"/>
                <w:color w:val="000000"/>
                <w:sz w:val="20"/>
                <w:szCs w:val="20"/>
              </w:rPr>
              <w:t xml:space="preserve">Sí</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Administrador de GLPI</w:t>
            </w:r>
          </w:p>
        </w:tc>
        <w:tc>
          <w:tcPr>
            <w:tcW w:type="dxa" w:w="2000"/>
            <w:tcMar>
              <w:top w:type="dxa" w:w="100"/>
              <w:left w:type="dxa" w:w="120"/>
              <w:bottom w:type="dxa" w:w="100"/>
              <w:right w:type="dxa" w:w="120"/>
            </w:tcMar>
          </w:tcPr>
          <w:p>
            <w:pPr>
              <w:jc w:val="left"/>
            </w:pPr>
            <w:r>
              <w:rPr>
                <w:b w:val="false"/>
                <w:bCs w:val="false"/>
                <w:color w:val="000000"/>
                <w:sz w:val="20"/>
                <w:szCs w:val="20"/>
              </w:rPr>
              <w:t xml:space="preserve">Crear la cuenta de servicio de solo lectura con acceso a la API REST.</w:t>
            </w:r>
          </w:p>
        </w:tc>
        <w:tc>
          <w:tcPr>
            <w:tcW w:type="dxa" w:w="2000"/>
            <w:tcMar>
              <w:top w:type="dxa" w:w="100"/>
              <w:left w:type="dxa" w:w="120"/>
              <w:bottom w:type="dxa" w:w="100"/>
              <w:right w:type="dxa" w:w="120"/>
            </w:tcMar>
          </w:tcPr>
          <w:p>
            <w:pPr>
              <w:jc w:val="left"/>
            </w:pPr>
            <w:r>
              <w:rPr>
                <w:b w:val="false"/>
                <w:bCs w:val="false"/>
                <w:color w:val="000000"/>
                <w:sz w:val="20"/>
                <w:szCs w:val="20"/>
              </w:rPr>
              <w:t xml:space="preserve">Sí</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Administrador de AlertOps</w:t>
            </w:r>
          </w:p>
        </w:tc>
        <w:tc>
          <w:tcPr>
            <w:tcW w:type="dxa" w:w="2000"/>
            <w:tcMar>
              <w:top w:type="dxa" w:w="100"/>
              <w:left w:type="dxa" w:w="120"/>
              <w:bottom w:type="dxa" w:w="100"/>
              <w:right w:type="dxa" w:w="120"/>
            </w:tcMar>
          </w:tcPr>
          <w:p>
            <w:pPr>
              <w:jc w:val="left"/>
            </w:pPr>
            <w:r>
              <w:rPr>
                <w:b w:val="false"/>
                <w:bCs w:val="false"/>
                <w:color w:val="000000"/>
                <w:sz w:val="20"/>
                <w:szCs w:val="20"/>
              </w:rPr>
              <w:t xml:space="preserve">Crear (o autorizar) la cuenta de servicio y su api-key.</w:t>
            </w:r>
          </w:p>
        </w:tc>
        <w:tc>
          <w:tcPr>
            <w:tcW w:type="dxa" w:w="2000"/>
            <w:tcMar>
              <w:top w:type="dxa" w:w="100"/>
              <w:left w:type="dxa" w:w="120"/>
              <w:bottom w:type="dxa" w:w="100"/>
              <w:right w:type="dxa" w:w="120"/>
            </w:tcMar>
          </w:tcPr>
          <w:p>
            <w:pPr>
              <w:jc w:val="left"/>
            </w:pPr>
            <w:r>
              <w:rPr>
                <w:b w:val="false"/>
                <w:bCs w:val="false"/>
                <w:color w:val="000000"/>
                <w:sz w:val="20"/>
                <w:szCs w:val="20"/>
              </w:rPr>
              <w:t xml:space="preserve">Sí</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Carlos Barrera</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Confirmar disponibilidad en su servidor (si se elige esa opción) e instalar la tarea siguiendo §4.</w:t>
            </w:r>
          </w:p>
        </w:tc>
        <w:tc>
          <w:tcPr>
            <w:tcW w:type="dxa" w:w="2000"/>
            <w:tcMar>
              <w:top w:type="dxa" w:w="100"/>
              <w:left w:type="dxa" w:w="120"/>
              <w:bottom w:type="dxa" w:w="100"/>
              <w:right w:type="dxa" w:w="120"/>
            </w:tcMar>
          </w:tcPr>
          <w:p>
            <w:pPr>
              <w:jc w:val="left"/>
            </w:pPr>
            <w:r>
              <w:rPr>
                <w:b w:val="false"/>
                <w:bCs w:val="false"/>
                <w:color w:val="000000"/>
                <w:sz w:val="20"/>
                <w:szCs w:val="20"/>
              </w:rPr>
              <w:t xml:space="preserve">Depende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Yordy Pardo Pájaro</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Conectar el webhook de Teams en tarea_mensual.sh y añadir la subida a SharePoint/OneDrive una vez estén las decisiones de arriba.</w:t>
            </w:r>
          </w:p>
        </w:tc>
        <w:tc>
          <w:tcPr>
            <w:tcW w:type="dxa" w:w="2000"/>
            <w:tcMar>
              <w:top w:type="dxa" w:w="100"/>
              <w:left w:type="dxa" w:w="120"/>
              <w:bottom w:type="dxa" w:w="100"/>
              <w:right w:type="dxa" w:w="120"/>
            </w:tcMar>
          </w:tcPr>
          <w:p>
            <w:pPr>
              <w:jc w:val="left"/>
            </w:pPr>
            <w:r>
              <w:rPr>
                <w:b w:val="false"/>
                <w:bCs w:val="false"/>
                <w:color w:val="000000"/>
                <w:sz w:val="20"/>
                <w:szCs w:val="20"/>
              </w:rPr>
              <w:t xml:space="preserve">No</w:t>
            </w:r>
          </w:p>
        </w:tc>
      </w:tr>
    </w:tbl>
    <w:p>
      <w:pPr>
        <w:spacing w:after="160" w:line="300"/>
      </w:pPr>
      <w:r>
        <w:rPr>
          <w:sz w:val="21"/>
          <w:szCs w:val="21"/>
        </w:rPr>
        <w:t xml:space="preserve"/>
      </w:r>
    </w:p>
    <w:p>
      <w:pPr>
        <w:pStyle w:val="Heading1"/>
        <w:pBdr>
          <w:bottom w:val="single" w:color="1F3864" w:sz="6" w:space="4"/>
        </w:pBdr>
        <w:spacing w:after="160" w:before="360"/>
      </w:pPr>
      <w:r>
        <w:rPr>
          <w:b/>
          <w:bCs/>
          <w:color w:val="1F3864"/>
          <w:sz w:val="30"/>
          <w:szCs w:val="30"/>
        </w:rPr>
        <w:t xml:space="preserve">8. Anexo técnico</w:t>
      </w:r>
    </w:p>
    <w:p>
      <w:pPr>
        <w:pStyle w:val="Heading2"/>
        <w:spacing w:after="120" w:before="260"/>
      </w:pPr>
      <w:r>
        <w:rPr>
          <w:b/>
          <w:bCs/>
          <w:color w:val="2E5A8C"/>
          <w:sz w:val="24"/>
          <w:szCs w:val="24"/>
        </w:rPr>
        <w:t xml:space="preserve">8.1 Archivos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900"/>
        <w:gridCol w:w="510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Archivo</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Qué hace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automatizacion/actualizar_informe.py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Punto de entrada único: corre las dos extracciones y copia el resultado junto al HTML.</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automatizacion/tarea_mensual.sh</w:t>
            </w:r>
          </w:p>
        </w:tc>
        <w:tc>
          <w:tcPr>
            <w:tcW w:type="dxa" w:w="2000"/>
            <w:tcMar>
              <w:top w:type="dxa" w:w="100"/>
              <w:left w:type="dxa" w:w="120"/>
              <w:bottom w:type="dxa" w:w="100"/>
              <w:right w:type="dxa" w:w="120"/>
            </w:tcMar>
          </w:tcPr>
          <w:p>
            <w:pPr>
              <w:jc w:val="left"/>
            </w:pPr>
            <w:r>
              <w:rPr>
                <w:b w:val="false"/>
                <w:bCs w:val="false"/>
                <w:color w:val="000000"/>
                <w:sz w:val="20"/>
                <w:szCs w:val="20"/>
              </w:rPr>
              <w:t xml:space="preserve">Envoltorio listo para cron: log con fecha, distingue éxito/fallo, lugar preparado para la alerta.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automatizacion/sonda_glpi.py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Reconocimiento de GLPI: confirma la vía de extracción disponible.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automatizacion/extraer_glpi.py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Extrae los casos por la API REST de GLPI, filtrados por entidad y por mes en origen.</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automatizacion/sonda_alertops.py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Reconocimiento de AlertOps: confirma que la api-key autentica y el esquema coincide con lo documentado.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automatizacion/extraer_alertas.py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Extrae las alertas por la API REST de AlertOps, filtradas por cliente y por mes.</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automatizacion/insumos_af.py</w:t>
            </w:r>
          </w:p>
        </w:tc>
        <w:tc>
          <w:tcPr>
            <w:tcW w:type="dxa" w:w="2000"/>
            <w:tcMar>
              <w:top w:type="dxa" w:w="100"/>
              <w:left w:type="dxa" w:w="120"/>
              <w:bottom w:type="dxa" w:w="100"/>
              <w:right w:type="dxa" w:w="120"/>
            </w:tcMar>
          </w:tcPr>
          <w:p>
            <w:pPr>
              <w:jc w:val="left"/>
            </w:pPr>
            <w:r>
              <w:rPr>
                <w:b w:val="false"/>
                <w:bCs w:val="false"/>
                <w:color w:val="000000"/>
                <w:sz w:val="20"/>
                <w:szCs w:val="20"/>
              </w:rPr>
              <w:t xml:space="preserve">Módulo compartido: empaqueta insumos-af.js y calcula el mes cerrado (mes_cerrado()).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automatizacion/.env</w:t>
            </w:r>
          </w:p>
        </w:tc>
        <w:tc>
          <w:tcPr>
            <w:tcW w:type="dxa" w:w="2000"/>
            <w:tcMar>
              <w:top w:type="dxa" w:w="100"/>
              <w:left w:type="dxa" w:w="120"/>
              <w:bottom w:type="dxa" w:w="100"/>
              <w:right w:type="dxa" w:w="120"/>
            </w:tcMar>
          </w:tcPr>
          <w:p>
            <w:pPr>
              <w:jc w:val="left"/>
            </w:pPr>
            <w:r>
              <w:rPr>
                <w:b w:val="false"/>
                <w:bCs w:val="false"/>
                <w:color w:val="000000"/>
                <w:sz w:val="20"/>
                <w:szCs w:val="20"/>
              </w:rPr>
              <w:t xml:space="preserve">Credenciales de ambas fuentes. Fuera del repositorio de código (en .gitignore).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automatizacion/README.md</w:t>
            </w:r>
          </w:p>
        </w:tc>
        <w:tc>
          <w:tcPr>
            <w:tcW w:type="dxa" w:w="2000"/>
            <w:tcMar>
              <w:top w:type="dxa" w:w="100"/>
              <w:left w:type="dxa" w:w="120"/>
              <w:bottom w:type="dxa" w:w="100"/>
              <w:right w:type="dxa" w:w="120"/>
            </w:tcMar>
          </w:tcPr>
          <w:p>
            <w:pPr>
              <w:jc w:val="left"/>
            </w:pPr>
            <w:r>
              <w:rPr>
                <w:b w:val="false"/>
                <w:bCs w:val="false"/>
                <w:color w:val="000000"/>
                <w:sz w:val="20"/>
                <w:szCs w:val="20"/>
              </w:rPr>
              <w:t xml:space="preserve">Documentación completa de uso, comandos y estado del proyecto.</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informe-accion-fiduciaria 1.html</w:t>
            </w:r>
          </w:p>
        </w:tc>
        <w:tc>
          <w:tcPr>
            <w:tcW w:type="dxa" w:w="2000"/>
            <w:tcMar>
              <w:top w:type="dxa" w:w="100"/>
              <w:left w:type="dxa" w:w="120"/>
              <w:bottom w:type="dxa" w:w="100"/>
              <w:right w:type="dxa" w:w="120"/>
            </w:tcMar>
          </w:tcPr>
          <w:p>
            <w:pPr>
              <w:jc w:val="left"/>
            </w:pPr>
            <w:r>
              <w:rPr>
                <w:b w:val="false"/>
                <w:bCs w:val="false"/>
                <w:color w:val="000000"/>
                <w:sz w:val="20"/>
                <w:szCs w:val="20"/>
              </w:rPr>
              <w:t xml:space="preserve">El informe. Carga ambas fuentes solo; caché resuelta con cabeceras no-cache.</w:t>
            </w:r>
          </w:p>
        </w:tc>
      </w:tr>
    </w:tbl>
    <w:p>
      <w:pPr>
        <w:spacing w:after="160" w:line="300"/>
      </w:pPr>
      <w:r>
        <w:rPr>
          <w:sz w:val="21"/>
          <w:szCs w:val="21"/>
        </w:rPr>
        <w:t xml:space="preserve"/>
      </w:r>
    </w:p>
    <w:p>
      <w:pPr>
        <w:pStyle w:val="Heading2"/>
        <w:spacing w:after="120" w:before="260"/>
      </w:pPr>
      <w:r>
        <w:rPr>
          <w:b/>
          <w:bCs/>
          <w:color w:val="2E5A8C"/>
          <w:sz w:val="24"/>
          <w:szCs w:val="24"/>
        </w:rPr>
        <w:t xml:space="preserve">8.2 Comandos de uso frecuente</w:t>
      </w:r>
    </w:p>
    <w:p>
      <w:pPr>
        <w:spacing w:after="160" w:line="300"/>
      </w:pPr>
      <w:r>
        <w:rPr>
          <w:sz w:val="21"/>
          <w:szCs w:val="21"/>
        </w:rPr>
        <w:t xml:space="preserve">El uso normal, sin argumentos — calcula el mes cerrado solo:</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python3 automatizacion/actualizar_informe.py</w:t>
      </w:r>
    </w:p>
    <w:p>
      <w:pPr>
        <w:spacing w:after="160" w:line="300"/>
      </w:pPr>
      <w:r>
        <w:rPr>
          <w:sz w:val="21"/>
          <w:szCs w:val="21"/>
        </w:rPr>
        <w:t xml:space="preserve">Igual, y además abre el informe al terminar:</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python3 automatizacion/actualizar_informe.py --abrir</w:t>
      </w:r>
    </w:p>
    <w:p>
      <w:pPr>
        <w:spacing w:after="160" w:line="300"/>
      </w:pPr>
      <w:r>
        <w:rPr>
          <w:sz w:val="21"/>
          <w:szCs w:val="21"/>
        </w:rPr>
        <w:t xml:space="preserve">Un mes puntual (reprocesar algo atrasado, o pruebas):</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python3 automatizacion/actualizar_informe.py --periodo 2026-06</w:t>
      </w:r>
    </w:p>
    <w:p>
      <w:pPr>
        <w:spacing w:after="160" w:line="300"/>
      </w:pPr>
      <w:r>
        <w:rPr>
          <w:sz w:val="21"/>
          <w:szCs w:val="21"/>
        </w:rPr>
        <w:t xml:space="preserve">Solo generar en salida/, sin tocar el HTML (para revisar antes de copiar):</w:t>
      </w:r>
    </w:p>
    <w:p>
      <w:pPr>
        <w:pBdr>
          <w:top w:val="single" w:color="CCCCCC" w:sz="4" w:space="4"/>
          <w:bottom w:val="single" w:color="CCCCCC" w:sz="4" w:space="4"/>
          <w:left w:val="single" w:color="CCCCCC" w:sz="4" w:space="4"/>
          <w:right w:val="single" w:color="CCCCCC" w:sz="4" w:space="4"/>
        </w:pBdr>
        <w:shd w:fill="F2F2F2" w:val="clear"/>
        <w:spacing w:after="160" w:before="80"/>
      </w:pPr>
      <w:r>
        <w:rPr>
          <w:rFonts w:ascii="Courier New" w:cs="Courier New" w:eastAsia="Courier New" w:hAnsi="Courier New"/>
          <w:sz w:val="20"/>
          <w:szCs w:val="20"/>
        </w:rPr>
        <w:t xml:space="preserve">python3 automatizacion/actualizar_informe.py --sin-copiar</w:t>
      </w:r>
    </w:p>
    <w:p>
      <w:pPr>
        <w:pStyle w:val="Heading2"/>
        <w:spacing w:after="120" w:before="260"/>
      </w:pPr>
      <w:r>
        <w:rPr>
          <w:b/>
          <w:bCs/>
          <w:color w:val="2E5A8C"/>
          <w:sz w:val="24"/>
          <w:szCs w:val="24"/>
        </w:rPr>
        <w:t xml:space="preserve">8.3 Campos de GLPI utilizados</w:t>
      </w:r>
    </w:p>
    <w:p>
      <w:pPr>
        <w:spacing w:after="160" w:line="300"/>
      </w:pPr>
      <w:r>
        <w:rPr>
          <w:sz w:val="21"/>
          <w:szCs w:val="21"/>
        </w:rPr>
        <w:t xml:space="preserve">Se descubrieron consultando la propia instancia (no están escritos a mano); si GLPI cambia de versión, conviene volver a correr la sonda antes de asumir que siguen siendo los mismos.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3800"/>
      </w:tblGrid>
      <w:tr>
        <w:tc>
          <w:tcPr>
            <w:tcW w:type="dxa" w:w="2000"/>
            <w:shd w:fill="1F3864" w:val="clear"/>
            <w:tcMar>
              <w:top w:type="dxa" w:w="100"/>
              <w:left w:type="dxa" w:w="120"/>
              <w:bottom w:type="dxa" w:w="100"/>
              <w:right w:type="dxa" w:w="120"/>
            </w:tcMar>
          </w:tcPr>
          <w:p>
            <w:pPr>
              <w:jc w:val="left"/>
            </w:pPr>
            <w:r>
              <w:rPr>
                <w:b/>
                <w:bCs/>
                <w:color w:val="FFFFFF"/>
                <w:sz w:val="20"/>
                <w:szCs w:val="20"/>
              </w:rPr>
              <w:t xml:space="preserve">Campo</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Identificador</w:t>
            </w:r>
          </w:p>
        </w:tc>
        <w:tc>
          <w:tcPr>
            <w:tcW w:type="dxa" w:w="2000"/>
            <w:shd w:fill="1F3864" w:val="clear"/>
            <w:tcMar>
              <w:top w:type="dxa" w:w="100"/>
              <w:left w:type="dxa" w:w="120"/>
              <w:bottom w:type="dxa" w:w="100"/>
              <w:right w:type="dxa" w:w="120"/>
            </w:tcMar>
          </w:tcPr>
          <w:p>
            <w:pPr>
              <w:jc w:val="left"/>
            </w:pPr>
            <w:r>
              <w:rPr>
                <w:b/>
                <w:bCs/>
                <w:color w:val="FFFFFF"/>
                <w:sz w:val="20"/>
                <w:szCs w:val="20"/>
              </w:rPr>
              <w:t xml:space="preserve">Para qué lo usa el informe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Entidad</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80</w:t>
            </w:r>
          </w:p>
        </w:tc>
        <w:tc>
          <w:tcPr>
            <w:tcW w:type="dxa" w:w="2000"/>
            <w:tcMar>
              <w:top w:type="dxa" w:w="100"/>
              <w:left w:type="dxa" w:w="120"/>
              <w:bottom w:type="dxa" w:w="100"/>
              <w:right w:type="dxa" w:w="120"/>
            </w:tcMar>
          </w:tcPr>
          <w:p>
            <w:pPr>
              <w:jc w:val="left"/>
            </w:pPr>
            <w:r>
              <w:rPr>
                <w:b w:val="false"/>
                <w:bCs w:val="false"/>
                <w:color w:val="000000"/>
                <w:sz w:val="20"/>
                <w:szCs w:val="20"/>
              </w:rPr>
              <w:t xml:space="preserve">Filtrar Acción Fiduciaria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Fecha de apertura</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15</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Corte por mes calendario, ahora también en el filtro de origen</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Categoría</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7</w:t>
            </w:r>
          </w:p>
        </w:tc>
        <w:tc>
          <w:tcPr>
            <w:tcW w:type="dxa" w:w="2000"/>
            <w:tcMar>
              <w:top w:type="dxa" w:w="100"/>
              <w:left w:type="dxa" w:w="120"/>
              <w:bottom w:type="dxa" w:w="100"/>
              <w:right w:type="dxa" w:w="120"/>
            </w:tcMar>
          </w:tcPr>
          <w:p>
            <w:pPr>
              <w:jc w:val="left"/>
            </w:pPr>
            <w:r>
              <w:rPr>
                <w:b w:val="false"/>
                <w:bCs w:val="false"/>
                <w:color w:val="000000"/>
                <w:sz w:val="20"/>
                <w:szCs w:val="20"/>
              </w:rPr>
              <w:t xml:space="preserve">Distinguir requerimiento de incidente</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Tiempo para resolver excedido</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82</w:t>
            </w:r>
          </w:p>
        </w:tc>
        <w:tc>
          <w:tcPr>
            <w:tcW w:type="dxa" w:w="2000"/>
            <w:tcMar>
              <w:top w:type="dxa" w:w="100"/>
              <w:left w:type="dxa" w:w="120"/>
              <w:bottom w:type="dxa" w:w="100"/>
              <w:right w:type="dxa" w:w="120"/>
            </w:tcMar>
          </w:tcPr>
          <w:p>
            <w:pPr>
              <w:jc w:val="left"/>
            </w:pPr>
            <w:r>
              <w:rPr>
                <w:b w:val="false"/>
                <w:bCs w:val="false"/>
                <w:color w:val="000000"/>
                <w:sz w:val="20"/>
                <w:szCs w:val="20"/>
              </w:rPr>
              <w:t xml:space="preserve">Calcular el cumplimiento del SLA</w:t>
            </w:r>
          </w:p>
        </w:tc>
      </w:tr>
      <w:tr>
        <w:tc>
          <w:tcPr>
            <w:tcW w:type="dxa" w:w="2000"/>
            <w:tcMar>
              <w:top w:type="dxa" w:w="100"/>
              <w:left w:type="dxa" w:w="120"/>
              <w:bottom w:type="dxa" w:w="100"/>
              <w:right w:type="dxa" w:w="120"/>
            </w:tcMar>
          </w:tcPr>
          <w:p>
            <w:pPr>
              <w:jc w:val="left"/>
            </w:pPr>
            <w:r>
              <w:rPr>
                <w:b w:val="false"/>
                <w:bCs w:val="false"/>
                <w:color w:val="000000"/>
                <w:sz w:val="20"/>
                <w:szCs w:val="20"/>
              </w:rPr>
              <w:t xml:space="preserve">Estado · Tipo · Prioridad</w:t>
            </w:r>
          </w:p>
        </w:tc>
        <w:tc>
          <w:tcPr>
            <w:tcW w:type="dxa" w:w="2000"/>
            <w:tcMar>
              <w:top w:type="dxa" w:w="100"/>
              <w:left w:type="dxa" w:w="120"/>
              <w:bottom w:type="dxa" w:w="100"/>
              <w:right w:type="dxa" w:w="120"/>
            </w:tcMar>
          </w:tcPr>
          <w:p>
            <w:pPr>
              <w:jc w:val="center"/>
            </w:pPr>
            <w:r>
              <w:rPr>
                <w:b w:val="false"/>
                <w:bCs w:val="false"/>
                <w:color w:val="000000"/>
                <w:sz w:val="20"/>
                <w:szCs w:val="20"/>
              </w:rPr>
              <w:t xml:space="preserve">12 · 14 · 3</w:t>
            </w:r>
          </w:p>
        </w:tc>
        <w:tc>
          <w:tcPr>
            <w:tcW w:type="dxa" w:w="2000"/>
            <w:tcMar>
              <w:top w:type="dxa" w:w="100"/>
              <w:left w:type="dxa" w:w="120"/>
              <w:bottom w:type="dxa" w:w="100"/>
              <w:right w:type="dxa" w:w="120"/>
            </w:tcMar>
          </w:tcPr>
          <w:p>
            <w:pPr>
              <w:jc w:val="left"/>
            </w:pPr>
            <w:r>
              <w:rPr>
                <w:b w:val="false"/>
                <w:bCs w:val="false"/>
                <w:color w:val="000000"/>
                <w:sz w:val="20"/>
                <w:szCs w:val="20"/>
              </w:rPr>
              <w:t xml:space="preserve">Contexto, no cálculo</w:t>
            </w:r>
          </w:p>
        </w:tc>
      </w:tr>
    </w:tbl>
    <w:p>
      <w:pPr>
        <w:spacing w:after="160" w:line="300"/>
      </w:pPr>
      <w:r>
        <w:rPr>
          <w:sz w:val="21"/>
          <w:szCs w:val="21"/>
        </w:rPr>
        <w:t xml:space="preserve"/>
      </w:r>
    </w:p>
    <w:p>
      <w:pPr>
        <w:pStyle w:val="Heading2"/>
        <w:spacing w:after="120" w:before="260"/>
      </w:pPr>
      <w:r>
        <w:rPr>
          <w:b/>
          <w:bCs/>
          <w:color w:val="2E5A8C"/>
          <w:sz w:val="24"/>
          <w:szCs w:val="24"/>
        </w:rPr>
        <w:t xml:space="preserve">8.4 Caché del navegador — resuelto</w:t>
      </w:r>
    </w:p>
    <w:p>
      <w:pPr>
        <w:spacing w:after="160" w:line="300"/>
      </w:pPr>
      <w:r>
        <w:rPr>
          <w:sz w:val="21"/>
          <w:szCs w:val="21"/>
        </w:rPr>
        <w:t xml:space="preserve">Se detectó y se corrigió durante esta ronda: el HTML completo (no solo el insumo) podía quedar cacheado incluso recargando la misma pestaña. Se agregaron cabeceras Cache-Control: no-cache, no-store, must-revalidate al documento; se reprodujo el problema y se confirmó, dos veces seguidas, que ya no ocurre.</w:t>
      </w:r>
    </w:p>
    <w:p>
      <w:pPr>
        <w:spacing w:after="0" w:before="60"/>
      </w:pPr>
      <w:r>
        <w:rPr>
          <w:b/>
          <w:bCs/>
          <w:sz w:val="21"/>
          <w:szCs w:val="21"/>
        </w:rPr>
        <w:t xml:space="preserve">Defensa de fondo que sigue ahí: </w:t>
      </w:r>
      <w:r>
        <w:rPr>
          <w:i/>
          <w:iCs/>
          <w:color w:val="595959"/>
          <w:sz w:val="21"/>
          <w:szCs w:val="21"/>
        </w:rPr>
        <w:t xml:space="preserve">el aviso de carga automática siempre muestra la fecha de extracción de cada fuente. Si apareciera un insumo viejo por cualquier motivo, la fecha lo delata de inmediato.</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r>
      <w:rPr>
        <w:color w:val="595959"/>
        <w:sz w:val="16"/>
        <w:szCs w:val="16"/>
      </w:rPr>
      <w:t xml:space="preserve"> de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SETI · Automatización GLPI + AlertOps — Plan de cierre y servidor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7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2026-07-28T08:08:48.114Z</dcterms:created>
  <dcterms:modified xsi:type="dcterms:W3CDTF">2026-07-28T08:08:48.119Z</dcterms:modified>
</cp:coreProperties>
</file>

<file path=docProps/custom.xml><?xml version="1.0" encoding="utf-8"?>
<Properties xmlns="http://schemas.openxmlformats.org/officeDocument/2006/custom-properties" xmlns:vt="http://schemas.openxmlformats.org/officeDocument/2006/docPropsVTypes"/>
</file>