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1168BD"/>
          <w:sz w:val="26"/>
        </w:rPr>
        <w:t>PROYECTO DE ARQUITECTURA DISTRIBUIDA</w:t>
      </w:r>
    </w:p>
    <w:p>
      <w:pPr>
        <w:jc w:val="center"/>
      </w:pPr>
      <w:r>
        <w:rPr>
          <w:b/>
          <w:i w:val="0"/>
          <w:color w:val="0B3C5D"/>
          <w:sz w:val="56"/>
        </w:rPr>
        <w:t>Plataforma de Atención de Enfermería</w:t>
      </w:r>
    </w:p>
    <w:p>
      <w:pPr>
        <w:jc w:val="center"/>
      </w:pPr>
      <w:r>
        <w:rPr>
          <w:i w:val="0"/>
          <w:color w:val="0B3C5D"/>
          <w:sz w:val="40"/>
        </w:rPr>
        <w:t>Hospital Medical Health</w:t>
      </w:r>
    </w:p>
    <w:p/>
    <w:p>
      <w:pPr>
        <w:jc w:val="center"/>
      </w:pPr>
      <w:r>
        <w:rPr>
          <w:i/>
          <w:sz w:val="24"/>
        </w:rPr>
        <w:t>Documento de arquitectura: modelo C4, arquitectura en la nube, estimación de costos y justificación de la plataforma</w:t>
      </w:r>
    </w:p>
    <w:p/>
    <w:p/>
    <w:p/>
    <w:p/>
    <w:p>
      <w:pPr>
        <w:jc w:val="center"/>
      </w:pPr>
      <w:r>
        <w:rPr>
          <w:b/>
          <w:i w:val="0"/>
          <w:sz w:val="24"/>
        </w:rPr>
        <w:t>Integrantes del equipo</w:t>
      </w:r>
    </w:p>
    <w:tbl>
      <w:tblPr>
        <w:tblStyle w:val="TableGrid"/>
        <w:tblW w:type="auto" w:w="0"/>
        <w:jc w:val="center"/>
        <w:tblLayout w:type="fixed"/>
        <w:tblLook w:firstColumn="1" w:firstRow="1" w:lastColumn="0" w:lastRow="0" w:noHBand="0" w:noVBand="1" w:val="04A0"/>
      </w:tblPr>
      <w:tblGrid>
        <w:gridCol w:w="3744"/>
        <w:gridCol w:w="5184"/>
      </w:tblGrid>
      <w:tr>
        <w:trPr>
          <w:cantSplit w:val="true"/>
          <w:tblHeader w:val="true"/>
        </w:trPr>
        <w:tc>
          <w:tcPr>
            <w:tcW w:type="dxa" w:w="3744"/>
            <w:shd w:val="clear" w:color="auto" w:fill="0B3C5D"/>
          </w:tcPr>
          <w:p>
            <w:pPr>
              <w:spacing w:after="40" w:before="40" w:line="240" w:lineRule="auto"/>
            </w:pPr>
            <w:r/>
            <w:r>
              <w:rPr>
                <w:b/>
                <w:color w:val="FFFFFF"/>
                <w:sz w:val="21"/>
              </w:rPr>
              <w:t>Integrante</w:t>
            </w:r>
          </w:p>
        </w:tc>
        <w:tc>
          <w:tcPr>
            <w:tcW w:type="dxa" w:w="5184"/>
            <w:shd w:val="clear" w:color="auto" w:fill="0B3C5D"/>
          </w:tcPr>
          <w:p>
            <w:pPr>
              <w:spacing w:after="40" w:before="40" w:line="240" w:lineRule="auto"/>
            </w:pPr>
            <w:r/>
            <w:r>
              <w:rPr>
                <w:b/>
                <w:color w:val="FFFFFF"/>
                <w:sz w:val="21"/>
              </w:rPr>
              <w:t>Rol</w:t>
            </w:r>
          </w:p>
        </w:tc>
      </w:tr>
      <w:tr>
        <w:trPr>
          <w:cantSplit w:val="true"/>
        </w:trPr>
        <w:tc>
          <w:tcPr>
            <w:tcW w:type="dxa" w:w="3744"/>
          </w:tcPr>
          <w:p>
            <w:pPr>
              <w:spacing w:after="40" w:before="40" w:line="240" w:lineRule="auto"/>
            </w:pPr>
            <w:r/>
            <w:r>
              <w:rPr>
                <w:sz w:val="21"/>
              </w:rPr>
              <w:t>Yomaira Pardo Pajaro</w:t>
            </w:r>
          </w:p>
        </w:tc>
        <w:tc>
          <w:tcPr>
            <w:tcW w:type="dxa" w:w="5184"/>
          </w:tcPr>
          <w:p>
            <w:pPr>
              <w:spacing w:after="40" w:before="40" w:line="240" w:lineRule="auto"/>
            </w:pPr>
            <w:r/>
            <w:r>
              <w:rPr>
                <w:sz w:val="21"/>
              </w:rPr>
              <w:t>Arquitecta de soluciones y líder de la presentación</w:t>
            </w:r>
          </w:p>
        </w:tc>
      </w:tr>
      <w:tr>
        <w:trPr>
          <w:cantSplit w:val="true"/>
        </w:trPr>
        <w:tc>
          <w:tcPr>
            <w:tcW w:type="dxa" w:w="3744"/>
            <w:shd w:val="clear" w:color="auto" w:fill="EAF2FB"/>
          </w:tcPr>
          <w:p>
            <w:pPr>
              <w:spacing w:after="40" w:before="40" w:line="240" w:lineRule="auto"/>
            </w:pPr>
            <w:r/>
            <w:r>
              <w:rPr>
                <w:sz w:val="21"/>
              </w:rPr>
              <w:t>Sebastian Aparicio</w:t>
            </w:r>
          </w:p>
        </w:tc>
        <w:tc>
          <w:tcPr>
            <w:tcW w:type="dxa" w:w="5184"/>
            <w:shd w:val="clear" w:color="auto" w:fill="EAF2FB"/>
          </w:tcPr>
          <w:p>
            <w:pPr>
              <w:spacing w:after="40" w:before="40" w:line="240" w:lineRule="auto"/>
            </w:pPr>
            <w:r/>
            <w:r>
              <w:rPr>
                <w:sz w:val="21"/>
              </w:rPr>
              <w:t>Ingeniero cloud, DevOps y seguridad</w:t>
            </w:r>
          </w:p>
        </w:tc>
      </w:tr>
      <w:tr>
        <w:trPr>
          <w:cantSplit w:val="true"/>
        </w:trPr>
        <w:tc>
          <w:tcPr>
            <w:tcW w:type="dxa" w:w="3744"/>
          </w:tcPr>
          <w:p>
            <w:pPr>
              <w:spacing w:after="40" w:before="40" w:line="240" w:lineRule="auto"/>
            </w:pPr>
            <w:r/>
            <w:r>
              <w:rPr>
                <w:sz w:val="21"/>
              </w:rPr>
              <w:t>Liris Castillo</w:t>
            </w:r>
          </w:p>
        </w:tc>
        <w:tc>
          <w:tcPr>
            <w:tcW w:type="dxa" w:w="5184"/>
          </w:tcPr>
          <w:p>
            <w:pPr>
              <w:spacing w:after="40" w:before="40" w:line="240" w:lineRule="auto"/>
            </w:pPr>
            <w:r/>
            <w:r>
              <w:rPr>
                <w:sz w:val="21"/>
              </w:rPr>
              <w:t>Analista de costos (FinOps) y documentación</w:t>
            </w:r>
          </w:p>
        </w:tc>
      </w:tr>
    </w:tbl>
    <w:p/>
    <w:p>
      <w:pPr>
        <w:jc w:val="center"/>
      </w:pPr>
      <w:r>
        <w:rPr>
          <w:i w:val="0"/>
          <w:sz w:val="22"/>
        </w:rPr>
        <w:t>Octubre de 2026</w:t>
      </w:r>
    </w:p>
    <w:p>
      <w:r>
        <w:br w:type="page"/>
      </w:r>
    </w:p>
    <w:p>
      <w:pPr>
        <w:pStyle w:val="Heading1"/>
      </w:pPr>
      <w:r>
        <w:t>Tabla de contenido</w:t>
      </w:r>
    </w:p>
    <w:p>
      <w:pPr>
        <w:tabs>
          <w:tab w:pos="9360" w:val="right" w:leader="dot"/>
        </w:tabs>
        <w:spacing w:after="40"/>
      </w:pPr>
      <w:r>
        <w:rPr>
          <w:b/>
        </w:rPr>
        <w:t>1. Introducción</w:t>
        <w:tab/>
        <w:t>3</w:t>
      </w:r>
    </w:p>
    <w:p>
      <w:pPr>
        <w:tabs>
          <w:tab w:pos="9360" w:val="right" w:leader="dot"/>
        </w:tabs>
        <w:spacing w:after="40"/>
      </w:pPr>
      <w:r>
        <w:rPr>
          <w:b/>
        </w:rPr>
        <w:t>2. Objetivos</w:t>
        <w:tab/>
        <w:t>3</w:t>
      </w:r>
    </w:p>
    <w:p>
      <w:pPr>
        <w:tabs>
          <w:tab w:pos="9360" w:val="right" w:leader="dot"/>
        </w:tabs>
        <w:spacing w:after="40"/>
      </w:pPr>
      <w:r>
        <w:rPr>
          <w:b/>
        </w:rPr>
        <w:t>3. Alcance y supuestos</w:t>
        <w:tab/>
        <w:t>3</w:t>
      </w:r>
    </w:p>
    <w:p>
      <w:pPr>
        <w:tabs>
          <w:tab w:pos="9360" w:val="right" w:leader="dot"/>
        </w:tabs>
        <w:spacing w:after="40"/>
      </w:pPr>
      <w:r>
        <w:rPr>
          <w:b/>
        </w:rPr>
        <w:t>4. Requisitos</w:t>
        <w:tab/>
        <w:t>4</w:t>
      </w:r>
    </w:p>
    <w:p>
      <w:pPr>
        <w:tabs>
          <w:tab w:pos="9360" w:val="right" w:leader="dot"/>
        </w:tabs>
        <w:spacing w:after="40"/>
      </w:pPr>
      <w:r>
        <w:rPr>
          <w:b/>
        </w:rPr>
        <w:t>5. Organización del equipo</w:t>
        <w:tab/>
        <w:t>5</w:t>
      </w:r>
    </w:p>
    <w:p>
      <w:pPr>
        <w:tabs>
          <w:tab w:pos="9360" w:val="right" w:leader="dot"/>
        </w:tabs>
        <w:spacing w:after="40"/>
      </w:pPr>
      <w:r>
        <w:rPr>
          <w:b/>
        </w:rPr>
        <w:t>6. Decisiones de arquitectura</w:t>
        <w:tab/>
        <w:t>5</w:t>
      </w:r>
    </w:p>
    <w:p>
      <w:pPr>
        <w:tabs>
          <w:tab w:pos="9360" w:val="right" w:leader="dot"/>
        </w:tabs>
        <w:spacing w:after="40"/>
      </w:pPr>
      <w:r>
        <w:rPr>
          <w:b/>
        </w:rPr>
        <w:t>7. Modelo C4</w:t>
        <w:tab/>
        <w:t>7</w:t>
      </w:r>
    </w:p>
    <w:p>
      <w:pPr>
        <w:tabs>
          <w:tab w:pos="9360" w:val="right" w:leader="dot"/>
        </w:tabs>
        <w:spacing w:after="40"/>
        <w:ind w:left="432"/>
      </w:pPr>
      <w:r>
        <w:rPr>
          <w:b w:val="0"/>
        </w:rPr>
        <w:t>7.1 Diagrama de contexto</w:t>
        <w:tab/>
        <w:t>7</w:t>
      </w:r>
    </w:p>
    <w:p>
      <w:pPr>
        <w:tabs>
          <w:tab w:pos="9360" w:val="right" w:leader="dot"/>
        </w:tabs>
        <w:spacing w:after="40"/>
        <w:ind w:left="432"/>
      </w:pPr>
      <w:r>
        <w:rPr>
          <w:b w:val="0"/>
        </w:rPr>
        <w:t>7.2 Diagrama de contenedores</w:t>
        <w:tab/>
        <w:t>7</w:t>
      </w:r>
    </w:p>
    <w:p>
      <w:pPr>
        <w:tabs>
          <w:tab w:pos="9360" w:val="right" w:leader="dot"/>
        </w:tabs>
        <w:spacing w:after="40"/>
        <w:ind w:left="432"/>
      </w:pPr>
      <w:r>
        <w:rPr>
          <w:b w:val="0"/>
        </w:rPr>
        <w:t>7.3 Diagramas de componentes</w:t>
        <w:tab/>
        <w:t>8</w:t>
      </w:r>
    </w:p>
    <w:p>
      <w:pPr>
        <w:tabs>
          <w:tab w:pos="9360" w:val="right" w:leader="dot"/>
        </w:tabs>
        <w:spacing w:after="40"/>
        <w:ind w:left="432"/>
      </w:pPr>
      <w:r>
        <w:rPr>
          <w:b w:val="0"/>
        </w:rPr>
        <w:t>7.4 Diagrama de código (opcional)</w:t>
        <w:tab/>
        <w:t>11</w:t>
      </w:r>
    </w:p>
    <w:p>
      <w:pPr>
        <w:tabs>
          <w:tab w:pos="9360" w:val="right" w:leader="dot"/>
        </w:tabs>
        <w:spacing w:after="40"/>
        <w:ind w:left="432"/>
      </w:pPr>
      <w:r>
        <w:rPr>
          <w:b w:val="0"/>
        </w:rPr>
        <w:t>7.5 Flujo de una atención</w:t>
        <w:tab/>
        <w:t>12</w:t>
      </w:r>
    </w:p>
    <w:p>
      <w:pPr>
        <w:tabs>
          <w:tab w:pos="9360" w:val="right" w:leader="dot"/>
        </w:tabs>
        <w:spacing w:after="40"/>
      </w:pPr>
      <w:r>
        <w:rPr>
          <w:b/>
        </w:rPr>
        <w:t>8. Arquitectura en la nube</w:t>
        <w:tab/>
        <w:t>13</w:t>
      </w:r>
    </w:p>
    <w:p>
      <w:pPr>
        <w:tabs>
          <w:tab w:pos="9360" w:val="right" w:leader="dot"/>
        </w:tabs>
        <w:spacing w:after="40"/>
      </w:pPr>
      <w:r>
        <w:rPr>
          <w:b/>
        </w:rPr>
        <w:t>9. Seguridad</w:t>
        <w:tab/>
        <w:t>14</w:t>
      </w:r>
    </w:p>
    <w:p>
      <w:pPr>
        <w:tabs>
          <w:tab w:pos="9360" w:val="right" w:leader="dot"/>
        </w:tabs>
        <w:spacing w:after="40"/>
      </w:pPr>
      <w:r>
        <w:rPr>
          <w:b/>
        </w:rPr>
        <w:t>10. Alta disponibilidad y recuperación</w:t>
        <w:tab/>
        <w:t>14</w:t>
      </w:r>
    </w:p>
    <w:p>
      <w:pPr>
        <w:tabs>
          <w:tab w:pos="9360" w:val="right" w:leader="dot"/>
        </w:tabs>
        <w:spacing w:after="40"/>
      </w:pPr>
      <w:r>
        <w:rPr>
          <w:b/>
        </w:rPr>
        <w:t>11. Escalabilidad</w:t>
        <w:tab/>
        <w:t>15</w:t>
      </w:r>
    </w:p>
    <w:p>
      <w:pPr>
        <w:tabs>
          <w:tab w:pos="9360" w:val="right" w:leader="dot"/>
        </w:tabs>
        <w:spacing w:after="40"/>
      </w:pPr>
      <w:r>
        <w:rPr>
          <w:b/>
        </w:rPr>
        <w:t>12. Monitoreo y logs</w:t>
        <w:tab/>
        <w:t>15</w:t>
      </w:r>
    </w:p>
    <w:p>
      <w:pPr>
        <w:tabs>
          <w:tab w:pos="9360" w:val="right" w:leader="dot"/>
        </w:tabs>
        <w:spacing w:after="40"/>
      </w:pPr>
      <w:r>
        <w:rPr>
          <w:b/>
        </w:rPr>
        <w:t>13. Comparación de plataformas y justificación</w:t>
        <w:tab/>
        <w:t>16</w:t>
      </w:r>
    </w:p>
    <w:p>
      <w:pPr>
        <w:tabs>
          <w:tab w:pos="9360" w:val="right" w:leader="dot"/>
        </w:tabs>
        <w:spacing w:after="40"/>
      </w:pPr>
      <w:r>
        <w:rPr>
          <w:b/>
        </w:rPr>
        <w:t>14. Estimación de costos</w:t>
        <w:tab/>
        <w:t>16</w:t>
      </w:r>
    </w:p>
    <w:p>
      <w:pPr>
        <w:tabs>
          <w:tab w:pos="9360" w:val="right" w:leader="dot"/>
        </w:tabs>
        <w:spacing w:after="40"/>
      </w:pPr>
      <w:r>
        <w:rPr>
          <w:b/>
        </w:rPr>
        <w:t>15. Plan de implementación y cronograma</w:t>
        <w:tab/>
        <w:t>18</w:t>
      </w:r>
    </w:p>
    <w:p>
      <w:pPr>
        <w:tabs>
          <w:tab w:pos="9360" w:val="right" w:leader="dot"/>
        </w:tabs>
        <w:spacing w:after="40"/>
      </w:pPr>
      <w:r>
        <w:rPr>
          <w:b/>
        </w:rPr>
        <w:t>16. Riesgos y mitigaciones</w:t>
        <w:tab/>
        <w:t>18</w:t>
      </w:r>
    </w:p>
    <w:p>
      <w:pPr>
        <w:tabs>
          <w:tab w:pos="9360" w:val="right" w:leader="dot"/>
        </w:tabs>
        <w:spacing w:after="40"/>
      </w:pPr>
      <w:r>
        <w:rPr>
          <w:b/>
        </w:rPr>
        <w:t>17. Conclusiones</w:t>
        <w:tab/>
        <w:t>19</w:t>
      </w:r>
    </w:p>
    <w:p>
      <w:pPr>
        <w:tabs>
          <w:tab w:pos="9360" w:val="right" w:leader="dot"/>
        </w:tabs>
        <w:spacing w:after="40"/>
      </w:pPr>
      <w:r>
        <w:rPr>
          <w:b/>
        </w:rPr>
        <w:t>Referencias</w:t>
        <w:tab/>
        <w:t>19</w:t>
      </w:r>
    </w:p>
    <w:p>
      <w:r>
        <w:br w:type="page"/>
      </w:r>
    </w:p>
    <w:p>
      <w:pPr>
        <w:pStyle w:val="Heading1"/>
      </w:pPr>
      <w:r>
        <w:t>1. Introducción</w:t>
      </w:r>
    </w:p>
    <w:p>
      <w:r>
        <w:rPr>
          <w:i w:val="0"/>
        </w:rPr>
        <w:t>El hospital Medical Health necesita una aplicación para su centro de llamadas de enfermería, en el que más de 250 enfermeras atienden las consultas telefónicas de los pacientes sobre posibles problemas de salud. Durante cada llamada, la enfermera necesita consultar la historia clínica del paciente, evaluar sus síntomas, identificar el centro médico más adecuado y, cuando sea necesario, avisar a ese centro para que reciba al paciente.</w:t>
      </w:r>
    </w:p>
    <w:p>
      <w:r>
        <w:rPr>
          <w:i w:val="0"/>
        </w:rPr>
        <w:t>Este documento describe la arquitectura distribuida propuesta para la Plataforma de Atención de Enfermería, documentada con el modelo C4, desplegada en Microsoft Azure con alta disponibilidad en dos regiones, y acompañada de la estimación de costos, la comparación con AWS y el plan de implementación. En una fase posterior la misma plataforma habilitará un canal de uso directo para los pacientes.</w:t>
      </w:r>
    </w:p>
    <w:p>
      <w:pPr>
        <w:pStyle w:val="Heading1"/>
      </w:pPr>
      <w:r>
        <w:t>2. Objetivos</w:t>
      </w:r>
    </w:p>
    <w:p>
      <w:pPr>
        <w:pStyle w:val="Heading2"/>
      </w:pPr>
      <w:r>
        <w:t>2.1 Objetivo general</w:t>
      </w:r>
    </w:p>
    <w:p>
      <w:r>
        <w:rPr>
          <w:i w:val="0"/>
        </w:rPr>
        <w:t>Diseñar una arquitectura en la nube segura, escalable y disponible 24/7 que soporte la operación del centro de llamadas de enfermería del hospital Medical Health y su crecimiento hacia un canal de atención directa a pacientes.</w:t>
      </w:r>
    </w:p>
    <w:p>
      <w:pPr>
        <w:pStyle w:val="Heading2"/>
      </w:pPr>
      <w:r>
        <w:t>2.2 Objetivos específicos</w:t>
      </w:r>
    </w:p>
    <w:p>
      <w:pPr>
        <w:pStyle w:val="ListBullet"/>
      </w:pPr>
      <w:r>
        <w:t>Documentar la arquitectura con los niveles de contexto, contenedores, componentes y código del modelo C4.</w:t>
      </w:r>
    </w:p>
    <w:p>
      <w:pPr>
        <w:pStyle w:val="ListBullet"/>
      </w:pPr>
      <w:r>
        <w:t>Implementar cada historia de usuario como un microservicio independiente y escalable.</w:t>
      </w:r>
    </w:p>
    <w:p>
      <w:pPr>
        <w:pStyle w:val="ListBullet"/>
      </w:pPr>
      <w:r>
        <w:t>Integrar la autenticación de las enfermeras con el sistema de seguridad centralizado de la compañía mediante OpenID Connect.</w:t>
      </w:r>
    </w:p>
    <w:p>
      <w:pPr>
        <w:pStyle w:val="ListBullet"/>
      </w:pPr>
      <w:r>
        <w:t>Garantizar alta disponibilidad con balanceo de carga, zonas de disponibilidad y failover entre regiones.</w:t>
      </w:r>
    </w:p>
    <w:p>
      <w:pPr>
        <w:pStyle w:val="ListBullet"/>
      </w:pPr>
      <w:r>
        <w:t>Estimar y optimizar el costo mensual de la infraestructura comparando Azure y AWS.</w:t>
      </w:r>
    </w:p>
    <w:p>
      <w:pPr>
        <w:pStyle w:val="ListBullet"/>
      </w:pPr>
      <w:r>
        <w:t>Definir un plan de implementación por fases con un cronograma tentativo.</w:t>
      </w:r>
    </w:p>
    <w:p>
      <w:pPr>
        <w:pStyle w:val="Heading1"/>
      </w:pPr>
      <w:r>
        <w:t>3. Alcance y supuestos</w:t>
      </w:r>
    </w:p>
    <w:p>
      <w:pPr>
        <w:pStyle w:val="ListBullet"/>
      </w:pPr>
      <w:r>
        <w:rPr>
          <w:b/>
        </w:rPr>
        <w:t xml:space="preserve">Usuarios: </w:t>
      </w:r>
      <w:r>
        <w:t>250 enfermeras y 20 supervisoras o administradores; en la fase 2 se agregan pacientes.</w:t>
      </w:r>
    </w:p>
    <w:p>
      <w:pPr>
        <w:pStyle w:val="ListBullet"/>
      </w:pPr>
      <w:r>
        <w:rPr>
          <w:b/>
        </w:rPr>
        <w:t xml:space="preserve">Volumen: </w:t>
      </w:r>
      <w:r>
        <w:t>Aproximadamente 180.000 llamadas al mes, de las cuales el 20% termina en remisión a un centro médico.</w:t>
      </w:r>
    </w:p>
    <w:p>
      <w:pPr>
        <w:pStyle w:val="ListBullet"/>
      </w:pPr>
      <w:r>
        <w:rPr>
          <w:b/>
        </w:rPr>
        <w:t xml:space="preserve">Operación: </w:t>
      </w:r>
      <w:r>
        <w:t>24 horas, 7 días a la semana, con picos en la mañana y la noche.</w:t>
      </w:r>
    </w:p>
    <w:p>
      <w:pPr>
        <w:pStyle w:val="ListBullet"/>
      </w:pPr>
      <w:r>
        <w:rPr>
          <w:b/>
        </w:rPr>
        <w:t xml:space="preserve">Historias clínicas: </w:t>
      </w:r>
      <w:r>
        <w:t>Existen en un sistema del hospital y se sincronizan con un repositorio FHIR.</w:t>
      </w:r>
    </w:p>
    <w:p>
      <w:pPr>
        <w:pStyle w:val="ListBullet"/>
      </w:pPr>
      <w:r>
        <w:rPr>
          <w:b/>
        </w:rPr>
        <w:t xml:space="preserve">Identidad: </w:t>
      </w:r>
      <w:r>
        <w:t>La compañía cuenta con un sistema de seguridad centralizado compatible con OpenID Connect / SAML.</w:t>
      </w:r>
    </w:p>
    <w:p>
      <w:pPr>
        <w:pStyle w:val="ListBullet"/>
      </w:pPr>
      <w:r>
        <w:rPr>
          <w:b/>
        </w:rPr>
        <w:t xml:space="preserve">Fuera de alcance: </w:t>
      </w:r>
      <w:r>
        <w:t>Desarrollo del código fuente, telefonía del centro de llamadas y facturación médica.</w:t>
      </w:r>
    </w:p>
    <w:p>
      <w:pPr>
        <w:pStyle w:val="Heading1"/>
      </w:pPr>
      <w:r>
        <w:t>4. Requisitos</w:t>
      </w:r>
    </w:p>
    <w:p>
      <w:pPr>
        <w:pStyle w:val="Heading2"/>
      </w:pPr>
      <w:r>
        <w:t>4.1 Historias de usuario</w:t>
      </w:r>
    </w:p>
    <w:tbl>
      <w:tblPr>
        <w:tblStyle w:val="TableGrid"/>
        <w:tblW w:type="auto" w:w="0"/>
        <w:jc w:val="center"/>
        <w:tblLayout w:type="fixed"/>
        <w:tblLook w:firstColumn="1" w:firstRow="1" w:lastColumn="0" w:lastRow="0" w:noHBand="0" w:noVBand="1" w:val="04A0"/>
      </w:tblPr>
      <w:tblGrid>
        <w:gridCol w:w="720"/>
        <w:gridCol w:w="2880"/>
        <w:gridCol w:w="2448"/>
        <w:gridCol w:w="3311"/>
      </w:tblGrid>
      <w:tr>
        <w:trPr>
          <w:cantSplit w:val="true"/>
          <w:tblHeader w:val="true"/>
        </w:trPr>
        <w:tc>
          <w:tcPr>
            <w:tcW w:type="dxa" w:w="720"/>
            <w:shd w:val="clear" w:color="auto" w:fill="0B3C5D"/>
          </w:tcPr>
          <w:p>
            <w:pPr>
              <w:spacing w:after="40" w:before="40" w:line="240" w:lineRule="auto"/>
            </w:pPr>
            <w:r/>
            <w:r>
              <w:rPr>
                <w:b/>
                <w:color w:val="FFFFFF"/>
                <w:sz w:val="18"/>
              </w:rPr>
              <w:t>ID</w:t>
            </w:r>
          </w:p>
        </w:tc>
        <w:tc>
          <w:tcPr>
            <w:tcW w:type="dxa" w:w="2880"/>
            <w:shd w:val="clear" w:color="auto" w:fill="0B3C5D"/>
          </w:tcPr>
          <w:p>
            <w:pPr>
              <w:spacing w:after="40" w:before="40" w:line="240" w:lineRule="auto"/>
            </w:pPr>
            <w:r/>
            <w:r>
              <w:rPr>
                <w:b/>
                <w:color w:val="FFFFFF"/>
                <w:sz w:val="18"/>
              </w:rPr>
              <w:t>Historia de usuario</w:t>
            </w:r>
          </w:p>
        </w:tc>
        <w:tc>
          <w:tcPr>
            <w:tcW w:type="dxa" w:w="2448"/>
            <w:shd w:val="clear" w:color="auto" w:fill="0B3C5D"/>
          </w:tcPr>
          <w:p>
            <w:pPr>
              <w:spacing w:after="40" w:before="40" w:line="240" w:lineRule="auto"/>
            </w:pPr>
            <w:r/>
            <w:r>
              <w:rPr>
                <w:b/>
                <w:color w:val="FFFFFF"/>
                <w:sz w:val="18"/>
              </w:rPr>
              <w:t>Solución</w:t>
            </w:r>
          </w:p>
        </w:tc>
        <w:tc>
          <w:tcPr>
            <w:tcW w:type="dxa" w:w="3312"/>
            <w:shd w:val="clear" w:color="auto" w:fill="0B3C5D"/>
          </w:tcPr>
          <w:p>
            <w:pPr>
              <w:spacing w:after="40" w:before="40" w:line="240" w:lineRule="auto"/>
            </w:pPr>
            <w:r/>
            <w:r>
              <w:rPr>
                <w:b/>
                <w:color w:val="FFFFFF"/>
                <w:sz w:val="18"/>
              </w:rPr>
              <w:t>Criterios de aceptación</w:t>
            </w:r>
          </w:p>
        </w:tc>
      </w:tr>
      <w:tr>
        <w:trPr>
          <w:cantSplit w:val="true"/>
        </w:trPr>
        <w:tc>
          <w:tcPr>
            <w:tcW w:type="dxa" w:w="720"/>
          </w:tcPr>
          <w:p>
            <w:pPr>
              <w:spacing w:after="40" w:before="40" w:line="240" w:lineRule="auto"/>
            </w:pPr>
            <w:r/>
            <w:r>
              <w:rPr>
                <w:sz w:val="18"/>
              </w:rPr>
              <w:t>HU01</w:t>
            </w:r>
          </w:p>
        </w:tc>
        <w:tc>
          <w:tcPr>
            <w:tcW w:type="dxa" w:w="2880"/>
          </w:tcPr>
          <w:p>
            <w:pPr>
              <w:spacing w:after="40" w:before="40" w:line="240" w:lineRule="auto"/>
            </w:pPr>
            <w:r/>
            <w:r>
              <w:rPr>
                <w:sz w:val="18"/>
              </w:rPr>
              <w:t>Como enfermera, quiero acceder a la historia clínica de un paciente para conocer su historial médico.</w:t>
            </w:r>
          </w:p>
        </w:tc>
        <w:tc>
          <w:tcPr>
            <w:tcW w:type="dxa" w:w="2448"/>
          </w:tcPr>
          <w:p>
            <w:pPr>
              <w:spacing w:after="40" w:before="40" w:line="240" w:lineRule="auto"/>
            </w:pPr>
            <w:r/>
            <w:r>
              <w:rPr>
                <w:sz w:val="18"/>
              </w:rPr>
              <w:t>Servicio de Historia Clínica + Azure Health Data Services (FHIR)</w:t>
            </w:r>
          </w:p>
        </w:tc>
        <w:tc>
          <w:tcPr>
            <w:tcW w:type="dxa" w:w="3312"/>
          </w:tcPr>
          <w:p>
            <w:pPr>
              <w:spacing w:after="40" w:before="40" w:line="240" w:lineRule="auto"/>
            </w:pPr>
            <w:r/>
            <w:r>
              <w:rPr>
                <w:sz w:val="18"/>
              </w:rPr>
              <w:t>Búsqueda por documento o nombre; resumen con alergias, medicación, diagnósticos y últimas atenciones en menos de 2 segundos; cada consulta queda auditada.</w:t>
            </w:r>
          </w:p>
        </w:tc>
      </w:tr>
      <w:tr>
        <w:trPr>
          <w:cantSplit w:val="true"/>
        </w:trPr>
        <w:tc>
          <w:tcPr>
            <w:tcW w:type="dxa" w:w="720"/>
            <w:shd w:val="clear" w:color="auto" w:fill="EAF2FB"/>
          </w:tcPr>
          <w:p>
            <w:pPr>
              <w:spacing w:after="40" w:before="40" w:line="240" w:lineRule="auto"/>
            </w:pPr>
            <w:r/>
            <w:r>
              <w:rPr>
                <w:sz w:val="18"/>
              </w:rPr>
              <w:t>HU02</w:t>
            </w:r>
          </w:p>
        </w:tc>
        <w:tc>
          <w:tcPr>
            <w:tcW w:type="dxa" w:w="2880"/>
            <w:shd w:val="clear" w:color="auto" w:fill="EAF2FB"/>
          </w:tcPr>
          <w:p>
            <w:pPr>
              <w:spacing w:after="40" w:before="40" w:line="240" w:lineRule="auto"/>
            </w:pPr>
            <w:r/>
            <w:r>
              <w:rPr>
                <w:sz w:val="18"/>
              </w:rPr>
              <w:t>Como enfermera, quiero que la aplicación me asista en el diagnóstico médico según los síntomas para brindar una atención más oportuna.</w:t>
            </w:r>
          </w:p>
        </w:tc>
        <w:tc>
          <w:tcPr>
            <w:tcW w:type="dxa" w:w="2448"/>
            <w:shd w:val="clear" w:color="auto" w:fill="EAF2FB"/>
          </w:tcPr>
          <w:p>
            <w:pPr>
              <w:spacing w:after="40" w:before="40" w:line="240" w:lineRule="auto"/>
            </w:pPr>
            <w:r/>
            <w:r>
              <w:rPr>
                <w:sz w:val="18"/>
              </w:rPr>
              <w:t>Servicio de Asistencia al Diagnóstico + reglas de triaje + Azure OpenAI</w:t>
            </w:r>
          </w:p>
        </w:tc>
        <w:tc>
          <w:tcPr>
            <w:tcW w:type="dxa" w:w="3312"/>
            <w:shd w:val="clear" w:color="auto" w:fill="EAF2FB"/>
          </w:tcPr>
          <w:p>
            <w:pPr>
              <w:spacing w:after="40" w:before="40" w:line="240" w:lineRule="auto"/>
            </w:pPr>
            <w:r/>
            <w:r>
              <w:rPr>
                <w:sz w:val="18"/>
              </w:rPr>
              <w:t>Devuelve nivel de urgencia, signos de alarma y posibles causas; los datos se anonimizan; la decisión final siempre es de la enfermera.</w:t>
            </w:r>
          </w:p>
        </w:tc>
      </w:tr>
      <w:tr>
        <w:trPr>
          <w:cantSplit w:val="true"/>
        </w:trPr>
        <w:tc>
          <w:tcPr>
            <w:tcW w:type="dxa" w:w="720"/>
          </w:tcPr>
          <w:p>
            <w:pPr>
              <w:spacing w:after="40" w:before="40" w:line="240" w:lineRule="auto"/>
            </w:pPr>
            <w:r/>
            <w:r>
              <w:rPr>
                <w:sz w:val="18"/>
              </w:rPr>
              <w:t>HU03</w:t>
            </w:r>
          </w:p>
        </w:tc>
        <w:tc>
          <w:tcPr>
            <w:tcW w:type="dxa" w:w="2880"/>
          </w:tcPr>
          <w:p>
            <w:pPr>
              <w:spacing w:after="40" w:before="40" w:line="240" w:lineRule="auto"/>
            </w:pPr>
            <w:r/>
            <w:r>
              <w:rPr>
                <w:sz w:val="18"/>
              </w:rPr>
              <w:t>Como enfermera, quiero conocer los centros médicos más cercanos a la ubicación del paciente para remitirlo si es necesario.</w:t>
            </w:r>
          </w:p>
        </w:tc>
        <w:tc>
          <w:tcPr>
            <w:tcW w:type="dxa" w:w="2448"/>
          </w:tcPr>
          <w:p>
            <w:pPr>
              <w:spacing w:after="40" w:before="40" w:line="240" w:lineRule="auto"/>
            </w:pPr>
            <w:r/>
            <w:r>
              <w:rPr>
                <w:sz w:val="18"/>
              </w:rPr>
              <w:t>Servicio de Centros Médicos + PostgreSQL/PostGIS + Azure Maps</w:t>
            </w:r>
          </w:p>
        </w:tc>
        <w:tc>
          <w:tcPr>
            <w:tcW w:type="dxa" w:w="3312"/>
          </w:tcPr>
          <w:p>
            <w:pPr>
              <w:spacing w:after="40" w:before="40" w:line="240" w:lineRule="auto"/>
            </w:pPr>
            <w:r/>
            <w:r>
              <w:rPr>
                <w:sz w:val="18"/>
              </w:rPr>
              <w:t>Lista ordenada por tiempo estimado de llegada, filtrable por especialidad y horario de atención.</w:t>
            </w:r>
          </w:p>
        </w:tc>
      </w:tr>
      <w:tr>
        <w:trPr>
          <w:cantSplit w:val="true"/>
        </w:trPr>
        <w:tc>
          <w:tcPr>
            <w:tcW w:type="dxa" w:w="720"/>
            <w:shd w:val="clear" w:color="auto" w:fill="EAF2FB"/>
          </w:tcPr>
          <w:p>
            <w:pPr>
              <w:spacing w:after="40" w:before="40" w:line="240" w:lineRule="auto"/>
            </w:pPr>
            <w:r/>
            <w:r>
              <w:rPr>
                <w:sz w:val="18"/>
              </w:rPr>
              <w:t>HU04</w:t>
            </w:r>
          </w:p>
        </w:tc>
        <w:tc>
          <w:tcPr>
            <w:tcW w:type="dxa" w:w="2880"/>
            <w:shd w:val="clear" w:color="auto" w:fill="EAF2FB"/>
          </w:tcPr>
          <w:p>
            <w:pPr>
              <w:spacing w:after="40" w:before="40" w:line="240" w:lineRule="auto"/>
            </w:pPr>
            <w:r/>
            <w:r>
              <w:rPr>
                <w:sz w:val="18"/>
              </w:rPr>
              <w:t>Como enfermera, quiero contactar al centro médico para informar de la llegada del paciente y ofrecerle una atención oportuna.</w:t>
            </w:r>
          </w:p>
        </w:tc>
        <w:tc>
          <w:tcPr>
            <w:tcW w:type="dxa" w:w="2448"/>
            <w:shd w:val="clear" w:color="auto" w:fill="EAF2FB"/>
          </w:tcPr>
          <w:p>
            <w:pPr>
              <w:spacing w:after="40" w:before="40" w:line="240" w:lineRule="auto"/>
            </w:pPr>
            <w:r/>
            <w:r>
              <w:rPr>
                <w:sz w:val="18"/>
              </w:rPr>
              <w:t>Servicio de Remisión y Notificación + Service Bus + Azure Communication Services</w:t>
            </w:r>
          </w:p>
        </w:tc>
        <w:tc>
          <w:tcPr>
            <w:tcW w:type="dxa" w:w="3312"/>
            <w:shd w:val="clear" w:color="auto" w:fill="EAF2FB"/>
          </w:tcPr>
          <w:p>
            <w:pPr>
              <w:spacing w:after="40" w:before="40" w:line="240" w:lineRule="auto"/>
            </w:pPr>
            <w:r/>
            <w:r>
              <w:rPr>
                <w:sz w:val="18"/>
              </w:rPr>
              <w:t>Aviso por llamada, SMS o correo con datos mínimos del paciente; confirmación de recepción y reintentos automáticos.</w:t>
            </w:r>
          </w:p>
        </w:tc>
      </w:tr>
    </w:tbl>
    <w:p/>
    <w:p>
      <w:pPr>
        <w:pStyle w:val="Heading2"/>
      </w:pPr>
      <w:r>
        <w:t>4.2 Requisitos no funcionales</w:t>
      </w:r>
    </w:p>
    <w:tbl>
      <w:tblPr>
        <w:tblStyle w:val="TableGrid"/>
        <w:tblW w:type="auto" w:w="0"/>
        <w:jc w:val="center"/>
        <w:tblLayout w:type="fixed"/>
        <w:tblLook w:firstColumn="1" w:firstRow="1" w:lastColumn="0" w:lastRow="0" w:noHBand="0" w:noVBand="1" w:val="04A0"/>
      </w:tblPr>
      <w:tblGrid>
        <w:gridCol w:w="1872"/>
        <w:gridCol w:w="3311"/>
        <w:gridCol w:w="4176"/>
      </w:tblGrid>
      <w:tr>
        <w:trPr>
          <w:cantSplit w:val="true"/>
          <w:tblHeader w:val="true"/>
        </w:trPr>
        <w:tc>
          <w:tcPr>
            <w:tcW w:type="dxa" w:w="1872"/>
            <w:shd w:val="clear" w:color="auto" w:fill="0B3C5D"/>
          </w:tcPr>
          <w:p>
            <w:pPr>
              <w:spacing w:after="40" w:before="40" w:line="240" w:lineRule="auto"/>
            </w:pPr>
            <w:r/>
            <w:r>
              <w:rPr>
                <w:b/>
                <w:color w:val="FFFFFF"/>
                <w:sz w:val="18"/>
              </w:rPr>
              <w:t>Atributo</w:t>
            </w:r>
          </w:p>
        </w:tc>
        <w:tc>
          <w:tcPr>
            <w:tcW w:type="dxa" w:w="3312"/>
            <w:shd w:val="clear" w:color="auto" w:fill="0B3C5D"/>
          </w:tcPr>
          <w:p>
            <w:pPr>
              <w:spacing w:after="40" w:before="40" w:line="240" w:lineRule="auto"/>
            </w:pPr>
            <w:r/>
            <w:r>
              <w:rPr>
                <w:b/>
                <w:color w:val="FFFFFF"/>
                <w:sz w:val="18"/>
              </w:rPr>
              <w:t>Meta</w:t>
            </w:r>
          </w:p>
        </w:tc>
        <w:tc>
          <w:tcPr>
            <w:tcW w:type="dxa" w:w="4176"/>
            <w:shd w:val="clear" w:color="auto" w:fill="0B3C5D"/>
          </w:tcPr>
          <w:p>
            <w:pPr>
              <w:spacing w:after="40" w:before="40" w:line="240" w:lineRule="auto"/>
            </w:pPr>
            <w:r/>
            <w:r>
              <w:rPr>
                <w:b/>
                <w:color w:val="FFFFFF"/>
                <w:sz w:val="18"/>
              </w:rPr>
              <w:t>Cómo se cumple</w:t>
            </w:r>
          </w:p>
        </w:tc>
      </w:tr>
      <w:tr>
        <w:trPr>
          <w:cantSplit w:val="true"/>
        </w:trPr>
        <w:tc>
          <w:tcPr>
            <w:tcW w:type="dxa" w:w="1872"/>
          </w:tcPr>
          <w:p>
            <w:pPr>
              <w:spacing w:after="40" w:before="40" w:line="240" w:lineRule="auto"/>
            </w:pPr>
            <w:r/>
            <w:r>
              <w:rPr>
                <w:sz w:val="18"/>
              </w:rPr>
              <w:t>Disponibilidad</w:t>
            </w:r>
          </w:p>
        </w:tc>
        <w:tc>
          <w:tcPr>
            <w:tcW w:type="dxa" w:w="3312"/>
          </w:tcPr>
          <w:p>
            <w:pPr>
              <w:spacing w:after="40" w:before="40" w:line="240" w:lineRule="auto"/>
            </w:pPr>
            <w:r/>
            <w:r>
              <w:rPr>
                <w:sz w:val="18"/>
              </w:rPr>
              <w:t>99,95% mensual, operación 24/7</w:t>
            </w:r>
          </w:p>
        </w:tc>
        <w:tc>
          <w:tcPr>
            <w:tcW w:type="dxa" w:w="4176"/>
          </w:tcPr>
          <w:p>
            <w:pPr>
              <w:spacing w:after="40" w:before="40" w:line="240" w:lineRule="auto"/>
            </w:pPr>
            <w:r/>
            <w:r>
              <w:rPr>
                <w:sz w:val="18"/>
              </w:rPr>
              <w:t>Zonas de disponibilidad, dos regiones activo/pasivo, Front Door con failover</w:t>
            </w:r>
          </w:p>
        </w:tc>
      </w:tr>
      <w:tr>
        <w:trPr>
          <w:cantSplit w:val="true"/>
        </w:trPr>
        <w:tc>
          <w:tcPr>
            <w:tcW w:type="dxa" w:w="1872"/>
            <w:shd w:val="clear" w:color="auto" w:fill="EAF2FB"/>
          </w:tcPr>
          <w:p>
            <w:pPr>
              <w:spacing w:after="40" w:before="40" w:line="240" w:lineRule="auto"/>
            </w:pPr>
            <w:r/>
            <w:r>
              <w:rPr>
                <w:sz w:val="18"/>
              </w:rPr>
              <w:t>Rendimiento</w:t>
            </w:r>
          </w:p>
        </w:tc>
        <w:tc>
          <w:tcPr>
            <w:tcW w:type="dxa" w:w="3312"/>
            <w:shd w:val="clear" w:color="auto" w:fill="EAF2FB"/>
          </w:tcPr>
          <w:p>
            <w:pPr>
              <w:spacing w:after="40" w:before="40" w:line="240" w:lineRule="auto"/>
            </w:pPr>
            <w:r/>
            <w:r>
              <w:rPr>
                <w:sz w:val="18"/>
              </w:rPr>
              <w:t>P95 &lt; 2 s en consultas, &lt; 5 s en triaje</w:t>
            </w:r>
          </w:p>
        </w:tc>
        <w:tc>
          <w:tcPr>
            <w:tcW w:type="dxa" w:w="4176"/>
            <w:shd w:val="clear" w:color="auto" w:fill="EAF2FB"/>
          </w:tcPr>
          <w:p>
            <w:pPr>
              <w:spacing w:after="40" w:before="40" w:line="240" w:lineRule="auto"/>
            </w:pPr>
            <w:r/>
            <w:r>
              <w:rPr>
                <w:sz w:val="18"/>
              </w:rPr>
              <w:t>Caché Redis, autoescalado, consultas FHIR optimizadas</w:t>
            </w:r>
          </w:p>
        </w:tc>
      </w:tr>
      <w:tr>
        <w:trPr>
          <w:cantSplit w:val="true"/>
        </w:trPr>
        <w:tc>
          <w:tcPr>
            <w:tcW w:type="dxa" w:w="1872"/>
          </w:tcPr>
          <w:p>
            <w:pPr>
              <w:spacing w:after="40" w:before="40" w:line="240" w:lineRule="auto"/>
            </w:pPr>
            <w:r/>
            <w:r>
              <w:rPr>
                <w:sz w:val="18"/>
              </w:rPr>
              <w:t>Escalabilidad</w:t>
            </w:r>
          </w:p>
        </w:tc>
        <w:tc>
          <w:tcPr>
            <w:tcW w:type="dxa" w:w="3312"/>
          </w:tcPr>
          <w:p>
            <w:pPr>
              <w:spacing w:after="40" w:before="40" w:line="240" w:lineRule="auto"/>
            </w:pPr>
            <w:r/>
            <w:r>
              <w:rPr>
                <w:sz w:val="18"/>
              </w:rPr>
              <w:t>250+ enfermeras concurrentes y canal de pacientes en fase 2</w:t>
            </w:r>
          </w:p>
        </w:tc>
        <w:tc>
          <w:tcPr>
            <w:tcW w:type="dxa" w:w="4176"/>
          </w:tcPr>
          <w:p>
            <w:pPr>
              <w:spacing w:after="40" w:before="40" w:line="240" w:lineRule="auto"/>
            </w:pPr>
            <w:r/>
            <w:r>
              <w:rPr>
                <w:sz w:val="18"/>
              </w:rPr>
              <w:t>AKS con HPA y Cluster Autoscaler (3 a 12 nodos)</w:t>
            </w:r>
          </w:p>
        </w:tc>
      </w:tr>
      <w:tr>
        <w:trPr>
          <w:cantSplit w:val="true"/>
        </w:trPr>
        <w:tc>
          <w:tcPr>
            <w:tcW w:type="dxa" w:w="1872"/>
            <w:shd w:val="clear" w:color="auto" w:fill="EAF2FB"/>
          </w:tcPr>
          <w:p>
            <w:pPr>
              <w:spacing w:after="40" w:before="40" w:line="240" w:lineRule="auto"/>
            </w:pPr>
            <w:r/>
            <w:r>
              <w:rPr>
                <w:sz w:val="18"/>
              </w:rPr>
              <w:t>Seguridad</w:t>
            </w:r>
          </w:p>
        </w:tc>
        <w:tc>
          <w:tcPr>
            <w:tcW w:type="dxa" w:w="3312"/>
            <w:shd w:val="clear" w:color="auto" w:fill="EAF2FB"/>
          </w:tcPr>
          <w:p>
            <w:pPr>
              <w:spacing w:after="40" w:before="40" w:line="240" w:lineRule="auto"/>
            </w:pPr>
            <w:r/>
            <w:r>
              <w:rPr>
                <w:sz w:val="18"/>
              </w:rPr>
              <w:t>OIDC/OAuth 2.0 contra el sistema corporativo, TLS 1.2+</w:t>
            </w:r>
          </w:p>
        </w:tc>
        <w:tc>
          <w:tcPr>
            <w:tcW w:type="dxa" w:w="4176"/>
            <w:shd w:val="clear" w:color="auto" w:fill="EAF2FB"/>
          </w:tcPr>
          <w:p>
            <w:pPr>
              <w:spacing w:after="40" w:before="40" w:line="240" w:lineRule="auto"/>
            </w:pPr>
            <w:r/>
            <w:r>
              <w:rPr>
                <w:sz w:val="18"/>
              </w:rPr>
              <w:t>Entra ID, API Management, WAF, Private Endpoints, Key Vault</w:t>
            </w:r>
          </w:p>
        </w:tc>
      </w:tr>
      <w:tr>
        <w:trPr>
          <w:cantSplit w:val="true"/>
        </w:trPr>
        <w:tc>
          <w:tcPr>
            <w:tcW w:type="dxa" w:w="1872"/>
          </w:tcPr>
          <w:p>
            <w:pPr>
              <w:spacing w:after="40" w:before="40" w:line="240" w:lineRule="auto"/>
            </w:pPr>
            <w:r/>
            <w:r>
              <w:rPr>
                <w:sz w:val="18"/>
              </w:rPr>
              <w:t>Compatibilidad</w:t>
            </w:r>
          </w:p>
        </w:tc>
        <w:tc>
          <w:tcPr>
            <w:tcW w:type="dxa" w:w="3312"/>
          </w:tcPr>
          <w:p>
            <w:pPr>
              <w:spacing w:after="40" w:before="40" w:line="240" w:lineRule="auto"/>
            </w:pPr>
            <w:r/>
            <w:r>
              <w:rPr>
                <w:sz w:val="18"/>
              </w:rPr>
              <w:t>Windows, Linux y macOS</w:t>
            </w:r>
          </w:p>
        </w:tc>
        <w:tc>
          <w:tcPr>
            <w:tcW w:type="dxa" w:w="4176"/>
          </w:tcPr>
          <w:p>
            <w:pPr>
              <w:spacing w:after="40" w:before="40" w:line="240" w:lineRule="auto"/>
            </w:pPr>
            <w:r/>
            <w:r>
              <w:rPr>
                <w:sz w:val="18"/>
              </w:rPr>
              <w:t>SPA responsiva en React + app de escritorio Electron</w:t>
            </w:r>
          </w:p>
        </w:tc>
      </w:tr>
      <w:tr>
        <w:trPr>
          <w:cantSplit w:val="true"/>
        </w:trPr>
        <w:tc>
          <w:tcPr>
            <w:tcW w:type="dxa" w:w="1872"/>
            <w:shd w:val="clear" w:color="auto" w:fill="EAF2FB"/>
          </w:tcPr>
          <w:p>
            <w:pPr>
              <w:spacing w:after="40" w:before="40" w:line="240" w:lineRule="auto"/>
            </w:pPr>
            <w:r/>
            <w:r>
              <w:rPr>
                <w:sz w:val="18"/>
              </w:rPr>
              <w:t>Observabilidad</w:t>
            </w:r>
          </w:p>
        </w:tc>
        <w:tc>
          <w:tcPr>
            <w:tcW w:type="dxa" w:w="3312"/>
            <w:shd w:val="clear" w:color="auto" w:fill="EAF2FB"/>
          </w:tcPr>
          <w:p>
            <w:pPr>
              <w:spacing w:after="40" w:before="40" w:line="240" w:lineRule="auto"/>
            </w:pPr>
            <w:r/>
            <w:r>
              <w:rPr>
                <w:sz w:val="18"/>
              </w:rPr>
              <w:t>Logs centralizados, métricas y alertas</w:t>
            </w:r>
          </w:p>
        </w:tc>
        <w:tc>
          <w:tcPr>
            <w:tcW w:type="dxa" w:w="4176"/>
            <w:shd w:val="clear" w:color="auto" w:fill="EAF2FB"/>
          </w:tcPr>
          <w:p>
            <w:pPr>
              <w:spacing w:after="40" w:before="40" w:line="240" w:lineRule="auto"/>
            </w:pPr>
            <w:r/>
            <w:r>
              <w:rPr>
                <w:sz w:val="18"/>
              </w:rPr>
              <w:t>Azure Monitor, Log Analytics, App Insights, Prometheus y Grafana</w:t>
            </w:r>
          </w:p>
        </w:tc>
      </w:tr>
      <w:tr>
        <w:trPr>
          <w:cantSplit w:val="true"/>
        </w:trPr>
        <w:tc>
          <w:tcPr>
            <w:tcW w:type="dxa" w:w="1872"/>
          </w:tcPr>
          <w:p>
            <w:pPr>
              <w:spacing w:after="40" w:before="40" w:line="240" w:lineRule="auto"/>
            </w:pPr>
            <w:r/>
            <w:r>
              <w:rPr>
                <w:sz w:val="18"/>
              </w:rPr>
              <w:t>Recuperación</w:t>
            </w:r>
          </w:p>
        </w:tc>
        <w:tc>
          <w:tcPr>
            <w:tcW w:type="dxa" w:w="3312"/>
          </w:tcPr>
          <w:p>
            <w:pPr>
              <w:spacing w:after="40" w:before="40" w:line="240" w:lineRule="auto"/>
            </w:pPr>
            <w:r/>
            <w:r>
              <w:rPr>
                <w:sz w:val="18"/>
              </w:rPr>
              <w:t>RTO ≤ 1 hora, RPO ≤ 5 minutos</w:t>
            </w:r>
          </w:p>
        </w:tc>
        <w:tc>
          <w:tcPr>
            <w:tcW w:type="dxa" w:w="4176"/>
          </w:tcPr>
          <w:p>
            <w:pPr>
              <w:spacing w:after="40" w:before="40" w:line="240" w:lineRule="auto"/>
            </w:pPr>
            <w:r/>
            <w:r>
              <w:rPr>
                <w:sz w:val="18"/>
              </w:rPr>
              <w:t>Réplicas geográficas de BD y almacenamiento, IaC para recrear recursos</w:t>
            </w:r>
          </w:p>
        </w:tc>
      </w:tr>
      <w:tr>
        <w:trPr>
          <w:cantSplit w:val="true"/>
        </w:trPr>
        <w:tc>
          <w:tcPr>
            <w:tcW w:type="dxa" w:w="1872"/>
            <w:shd w:val="clear" w:color="auto" w:fill="EAF2FB"/>
          </w:tcPr>
          <w:p>
            <w:pPr>
              <w:spacing w:after="40" w:before="40" w:line="240" w:lineRule="auto"/>
            </w:pPr>
            <w:r/>
            <w:r>
              <w:rPr>
                <w:sz w:val="18"/>
              </w:rPr>
              <w:t>Cumplimiento</w:t>
            </w:r>
          </w:p>
        </w:tc>
        <w:tc>
          <w:tcPr>
            <w:tcW w:type="dxa" w:w="3312"/>
            <w:shd w:val="clear" w:color="auto" w:fill="EAF2FB"/>
          </w:tcPr>
          <w:p>
            <w:pPr>
              <w:spacing w:after="40" w:before="40" w:line="240" w:lineRule="auto"/>
            </w:pPr>
            <w:r/>
            <w:r>
              <w:rPr>
                <w:sz w:val="18"/>
              </w:rPr>
              <w:t>Protección de datos de salud</w:t>
            </w:r>
          </w:p>
        </w:tc>
        <w:tc>
          <w:tcPr>
            <w:tcW w:type="dxa" w:w="4176"/>
            <w:shd w:val="clear" w:color="auto" w:fill="EAF2FB"/>
          </w:tcPr>
          <w:p>
            <w:pPr>
              <w:spacing w:after="40" w:before="40" w:line="240" w:lineRule="auto"/>
            </w:pPr>
            <w:r/>
            <w:r>
              <w:rPr>
                <w:sz w:val="18"/>
              </w:rPr>
              <w:t>HIPAA (BAA de Microsoft), ISO 27001, cifrado y auditoría de accesos</w:t>
            </w:r>
          </w:p>
        </w:tc>
      </w:tr>
    </w:tbl>
    <w:p/>
    <w:p>
      <w:pPr>
        <w:pStyle w:val="Heading1"/>
      </w:pPr>
      <w:r>
        <w:t>5. Organización del equipo</w:t>
      </w:r>
    </w:p>
    <w:p>
      <w:r>
        <w:rPr>
          <w:i w:val="0"/>
        </w:rPr>
        <w:t>El equipo está conformado por tres integrantes. Cada uno lidera uno o más entregables, pero todas las decisiones se revisan en conjunto.</w:t>
      </w:r>
    </w:p>
    <w:tbl>
      <w:tblPr>
        <w:tblStyle w:val="TableGrid"/>
        <w:tblW w:type="auto" w:w="0"/>
        <w:jc w:val="center"/>
        <w:tblLayout w:type="fixed"/>
        <w:tblLook w:firstColumn="1" w:firstRow="1" w:lastColumn="0" w:lastRow="0" w:noHBand="0" w:noVBand="1" w:val="04A0"/>
      </w:tblPr>
      <w:tblGrid>
        <w:gridCol w:w="2304"/>
        <w:gridCol w:w="2736"/>
        <w:gridCol w:w="4320"/>
      </w:tblGrid>
      <w:tr>
        <w:trPr>
          <w:cantSplit w:val="true"/>
          <w:tblHeader w:val="true"/>
        </w:trPr>
        <w:tc>
          <w:tcPr>
            <w:tcW w:type="dxa" w:w="2304"/>
            <w:shd w:val="clear" w:color="auto" w:fill="0B3C5D"/>
          </w:tcPr>
          <w:p>
            <w:pPr>
              <w:spacing w:after="40" w:before="40" w:line="240" w:lineRule="auto"/>
            </w:pPr>
            <w:r/>
            <w:r>
              <w:rPr>
                <w:b/>
                <w:color w:val="FFFFFF"/>
                <w:sz w:val="19"/>
              </w:rPr>
              <w:t>Integrante</w:t>
            </w:r>
          </w:p>
        </w:tc>
        <w:tc>
          <w:tcPr>
            <w:tcW w:type="dxa" w:w="2736"/>
            <w:shd w:val="clear" w:color="auto" w:fill="0B3C5D"/>
          </w:tcPr>
          <w:p>
            <w:pPr>
              <w:spacing w:after="40" w:before="40" w:line="240" w:lineRule="auto"/>
            </w:pPr>
            <w:r/>
            <w:r>
              <w:rPr>
                <w:b/>
                <w:color w:val="FFFFFF"/>
                <w:sz w:val="19"/>
              </w:rPr>
              <w:t>Rol</w:t>
            </w:r>
          </w:p>
        </w:tc>
        <w:tc>
          <w:tcPr>
            <w:tcW w:type="dxa" w:w="4320"/>
            <w:shd w:val="clear" w:color="auto" w:fill="0B3C5D"/>
          </w:tcPr>
          <w:p>
            <w:pPr>
              <w:spacing w:after="40" w:before="40" w:line="240" w:lineRule="auto"/>
            </w:pPr>
            <w:r/>
            <w:r>
              <w:rPr>
                <w:b/>
                <w:color w:val="FFFFFF"/>
                <w:sz w:val="19"/>
              </w:rPr>
              <w:t>Responsabilidades</w:t>
            </w:r>
          </w:p>
        </w:tc>
      </w:tr>
      <w:tr>
        <w:trPr>
          <w:cantSplit w:val="true"/>
        </w:trPr>
        <w:tc>
          <w:tcPr>
            <w:tcW w:type="dxa" w:w="2304"/>
          </w:tcPr>
          <w:p>
            <w:pPr>
              <w:spacing w:after="40" w:before="40" w:line="240" w:lineRule="auto"/>
            </w:pPr>
            <w:r/>
            <w:r>
              <w:rPr>
                <w:sz w:val="19"/>
              </w:rPr>
              <w:t>Yomaira Pardo Pajaro</w:t>
            </w:r>
          </w:p>
        </w:tc>
        <w:tc>
          <w:tcPr>
            <w:tcW w:type="dxa" w:w="2736"/>
          </w:tcPr>
          <w:p>
            <w:pPr>
              <w:spacing w:after="40" w:before="40" w:line="240" w:lineRule="auto"/>
            </w:pPr>
            <w:r/>
            <w:r>
              <w:rPr>
                <w:sz w:val="19"/>
              </w:rPr>
              <w:t>Arquitecta de soluciones y líder de la presentación</w:t>
            </w:r>
          </w:p>
        </w:tc>
        <w:tc>
          <w:tcPr>
            <w:tcW w:type="dxa" w:w="4320"/>
          </w:tcPr>
          <w:p>
            <w:pPr>
              <w:spacing w:after="40" w:before="40" w:line="240" w:lineRule="auto"/>
            </w:pPr>
            <w:r/>
            <w:r>
              <w:rPr>
                <w:sz w:val="19"/>
              </w:rPr>
              <w:t>Define la arquitectura, elabora los diagramas C4, integra el documento y coordina la presentación.</w:t>
            </w:r>
          </w:p>
        </w:tc>
      </w:tr>
      <w:tr>
        <w:trPr>
          <w:cantSplit w:val="true"/>
        </w:trPr>
        <w:tc>
          <w:tcPr>
            <w:tcW w:type="dxa" w:w="2304"/>
            <w:shd w:val="clear" w:color="auto" w:fill="EAF2FB"/>
          </w:tcPr>
          <w:p>
            <w:pPr>
              <w:spacing w:after="40" w:before="40" w:line="240" w:lineRule="auto"/>
            </w:pPr>
            <w:r/>
            <w:r>
              <w:rPr>
                <w:sz w:val="19"/>
              </w:rPr>
              <w:t>Sebastian Aparicio</w:t>
            </w:r>
          </w:p>
        </w:tc>
        <w:tc>
          <w:tcPr>
            <w:tcW w:type="dxa" w:w="2736"/>
            <w:shd w:val="clear" w:color="auto" w:fill="EAF2FB"/>
          </w:tcPr>
          <w:p>
            <w:pPr>
              <w:spacing w:after="40" w:before="40" w:line="240" w:lineRule="auto"/>
            </w:pPr>
            <w:r/>
            <w:r>
              <w:rPr>
                <w:sz w:val="19"/>
              </w:rPr>
              <w:t>Ingeniero cloud, DevOps y seguridad</w:t>
            </w:r>
          </w:p>
        </w:tc>
        <w:tc>
          <w:tcPr>
            <w:tcW w:type="dxa" w:w="4320"/>
            <w:shd w:val="clear" w:color="auto" w:fill="EAF2FB"/>
          </w:tcPr>
          <w:p>
            <w:pPr>
              <w:spacing w:after="40" w:before="40" w:line="240" w:lineRule="auto"/>
            </w:pPr>
            <w:r/>
            <w:r>
              <w:rPr>
                <w:sz w:val="19"/>
              </w:rPr>
              <w:t>Diseña la infraestructura en Azure, la alta disponibilidad, el CI/CD, la autenticación OIDC y el cumplimiento.</w:t>
            </w:r>
          </w:p>
        </w:tc>
      </w:tr>
      <w:tr>
        <w:trPr>
          <w:cantSplit w:val="true"/>
        </w:trPr>
        <w:tc>
          <w:tcPr>
            <w:tcW w:type="dxa" w:w="2304"/>
          </w:tcPr>
          <w:p>
            <w:pPr>
              <w:spacing w:after="40" w:before="40" w:line="240" w:lineRule="auto"/>
            </w:pPr>
            <w:r/>
            <w:r>
              <w:rPr>
                <w:sz w:val="19"/>
              </w:rPr>
              <w:t>Liris Castillo</w:t>
            </w:r>
          </w:p>
        </w:tc>
        <w:tc>
          <w:tcPr>
            <w:tcW w:type="dxa" w:w="2736"/>
          </w:tcPr>
          <w:p>
            <w:pPr>
              <w:spacing w:after="40" w:before="40" w:line="240" w:lineRule="auto"/>
            </w:pPr>
            <w:r/>
            <w:r>
              <w:rPr>
                <w:sz w:val="19"/>
              </w:rPr>
              <w:t>Analista de costos (FinOps) y documentación</w:t>
            </w:r>
          </w:p>
        </w:tc>
        <w:tc>
          <w:tcPr>
            <w:tcW w:type="dxa" w:w="4320"/>
          </w:tcPr>
          <w:p>
            <w:pPr>
              <w:spacing w:after="40" w:before="40" w:line="240" w:lineRule="auto"/>
            </w:pPr>
            <w:r/>
            <w:r>
              <w:rPr>
                <w:sz w:val="19"/>
              </w:rPr>
              <w:t>Elabora la estimación de costos, la comparación de plataformas y las propuestas de ahorro, y apoya la documentación.</w:t>
            </w:r>
          </w:p>
        </w:tc>
      </w:tr>
    </w:tbl>
    <w:p/>
    <w:p>
      <w:pPr>
        <w:pStyle w:val="Heading1"/>
      </w:pPr>
      <w:r>
        <w:t>6. Decisiones de arquitectura</w:t>
      </w:r>
    </w:p>
    <w:p>
      <w:r>
        <w:rPr>
          <w:i w:val="0"/>
        </w:rPr>
        <w:t>Las decisiones principales se registran como ADR (Architecture Decision Records) cortos: qué se decidió y por qué.</w:t>
      </w:r>
    </w:p>
    <w:p>
      <w:pPr>
        <w:pStyle w:val="Heading3"/>
      </w:pPr>
      <w:r>
        <w:t>ADR-01. Microservicios en Azure Kubernetes Service</w:t>
      </w:r>
    </w:p>
    <w:p>
      <w:r>
        <w:rPr>
          <w:b/>
        </w:rPr>
        <w:t xml:space="preserve">Decisión: </w:t>
      </w:r>
      <w:r>
        <w:t>Cada historia de usuario se implementa como un microservicio independiente con su propio ciclo de despliegue y escalado.</w:t>
      </w:r>
    </w:p>
    <w:p>
      <w:r>
        <w:rPr>
          <w:b/>
        </w:rPr>
        <w:t xml:space="preserve">Justificación: </w:t>
      </w:r>
      <w:r>
        <w:t>Permite escalar el triaje sin escalar el resto, despliegues independientes y aislamiento de fallos. Costo: mayor complejidad operativa, mitigada con AKS administrado.</w:t>
      </w:r>
    </w:p>
    <w:p>
      <w:pPr>
        <w:pStyle w:val="Heading3"/>
      </w:pPr>
      <w:r>
        <w:t>ADR-02. Aplicación web responsiva + Electron</w:t>
      </w:r>
    </w:p>
    <w:p>
      <w:r>
        <w:rPr>
          <w:b/>
        </w:rPr>
        <w:t xml:space="preserve">Decisión: </w:t>
      </w:r>
      <w:r>
        <w:t>Una sola base de código en React sirve al navegador y se empaqueta con Electron para Windows, Linux y macOS.</w:t>
      </w:r>
    </w:p>
    <w:p>
      <w:r>
        <w:rPr>
          <w:b/>
        </w:rPr>
        <w:t xml:space="preserve">Justificación: </w:t>
      </w:r>
      <w:r>
        <w:t>Cumple la compatibilidad multiplataforma sin mantener tres aplicaciones; el canal de pacientes en fase 2 reutiliza componentes.</w:t>
      </w:r>
    </w:p>
    <w:p>
      <w:pPr>
        <w:pStyle w:val="Heading3"/>
      </w:pPr>
      <w:r>
        <w:t>ADR-03. Autenticación OIDC federada con Microsoft Entra ID</w:t>
      </w:r>
    </w:p>
    <w:p>
      <w:r>
        <w:rPr>
          <w:b/>
        </w:rPr>
        <w:t xml:space="preserve">Decisión: </w:t>
      </w:r>
      <w:r>
        <w:t>Las enfermeras inician sesión contra el sistema de seguridad centralizado; Entra ID emite tokens JWT con roles.</w:t>
      </w:r>
    </w:p>
    <w:p>
      <w:r>
        <w:rPr>
          <w:b/>
        </w:rPr>
        <w:t xml:space="preserve">Justificación: </w:t>
      </w:r>
      <w:r>
        <w:t>Estándar abierto (OpenID Connect + OAuth 2.0 con PKCE), MFA y Acceso Condicional sin almacenar contraseñas en la aplicación.</w:t>
      </w:r>
    </w:p>
    <w:p>
      <w:pPr>
        <w:pStyle w:val="Heading3"/>
      </w:pPr>
      <w:r>
        <w:t>ADR-04. Repositorio clínico en HL7 FHIR</w:t>
      </w:r>
    </w:p>
    <w:p>
      <w:r>
        <w:rPr>
          <w:b/>
        </w:rPr>
        <w:t xml:space="preserve">Decisión: </w:t>
      </w:r>
      <w:r>
        <w:t>Las historias clínicas se exponen mediante Azure Health Data Services (FHIR R4).</w:t>
      </w:r>
    </w:p>
    <w:p>
      <w:r>
        <w:rPr>
          <w:b/>
        </w:rPr>
        <w:t xml:space="preserve">Justificación: </w:t>
      </w:r>
      <w:r>
        <w:t>Interoperabilidad con sistemas hospitalarios, modelo de datos estándar y cumplimiento de salud administrado por Azure.</w:t>
      </w:r>
    </w:p>
    <w:p>
      <w:pPr>
        <w:pStyle w:val="Heading3"/>
      </w:pPr>
      <w:r>
        <w:t>ADR-05. Comunicación asíncrona por eventos</w:t>
      </w:r>
    </w:p>
    <w:p>
      <w:r>
        <w:rPr>
          <w:b/>
        </w:rPr>
        <w:t xml:space="preserve">Decisión: </w:t>
      </w:r>
      <w:r>
        <w:t>Las remisiones y la auditoría se publican en Azure Service Bus.</w:t>
      </w:r>
    </w:p>
    <w:p>
      <w:r>
        <w:rPr>
          <w:b/>
        </w:rPr>
        <w:t xml:space="preserve">Justificación: </w:t>
      </w:r>
      <w:r>
        <w:t>Desacopla servicios, permite reintentos y evita perder avisos si el centro médico o el proveedor de SMS no responde.</w:t>
      </w:r>
    </w:p>
    <w:p>
      <w:pPr>
        <w:pStyle w:val="Heading3"/>
      </w:pPr>
      <w:r>
        <w:t>ADR-06. Alta disponibilidad activo/pasivo en dos regiones</w:t>
      </w:r>
    </w:p>
    <w:p>
      <w:r>
        <w:rPr>
          <w:b/>
        </w:rPr>
        <w:t xml:space="preserve">Decisión: </w:t>
      </w:r>
      <w:r>
        <w:t>East US 2 atiende el tráfico; Central US mantiene réplicas y capacidad mínima lista para escalar.</w:t>
      </w:r>
    </w:p>
    <w:p>
      <w:r>
        <w:rPr>
          <w:b/>
        </w:rPr>
        <w:t xml:space="preserve">Justificación: </w:t>
      </w:r>
      <w:r>
        <w:t>Balance entre costo y resiliencia: un activo/activo duplicaría el cómputo y la base de datos.</w:t>
      </w:r>
    </w:p>
    <w:p>
      <w:pPr>
        <w:pStyle w:val="Heading3"/>
      </w:pPr>
      <w:r>
        <w:t>ADR-07. Asistente de diagnóstico con supervisión humana</w:t>
      </w:r>
    </w:p>
    <w:p>
      <w:r>
        <w:rPr>
          <w:b/>
        </w:rPr>
        <w:t xml:space="preserve">Decisión: </w:t>
      </w:r>
      <w:r>
        <w:t>Reglas clínicas deterministas + modelo de lenguaje con datos anonimizados; la enfermera valida siempre.</w:t>
      </w:r>
    </w:p>
    <w:p>
      <w:r>
        <w:rPr>
          <w:b/>
        </w:rPr>
        <w:t xml:space="preserve">Justificación: </w:t>
      </w:r>
      <w:r>
        <w:t>Reduce el riesgo clínico, mantiene trazabilidad y evita enviar datos personales al modelo.</w:t>
      </w:r>
    </w:p>
    <w:p>
      <w:r>
        <w:br w:type="page"/>
      </w:r>
    </w:p>
    <w:p>
      <w:pPr>
        <w:pStyle w:val="Heading1"/>
      </w:pPr>
      <w:r>
        <w:t>7. Modelo C4</w:t>
      </w:r>
    </w:p>
    <w:p>
      <w:r>
        <w:rPr>
          <w:i w:val="0"/>
        </w:rPr>
        <w:t>El modelo C4 describe la arquitectura en cuatro niveles de detalle: contexto, contenedores, componentes y código. Las fuentes de todos los diagramas están en la carpeta diagramas/ del repositorio en formato Mermaid, de modo que pueden versionarse y editarse como código.</w:t>
      </w:r>
    </w:p>
    <w:p>
      <w:pPr>
        <w:pStyle w:val="Heading2"/>
      </w:pPr>
      <w:r>
        <w:t>7.1 Diagrama de contexto</w:t>
      </w:r>
    </w:p>
    <w:p>
      <w:r>
        <w:rPr>
          <w:i w:val="0"/>
        </w:rPr>
        <w:t>Muestra la plataforma como una caja negra, las personas que la usan y los sistemas externos con los que se integra.</w:t>
      </w:r>
    </w:p>
    <w:p>
      <w:pPr>
        <w:jc w:val="center"/>
      </w:pPr>
      <w:r>
        <w:drawing>
          <wp:inline xmlns:a="http://schemas.openxmlformats.org/drawingml/2006/main" xmlns:pic="http://schemas.openxmlformats.org/drawingml/2006/picture">
            <wp:extent cx="5943600" cy="2145458"/>
            <wp:docPr id="1" name="Picture 1"/>
            <wp:cNvGraphicFramePr>
              <a:graphicFrameLocks noChangeAspect="1"/>
            </wp:cNvGraphicFramePr>
            <a:graphic>
              <a:graphicData uri="http://schemas.openxmlformats.org/drawingml/2006/picture">
                <pic:pic>
                  <pic:nvPicPr>
                    <pic:cNvPr id="0" name="01-contexto.png"/>
                    <pic:cNvPicPr/>
                  </pic:nvPicPr>
                  <pic:blipFill>
                    <a:blip r:embed="rId10"/>
                    <a:stretch>
                      <a:fillRect/>
                    </a:stretch>
                  </pic:blipFill>
                  <pic:spPr>
                    <a:xfrm>
                      <a:off x="0" y="0"/>
                      <a:ext cx="5943600" cy="2145458"/>
                    </a:xfrm>
                    <a:prstGeom prst="rect"/>
                  </pic:spPr>
                </pic:pic>
              </a:graphicData>
            </a:graphic>
          </wp:inline>
        </w:drawing>
      </w:r>
    </w:p>
    <w:p>
      <w:pPr>
        <w:jc w:val="center"/>
      </w:pPr>
      <w:r>
        <w:rPr>
          <w:i/>
          <w:sz w:val="18"/>
        </w:rPr>
        <w:t>Figura 1. Diagrama de contexto.</w:t>
      </w:r>
    </w:p>
    <w:tbl>
      <w:tblPr>
        <w:tblStyle w:val="TableGrid"/>
        <w:tblW w:type="auto" w:w="0"/>
        <w:jc w:val="center"/>
        <w:tblLayout w:type="fixed"/>
        <w:tblLook w:firstColumn="1" w:firstRow="1" w:lastColumn="0" w:lastRow="0" w:noHBand="0" w:noVBand="1" w:val="04A0"/>
      </w:tblPr>
      <w:tblGrid>
        <w:gridCol w:w="2880"/>
        <w:gridCol w:w="1296"/>
        <w:gridCol w:w="5184"/>
      </w:tblGrid>
      <w:tr>
        <w:trPr>
          <w:cantSplit w:val="true"/>
          <w:tblHeader w:val="true"/>
        </w:trPr>
        <w:tc>
          <w:tcPr>
            <w:tcW w:type="dxa" w:w="2880"/>
            <w:shd w:val="clear" w:color="auto" w:fill="0B3C5D"/>
          </w:tcPr>
          <w:p>
            <w:pPr>
              <w:spacing w:after="40" w:before="40" w:line="240" w:lineRule="auto"/>
            </w:pPr>
            <w:r/>
            <w:r>
              <w:rPr>
                <w:b/>
                <w:color w:val="FFFFFF"/>
                <w:sz w:val="18"/>
              </w:rPr>
              <w:t>Elemento</w:t>
            </w:r>
          </w:p>
        </w:tc>
        <w:tc>
          <w:tcPr>
            <w:tcW w:type="dxa" w:w="1296"/>
            <w:shd w:val="clear" w:color="auto" w:fill="0B3C5D"/>
          </w:tcPr>
          <w:p>
            <w:pPr>
              <w:spacing w:after="40" w:before="40" w:line="240" w:lineRule="auto"/>
            </w:pPr>
            <w:r/>
            <w:r>
              <w:rPr>
                <w:b/>
                <w:color w:val="FFFFFF"/>
                <w:sz w:val="18"/>
              </w:rPr>
              <w:t>Tipo</w:t>
            </w:r>
          </w:p>
        </w:tc>
        <w:tc>
          <w:tcPr>
            <w:tcW w:type="dxa" w:w="5184"/>
            <w:shd w:val="clear" w:color="auto" w:fill="0B3C5D"/>
          </w:tcPr>
          <w:p>
            <w:pPr>
              <w:spacing w:after="40" w:before="40" w:line="240" w:lineRule="auto"/>
            </w:pPr>
            <w:r/>
            <w:r>
              <w:rPr>
                <w:b/>
                <w:color w:val="FFFFFF"/>
                <w:sz w:val="18"/>
              </w:rPr>
              <w:t>Descripción</w:t>
            </w:r>
          </w:p>
        </w:tc>
      </w:tr>
      <w:tr>
        <w:trPr>
          <w:cantSplit w:val="true"/>
        </w:trPr>
        <w:tc>
          <w:tcPr>
            <w:tcW w:type="dxa" w:w="2880"/>
          </w:tcPr>
          <w:p>
            <w:pPr>
              <w:spacing w:after="40" w:before="40" w:line="240" w:lineRule="auto"/>
            </w:pPr>
            <w:r/>
            <w:r>
              <w:rPr>
                <w:sz w:val="18"/>
              </w:rPr>
              <w:t>Enfermera</w:t>
            </w:r>
          </w:p>
        </w:tc>
        <w:tc>
          <w:tcPr>
            <w:tcW w:type="dxa" w:w="1296"/>
          </w:tcPr>
          <w:p>
            <w:pPr>
              <w:spacing w:after="40" w:before="40" w:line="240" w:lineRule="auto"/>
            </w:pPr>
            <w:r/>
            <w:r>
              <w:rPr>
                <w:sz w:val="18"/>
              </w:rPr>
              <w:t>Persona</w:t>
            </w:r>
          </w:p>
        </w:tc>
        <w:tc>
          <w:tcPr>
            <w:tcW w:type="dxa" w:w="5184"/>
          </w:tcPr>
          <w:p>
            <w:pPr>
              <w:spacing w:after="40" w:before="40" w:line="240" w:lineRule="auto"/>
            </w:pPr>
            <w:r/>
            <w:r>
              <w:rPr>
                <w:sz w:val="18"/>
              </w:rPr>
              <w:t>Atiende llamadas, consulta historias, realiza el triaje y gestiona remisiones.</w:t>
            </w:r>
          </w:p>
        </w:tc>
      </w:tr>
      <w:tr>
        <w:trPr>
          <w:cantSplit w:val="true"/>
        </w:trPr>
        <w:tc>
          <w:tcPr>
            <w:tcW w:type="dxa" w:w="2880"/>
            <w:shd w:val="clear" w:color="auto" w:fill="EAF2FB"/>
          </w:tcPr>
          <w:p>
            <w:pPr>
              <w:spacing w:after="40" w:before="40" w:line="240" w:lineRule="auto"/>
            </w:pPr>
            <w:r/>
            <w:r>
              <w:rPr>
                <w:sz w:val="18"/>
              </w:rPr>
              <w:t>Supervisora</w:t>
            </w:r>
          </w:p>
        </w:tc>
        <w:tc>
          <w:tcPr>
            <w:tcW w:type="dxa" w:w="1296"/>
            <w:shd w:val="clear" w:color="auto" w:fill="EAF2FB"/>
          </w:tcPr>
          <w:p>
            <w:pPr>
              <w:spacing w:after="40" w:before="40" w:line="240" w:lineRule="auto"/>
            </w:pPr>
            <w:r/>
            <w:r>
              <w:rPr>
                <w:sz w:val="18"/>
              </w:rPr>
              <w:t>Persona</w:t>
            </w:r>
          </w:p>
        </w:tc>
        <w:tc>
          <w:tcPr>
            <w:tcW w:type="dxa" w:w="5184"/>
            <w:shd w:val="clear" w:color="auto" w:fill="EAF2FB"/>
          </w:tcPr>
          <w:p>
            <w:pPr>
              <w:spacing w:after="40" w:before="40" w:line="240" w:lineRule="auto"/>
            </w:pPr>
            <w:r/>
            <w:r>
              <w:rPr>
                <w:sz w:val="18"/>
              </w:rPr>
              <w:t>Monitorea casos, turnos e indicadores del centro de llamadas.</w:t>
            </w:r>
          </w:p>
        </w:tc>
      </w:tr>
      <w:tr>
        <w:trPr>
          <w:cantSplit w:val="true"/>
        </w:trPr>
        <w:tc>
          <w:tcPr>
            <w:tcW w:type="dxa" w:w="2880"/>
          </w:tcPr>
          <w:p>
            <w:pPr>
              <w:spacing w:after="40" w:before="40" w:line="240" w:lineRule="auto"/>
            </w:pPr>
            <w:r/>
            <w:r>
              <w:rPr>
                <w:sz w:val="18"/>
              </w:rPr>
              <w:t>Paciente</w:t>
            </w:r>
          </w:p>
        </w:tc>
        <w:tc>
          <w:tcPr>
            <w:tcW w:type="dxa" w:w="1296"/>
          </w:tcPr>
          <w:p>
            <w:pPr>
              <w:spacing w:after="40" w:before="40" w:line="240" w:lineRule="auto"/>
            </w:pPr>
            <w:r/>
            <w:r>
              <w:rPr>
                <w:sz w:val="18"/>
              </w:rPr>
              <w:t>Persona</w:t>
            </w:r>
          </w:p>
        </w:tc>
        <w:tc>
          <w:tcPr>
            <w:tcW w:type="dxa" w:w="5184"/>
          </w:tcPr>
          <w:p>
            <w:pPr>
              <w:spacing w:after="40" w:before="40" w:line="240" w:lineRule="auto"/>
            </w:pPr>
            <w:r/>
            <w:r>
              <w:rPr>
                <w:sz w:val="18"/>
              </w:rPr>
              <w:t>Llama al centro; en la fase 2 usará la aplicación directamente.</w:t>
            </w:r>
          </w:p>
        </w:tc>
      </w:tr>
      <w:tr>
        <w:trPr>
          <w:cantSplit w:val="true"/>
        </w:trPr>
        <w:tc>
          <w:tcPr>
            <w:tcW w:type="dxa" w:w="2880"/>
            <w:shd w:val="clear" w:color="auto" w:fill="EAF2FB"/>
          </w:tcPr>
          <w:p>
            <w:pPr>
              <w:spacing w:after="40" w:before="40" w:line="240" w:lineRule="auto"/>
            </w:pPr>
            <w:r/>
            <w:r>
              <w:rPr>
                <w:sz w:val="18"/>
              </w:rPr>
              <w:t>Sistema de Seguridad Centralizado</w:t>
            </w:r>
          </w:p>
        </w:tc>
        <w:tc>
          <w:tcPr>
            <w:tcW w:type="dxa" w:w="1296"/>
            <w:shd w:val="clear" w:color="auto" w:fill="EAF2FB"/>
          </w:tcPr>
          <w:p>
            <w:pPr>
              <w:spacing w:after="40" w:before="40" w:line="240" w:lineRule="auto"/>
            </w:pPr>
            <w:r/>
            <w:r>
              <w:rPr>
                <w:sz w:val="18"/>
              </w:rPr>
              <w:t>Externo</w:t>
            </w:r>
          </w:p>
        </w:tc>
        <w:tc>
          <w:tcPr>
            <w:tcW w:type="dxa" w:w="5184"/>
            <w:shd w:val="clear" w:color="auto" w:fill="EAF2FB"/>
          </w:tcPr>
          <w:p>
            <w:pPr>
              <w:spacing w:after="40" w:before="40" w:line="240" w:lineRule="auto"/>
            </w:pPr>
            <w:r/>
            <w:r>
              <w:rPr>
                <w:sz w:val="18"/>
              </w:rPr>
              <w:t>Proveedor de identidad corporativo (OIDC / OAuth 2.0).</w:t>
            </w:r>
          </w:p>
        </w:tc>
      </w:tr>
      <w:tr>
        <w:trPr>
          <w:cantSplit w:val="true"/>
        </w:trPr>
        <w:tc>
          <w:tcPr>
            <w:tcW w:type="dxa" w:w="2880"/>
          </w:tcPr>
          <w:p>
            <w:pPr>
              <w:spacing w:after="40" w:before="40" w:line="240" w:lineRule="auto"/>
            </w:pPr>
            <w:r/>
            <w:r>
              <w:rPr>
                <w:sz w:val="18"/>
              </w:rPr>
              <w:t>Sistema de Historias Clínicas</w:t>
            </w:r>
          </w:p>
        </w:tc>
        <w:tc>
          <w:tcPr>
            <w:tcW w:type="dxa" w:w="1296"/>
          </w:tcPr>
          <w:p>
            <w:pPr>
              <w:spacing w:after="40" w:before="40" w:line="240" w:lineRule="auto"/>
            </w:pPr>
            <w:r/>
            <w:r>
              <w:rPr>
                <w:sz w:val="18"/>
              </w:rPr>
              <w:t>Externo</w:t>
            </w:r>
          </w:p>
        </w:tc>
        <w:tc>
          <w:tcPr>
            <w:tcW w:type="dxa" w:w="5184"/>
          </w:tcPr>
          <w:p>
            <w:pPr>
              <w:spacing w:after="40" w:before="40" w:line="240" w:lineRule="auto"/>
            </w:pPr>
            <w:r/>
            <w:r>
              <w:rPr>
                <w:sz w:val="18"/>
              </w:rPr>
              <w:t>Fuente de las historias clínicas del hospital en HL7 FHIR.</w:t>
            </w:r>
          </w:p>
        </w:tc>
      </w:tr>
      <w:tr>
        <w:trPr>
          <w:cantSplit w:val="true"/>
        </w:trPr>
        <w:tc>
          <w:tcPr>
            <w:tcW w:type="dxa" w:w="2880"/>
            <w:shd w:val="clear" w:color="auto" w:fill="EAF2FB"/>
          </w:tcPr>
          <w:p>
            <w:pPr>
              <w:spacing w:after="40" w:before="40" w:line="240" w:lineRule="auto"/>
            </w:pPr>
            <w:r/>
            <w:r>
              <w:rPr>
                <w:sz w:val="18"/>
              </w:rPr>
              <w:t>Motor de Apoyo al Diagnóstico</w:t>
            </w:r>
          </w:p>
        </w:tc>
        <w:tc>
          <w:tcPr>
            <w:tcW w:type="dxa" w:w="1296"/>
            <w:shd w:val="clear" w:color="auto" w:fill="EAF2FB"/>
          </w:tcPr>
          <w:p>
            <w:pPr>
              <w:spacing w:after="40" w:before="40" w:line="240" w:lineRule="auto"/>
            </w:pPr>
            <w:r/>
            <w:r>
              <w:rPr>
                <w:sz w:val="18"/>
              </w:rPr>
              <w:t>Externo</w:t>
            </w:r>
          </w:p>
        </w:tc>
        <w:tc>
          <w:tcPr>
            <w:tcW w:type="dxa" w:w="5184"/>
            <w:shd w:val="clear" w:color="auto" w:fill="EAF2FB"/>
          </w:tcPr>
          <w:p>
            <w:pPr>
              <w:spacing w:after="40" w:before="40" w:line="240" w:lineRule="auto"/>
            </w:pPr>
            <w:r/>
            <w:r>
              <w:rPr>
                <w:sz w:val="18"/>
              </w:rPr>
              <w:t>Modelo de lenguaje administrado que sugiere posibles causas.</w:t>
            </w:r>
          </w:p>
        </w:tc>
      </w:tr>
      <w:tr>
        <w:trPr>
          <w:cantSplit w:val="true"/>
        </w:trPr>
        <w:tc>
          <w:tcPr>
            <w:tcW w:type="dxa" w:w="2880"/>
          </w:tcPr>
          <w:p>
            <w:pPr>
              <w:spacing w:after="40" w:before="40" w:line="240" w:lineRule="auto"/>
            </w:pPr>
            <w:r/>
            <w:r>
              <w:rPr>
                <w:sz w:val="18"/>
              </w:rPr>
              <w:t>Servicio de Mapas</w:t>
            </w:r>
          </w:p>
        </w:tc>
        <w:tc>
          <w:tcPr>
            <w:tcW w:type="dxa" w:w="1296"/>
          </w:tcPr>
          <w:p>
            <w:pPr>
              <w:spacing w:after="40" w:before="40" w:line="240" w:lineRule="auto"/>
            </w:pPr>
            <w:r/>
            <w:r>
              <w:rPr>
                <w:sz w:val="18"/>
              </w:rPr>
              <w:t>Externo</w:t>
            </w:r>
          </w:p>
        </w:tc>
        <w:tc>
          <w:tcPr>
            <w:tcW w:type="dxa" w:w="5184"/>
          </w:tcPr>
          <w:p>
            <w:pPr>
              <w:spacing w:after="40" w:before="40" w:line="240" w:lineRule="auto"/>
            </w:pPr>
            <w:r/>
            <w:r>
              <w:rPr>
                <w:sz w:val="18"/>
              </w:rPr>
              <w:t>Geocodificación, distancias y tiempos de llegada.</w:t>
            </w:r>
          </w:p>
        </w:tc>
      </w:tr>
      <w:tr>
        <w:trPr>
          <w:cantSplit w:val="true"/>
        </w:trPr>
        <w:tc>
          <w:tcPr>
            <w:tcW w:type="dxa" w:w="2880"/>
            <w:shd w:val="clear" w:color="auto" w:fill="EAF2FB"/>
          </w:tcPr>
          <w:p>
            <w:pPr>
              <w:spacing w:after="40" w:before="40" w:line="240" w:lineRule="auto"/>
            </w:pPr>
            <w:r/>
            <w:r>
              <w:rPr>
                <w:sz w:val="18"/>
              </w:rPr>
              <w:t>Servicio de Comunicaciones</w:t>
            </w:r>
          </w:p>
        </w:tc>
        <w:tc>
          <w:tcPr>
            <w:tcW w:type="dxa" w:w="1296"/>
            <w:shd w:val="clear" w:color="auto" w:fill="EAF2FB"/>
          </w:tcPr>
          <w:p>
            <w:pPr>
              <w:spacing w:after="40" w:before="40" w:line="240" w:lineRule="auto"/>
            </w:pPr>
            <w:r/>
            <w:r>
              <w:rPr>
                <w:sz w:val="18"/>
              </w:rPr>
              <w:t>Externo</w:t>
            </w:r>
          </w:p>
        </w:tc>
        <w:tc>
          <w:tcPr>
            <w:tcW w:type="dxa" w:w="5184"/>
            <w:shd w:val="clear" w:color="auto" w:fill="EAF2FB"/>
          </w:tcPr>
          <w:p>
            <w:pPr>
              <w:spacing w:after="40" w:before="40" w:line="240" w:lineRule="auto"/>
            </w:pPr>
            <w:r/>
            <w:r>
              <w:rPr>
                <w:sz w:val="18"/>
              </w:rPr>
              <w:t>Llamadas, SMS y correos para avisar a los centros médicos.</w:t>
            </w:r>
          </w:p>
        </w:tc>
      </w:tr>
      <w:tr>
        <w:trPr>
          <w:cantSplit w:val="true"/>
        </w:trPr>
        <w:tc>
          <w:tcPr>
            <w:tcW w:type="dxa" w:w="2880"/>
          </w:tcPr>
          <w:p>
            <w:pPr>
              <w:spacing w:after="40" w:before="40" w:line="240" w:lineRule="auto"/>
            </w:pPr>
            <w:r/>
            <w:r>
              <w:rPr>
                <w:sz w:val="18"/>
              </w:rPr>
              <w:t>Centros Médicos de la Red</w:t>
            </w:r>
          </w:p>
        </w:tc>
        <w:tc>
          <w:tcPr>
            <w:tcW w:type="dxa" w:w="1296"/>
          </w:tcPr>
          <w:p>
            <w:pPr>
              <w:spacing w:after="40" w:before="40" w:line="240" w:lineRule="auto"/>
            </w:pPr>
            <w:r/>
            <w:r>
              <w:rPr>
                <w:sz w:val="18"/>
              </w:rPr>
              <w:t>Externo</w:t>
            </w:r>
          </w:p>
        </w:tc>
        <w:tc>
          <w:tcPr>
            <w:tcW w:type="dxa" w:w="5184"/>
          </w:tcPr>
          <w:p>
            <w:pPr>
              <w:spacing w:after="40" w:before="40" w:line="240" w:lineRule="auto"/>
            </w:pPr>
            <w:r/>
            <w:r>
              <w:rPr>
                <w:sz w:val="18"/>
              </w:rPr>
              <w:t>Reciben a los pacientes remitidos.</w:t>
            </w:r>
          </w:p>
        </w:tc>
      </w:tr>
    </w:tbl>
    <w:p/>
    <w:p>
      <w:pPr>
        <w:pStyle w:val="Heading2"/>
      </w:pPr>
      <w:r>
        <w:t>7.2 Diagrama de contenedores</w:t>
      </w:r>
    </w:p>
    <w:p>
      <w:r>
        <w:rPr>
          <w:i w:val="0"/>
        </w:rPr>
        <w:t>Detalla las aplicaciones, servicios y almacenes de datos que componen la plataforma. Cada historia de usuario es un microservicio independiente con su propia base de datos o repositorio, comunicado a través del API Gateway y del bus de eventos.</w:t>
      </w:r>
    </w:p>
    <w:p>
      <w:pPr>
        <w:jc w:val="center"/>
      </w:pPr>
      <w:r>
        <w:drawing>
          <wp:inline xmlns:a="http://schemas.openxmlformats.org/drawingml/2006/main" xmlns:pic="http://schemas.openxmlformats.org/drawingml/2006/picture">
            <wp:extent cx="5943600" cy="2751947"/>
            <wp:docPr id="2" name="Picture 2"/>
            <wp:cNvGraphicFramePr>
              <a:graphicFrameLocks noChangeAspect="1"/>
            </wp:cNvGraphicFramePr>
            <a:graphic>
              <a:graphicData uri="http://schemas.openxmlformats.org/drawingml/2006/picture">
                <pic:pic>
                  <pic:nvPicPr>
                    <pic:cNvPr id="0" name="02-contenedores.png"/>
                    <pic:cNvPicPr/>
                  </pic:nvPicPr>
                  <pic:blipFill>
                    <a:blip r:embed="rId11"/>
                    <a:stretch>
                      <a:fillRect/>
                    </a:stretch>
                  </pic:blipFill>
                  <pic:spPr>
                    <a:xfrm>
                      <a:off x="0" y="0"/>
                      <a:ext cx="5943600" cy="2751947"/>
                    </a:xfrm>
                    <a:prstGeom prst="rect"/>
                  </pic:spPr>
                </pic:pic>
              </a:graphicData>
            </a:graphic>
          </wp:inline>
        </w:drawing>
      </w:r>
    </w:p>
    <w:p>
      <w:pPr>
        <w:jc w:val="center"/>
      </w:pPr>
      <w:r>
        <w:rPr>
          <w:i/>
          <w:sz w:val="18"/>
        </w:rPr>
        <w:t>Figura 2. Diagrama de contenedores.</w:t>
      </w:r>
    </w:p>
    <w:tbl>
      <w:tblPr>
        <w:tblStyle w:val="TableGrid"/>
        <w:tblW w:type="auto" w:w="0"/>
        <w:jc w:val="center"/>
        <w:tblLayout w:type="fixed"/>
        <w:tblLook w:firstColumn="1" w:firstRow="1" w:lastColumn="0" w:lastRow="0" w:noHBand="0" w:noVBand="1" w:val="04A0"/>
      </w:tblPr>
      <w:tblGrid>
        <w:gridCol w:w="2448"/>
        <w:gridCol w:w="2448"/>
        <w:gridCol w:w="4464"/>
      </w:tblGrid>
      <w:tr>
        <w:trPr>
          <w:cantSplit w:val="true"/>
          <w:tblHeader w:val="true"/>
        </w:trPr>
        <w:tc>
          <w:tcPr>
            <w:tcW w:type="dxa" w:w="2448"/>
            <w:shd w:val="clear" w:color="auto" w:fill="0B3C5D"/>
          </w:tcPr>
          <w:p>
            <w:pPr>
              <w:spacing w:after="40" w:before="40" w:line="240" w:lineRule="auto"/>
            </w:pPr>
            <w:r/>
            <w:r>
              <w:rPr>
                <w:b/>
                <w:color w:val="FFFFFF"/>
                <w:sz w:val="18"/>
              </w:rPr>
              <w:t>Contenedor</w:t>
            </w:r>
          </w:p>
        </w:tc>
        <w:tc>
          <w:tcPr>
            <w:tcW w:type="dxa" w:w="2448"/>
            <w:shd w:val="clear" w:color="auto" w:fill="0B3C5D"/>
          </w:tcPr>
          <w:p>
            <w:pPr>
              <w:spacing w:after="40" w:before="40" w:line="240" w:lineRule="auto"/>
            </w:pPr>
            <w:r/>
            <w:r>
              <w:rPr>
                <w:b/>
                <w:color w:val="FFFFFF"/>
                <w:sz w:val="18"/>
              </w:rPr>
              <w:t>Tecnología</w:t>
            </w:r>
          </w:p>
        </w:tc>
        <w:tc>
          <w:tcPr>
            <w:tcW w:type="dxa" w:w="4464"/>
            <w:shd w:val="clear" w:color="auto" w:fill="0B3C5D"/>
          </w:tcPr>
          <w:p>
            <w:pPr>
              <w:spacing w:after="40" w:before="40" w:line="240" w:lineRule="auto"/>
            </w:pPr>
            <w:r/>
            <w:r>
              <w:rPr>
                <w:b/>
                <w:color w:val="FFFFFF"/>
                <w:sz w:val="18"/>
              </w:rPr>
              <w:t>Responsabilidad</w:t>
            </w:r>
          </w:p>
        </w:tc>
      </w:tr>
      <w:tr>
        <w:trPr>
          <w:cantSplit w:val="true"/>
        </w:trPr>
        <w:tc>
          <w:tcPr>
            <w:tcW w:type="dxa" w:w="2448"/>
          </w:tcPr>
          <w:p>
            <w:pPr>
              <w:spacing w:after="40" w:before="40" w:line="240" w:lineRule="auto"/>
            </w:pPr>
            <w:r/>
            <w:r>
              <w:rPr>
                <w:sz w:val="18"/>
              </w:rPr>
              <w:t>Aplicación Web</w:t>
            </w:r>
          </w:p>
        </w:tc>
        <w:tc>
          <w:tcPr>
            <w:tcW w:type="dxa" w:w="2448"/>
          </w:tcPr>
          <w:p>
            <w:pPr>
              <w:spacing w:after="40" w:before="40" w:line="240" w:lineRule="auto"/>
            </w:pPr>
            <w:r/>
            <w:r>
              <w:rPr>
                <w:sz w:val="18"/>
              </w:rPr>
              <w:t>React, TypeScript</w:t>
            </w:r>
          </w:p>
        </w:tc>
        <w:tc>
          <w:tcPr>
            <w:tcW w:type="dxa" w:w="4464"/>
          </w:tcPr>
          <w:p>
            <w:pPr>
              <w:spacing w:after="40" w:before="40" w:line="240" w:lineRule="auto"/>
            </w:pPr>
            <w:r/>
            <w:r>
              <w:rPr>
                <w:sz w:val="18"/>
              </w:rPr>
              <w:t>Interfaz responsiva para enfermeras y supervisoras.</w:t>
            </w:r>
          </w:p>
        </w:tc>
      </w:tr>
      <w:tr>
        <w:trPr>
          <w:cantSplit w:val="true"/>
        </w:trPr>
        <w:tc>
          <w:tcPr>
            <w:tcW w:type="dxa" w:w="2448"/>
            <w:shd w:val="clear" w:color="auto" w:fill="EAF2FB"/>
          </w:tcPr>
          <w:p>
            <w:pPr>
              <w:spacing w:after="40" w:before="40" w:line="240" w:lineRule="auto"/>
            </w:pPr>
            <w:r/>
            <w:r>
              <w:rPr>
                <w:sz w:val="18"/>
              </w:rPr>
              <w:t>Aplicación de Escritorio</w:t>
            </w:r>
          </w:p>
        </w:tc>
        <w:tc>
          <w:tcPr>
            <w:tcW w:type="dxa" w:w="2448"/>
            <w:shd w:val="clear" w:color="auto" w:fill="EAF2FB"/>
          </w:tcPr>
          <w:p>
            <w:pPr>
              <w:spacing w:after="40" w:before="40" w:line="240" w:lineRule="auto"/>
            </w:pPr>
            <w:r/>
            <w:r>
              <w:rPr>
                <w:sz w:val="18"/>
              </w:rPr>
              <w:t>Electron</w:t>
            </w:r>
          </w:p>
        </w:tc>
        <w:tc>
          <w:tcPr>
            <w:tcW w:type="dxa" w:w="4464"/>
            <w:shd w:val="clear" w:color="auto" w:fill="EAF2FB"/>
          </w:tcPr>
          <w:p>
            <w:pPr>
              <w:spacing w:after="40" w:before="40" w:line="240" w:lineRule="auto"/>
            </w:pPr>
            <w:r/>
            <w:r>
              <w:rPr>
                <w:sz w:val="18"/>
              </w:rPr>
              <w:t>Misma interfaz como aplicación nativa en Windows, Linux y macOS.</w:t>
            </w:r>
          </w:p>
        </w:tc>
      </w:tr>
      <w:tr>
        <w:trPr>
          <w:cantSplit w:val="true"/>
        </w:trPr>
        <w:tc>
          <w:tcPr>
            <w:tcW w:type="dxa" w:w="2448"/>
          </w:tcPr>
          <w:p>
            <w:pPr>
              <w:spacing w:after="40" w:before="40" w:line="240" w:lineRule="auto"/>
            </w:pPr>
            <w:r/>
            <w:r>
              <w:rPr>
                <w:sz w:val="18"/>
              </w:rPr>
              <w:t>API Gateway</w:t>
            </w:r>
          </w:p>
        </w:tc>
        <w:tc>
          <w:tcPr>
            <w:tcW w:type="dxa" w:w="2448"/>
          </w:tcPr>
          <w:p>
            <w:pPr>
              <w:spacing w:after="40" w:before="40" w:line="240" w:lineRule="auto"/>
            </w:pPr>
            <w:r/>
            <w:r>
              <w:rPr>
                <w:sz w:val="18"/>
              </w:rPr>
              <w:t>Azure API Management</w:t>
            </w:r>
          </w:p>
        </w:tc>
        <w:tc>
          <w:tcPr>
            <w:tcW w:type="dxa" w:w="4464"/>
          </w:tcPr>
          <w:p>
            <w:pPr>
              <w:spacing w:after="40" w:before="40" w:line="240" w:lineRule="auto"/>
            </w:pPr>
            <w:r/>
            <w:r>
              <w:rPr>
                <w:sz w:val="18"/>
              </w:rPr>
              <w:t>Valida tokens JWT, aplica límites de uso y enruta peticiones.</w:t>
            </w:r>
          </w:p>
        </w:tc>
      </w:tr>
      <w:tr>
        <w:trPr>
          <w:cantSplit w:val="true"/>
        </w:trPr>
        <w:tc>
          <w:tcPr>
            <w:tcW w:type="dxa" w:w="2448"/>
            <w:shd w:val="clear" w:color="auto" w:fill="EAF2FB"/>
          </w:tcPr>
          <w:p>
            <w:pPr>
              <w:spacing w:after="40" w:before="40" w:line="240" w:lineRule="auto"/>
            </w:pPr>
            <w:r/>
            <w:r>
              <w:rPr>
                <w:sz w:val="18"/>
              </w:rPr>
              <w:t>Historia Clínica</w:t>
            </w:r>
          </w:p>
        </w:tc>
        <w:tc>
          <w:tcPr>
            <w:tcW w:type="dxa" w:w="2448"/>
            <w:shd w:val="clear" w:color="auto" w:fill="EAF2FB"/>
          </w:tcPr>
          <w:p>
            <w:pPr>
              <w:spacing w:after="40" w:before="40" w:line="240" w:lineRule="auto"/>
            </w:pPr>
            <w:r/>
            <w:r>
              <w:rPr>
                <w:sz w:val="18"/>
              </w:rPr>
              <w:t>Node.js, NestJS</w:t>
            </w:r>
          </w:p>
        </w:tc>
        <w:tc>
          <w:tcPr>
            <w:tcW w:type="dxa" w:w="4464"/>
            <w:shd w:val="clear" w:color="auto" w:fill="EAF2FB"/>
          </w:tcPr>
          <w:p>
            <w:pPr>
              <w:spacing w:after="40" w:before="40" w:line="240" w:lineRule="auto"/>
            </w:pPr>
            <w:r/>
            <w:r>
              <w:rPr>
                <w:sz w:val="18"/>
              </w:rPr>
              <w:t>HU01: consulta y resume historias clínicas desde FHIR.</w:t>
            </w:r>
          </w:p>
        </w:tc>
      </w:tr>
      <w:tr>
        <w:trPr>
          <w:cantSplit w:val="true"/>
        </w:trPr>
        <w:tc>
          <w:tcPr>
            <w:tcW w:type="dxa" w:w="2448"/>
          </w:tcPr>
          <w:p>
            <w:pPr>
              <w:spacing w:after="40" w:before="40" w:line="240" w:lineRule="auto"/>
            </w:pPr>
            <w:r/>
            <w:r>
              <w:rPr>
                <w:sz w:val="18"/>
              </w:rPr>
              <w:t>Asistencia al Diagnóstico</w:t>
            </w:r>
          </w:p>
        </w:tc>
        <w:tc>
          <w:tcPr>
            <w:tcW w:type="dxa" w:w="2448"/>
          </w:tcPr>
          <w:p>
            <w:pPr>
              <w:spacing w:after="40" w:before="40" w:line="240" w:lineRule="auto"/>
            </w:pPr>
            <w:r/>
            <w:r>
              <w:rPr>
                <w:sz w:val="18"/>
              </w:rPr>
              <w:t>Python, FastAPI</w:t>
            </w:r>
          </w:p>
        </w:tc>
        <w:tc>
          <w:tcPr>
            <w:tcW w:type="dxa" w:w="4464"/>
          </w:tcPr>
          <w:p>
            <w:pPr>
              <w:spacing w:after="40" w:before="40" w:line="240" w:lineRule="auto"/>
            </w:pPr>
            <w:r/>
            <w:r>
              <w:rPr>
                <w:sz w:val="18"/>
              </w:rPr>
              <w:t>HU02: triaje por síntomas con reglas clínicas y Azure OpenAI.</w:t>
            </w:r>
          </w:p>
        </w:tc>
      </w:tr>
      <w:tr>
        <w:trPr>
          <w:cantSplit w:val="true"/>
        </w:trPr>
        <w:tc>
          <w:tcPr>
            <w:tcW w:type="dxa" w:w="2448"/>
            <w:shd w:val="clear" w:color="auto" w:fill="EAF2FB"/>
          </w:tcPr>
          <w:p>
            <w:pPr>
              <w:spacing w:after="40" w:before="40" w:line="240" w:lineRule="auto"/>
            </w:pPr>
            <w:r/>
            <w:r>
              <w:rPr>
                <w:sz w:val="18"/>
              </w:rPr>
              <w:t>Centros Médicos</w:t>
            </w:r>
          </w:p>
        </w:tc>
        <w:tc>
          <w:tcPr>
            <w:tcW w:type="dxa" w:w="2448"/>
            <w:shd w:val="clear" w:color="auto" w:fill="EAF2FB"/>
          </w:tcPr>
          <w:p>
            <w:pPr>
              <w:spacing w:after="40" w:before="40" w:line="240" w:lineRule="auto"/>
            </w:pPr>
            <w:r/>
            <w:r>
              <w:rPr>
                <w:sz w:val="18"/>
              </w:rPr>
              <w:t>Node.js, NestJS</w:t>
            </w:r>
          </w:p>
        </w:tc>
        <w:tc>
          <w:tcPr>
            <w:tcW w:type="dxa" w:w="4464"/>
            <w:shd w:val="clear" w:color="auto" w:fill="EAF2FB"/>
          </w:tcPr>
          <w:p>
            <w:pPr>
              <w:spacing w:after="40" w:before="40" w:line="240" w:lineRule="auto"/>
            </w:pPr>
            <w:r/>
            <w:r>
              <w:rPr>
                <w:sz w:val="18"/>
              </w:rPr>
              <w:t>HU03: búsqueda geoespacial de centros cercanos.</w:t>
            </w:r>
          </w:p>
        </w:tc>
      </w:tr>
      <w:tr>
        <w:trPr>
          <w:cantSplit w:val="true"/>
        </w:trPr>
        <w:tc>
          <w:tcPr>
            <w:tcW w:type="dxa" w:w="2448"/>
          </w:tcPr>
          <w:p>
            <w:pPr>
              <w:spacing w:after="40" w:before="40" w:line="240" w:lineRule="auto"/>
            </w:pPr>
            <w:r/>
            <w:r>
              <w:rPr>
                <w:sz w:val="18"/>
              </w:rPr>
              <w:t>Remisión y Notificación</w:t>
            </w:r>
          </w:p>
        </w:tc>
        <w:tc>
          <w:tcPr>
            <w:tcW w:type="dxa" w:w="2448"/>
          </w:tcPr>
          <w:p>
            <w:pPr>
              <w:spacing w:after="40" w:before="40" w:line="240" w:lineRule="auto"/>
            </w:pPr>
            <w:r/>
            <w:r>
              <w:rPr>
                <w:sz w:val="18"/>
              </w:rPr>
              <w:t>Node.js, NestJS</w:t>
            </w:r>
          </w:p>
        </w:tc>
        <w:tc>
          <w:tcPr>
            <w:tcW w:type="dxa" w:w="4464"/>
          </w:tcPr>
          <w:p>
            <w:pPr>
              <w:spacing w:after="40" w:before="40" w:line="240" w:lineRule="auto"/>
            </w:pPr>
            <w:r/>
            <w:r>
              <w:rPr>
                <w:sz w:val="18"/>
              </w:rPr>
              <w:t>HU04: crea remisiones y avisa al centro médico.</w:t>
            </w:r>
          </w:p>
        </w:tc>
      </w:tr>
      <w:tr>
        <w:trPr>
          <w:cantSplit w:val="true"/>
        </w:trPr>
        <w:tc>
          <w:tcPr>
            <w:tcW w:type="dxa" w:w="2448"/>
            <w:shd w:val="clear" w:color="auto" w:fill="EAF2FB"/>
          </w:tcPr>
          <w:p>
            <w:pPr>
              <w:spacing w:after="40" w:before="40" w:line="240" w:lineRule="auto"/>
            </w:pPr>
            <w:r/>
            <w:r>
              <w:rPr>
                <w:sz w:val="18"/>
              </w:rPr>
              <w:t>Llamadas y Casos</w:t>
            </w:r>
          </w:p>
        </w:tc>
        <w:tc>
          <w:tcPr>
            <w:tcW w:type="dxa" w:w="2448"/>
            <w:shd w:val="clear" w:color="auto" w:fill="EAF2FB"/>
          </w:tcPr>
          <w:p>
            <w:pPr>
              <w:spacing w:after="40" w:before="40" w:line="240" w:lineRule="auto"/>
            </w:pPr>
            <w:r/>
            <w:r>
              <w:rPr>
                <w:sz w:val="18"/>
              </w:rPr>
              <w:t>Node.js, NestJS</w:t>
            </w:r>
          </w:p>
        </w:tc>
        <w:tc>
          <w:tcPr>
            <w:tcW w:type="dxa" w:w="4464"/>
            <w:shd w:val="clear" w:color="auto" w:fill="EAF2FB"/>
          </w:tcPr>
          <w:p>
            <w:pPr>
              <w:spacing w:after="40" w:before="40" w:line="240" w:lineRule="auto"/>
            </w:pPr>
            <w:r/>
            <w:r>
              <w:rPr>
                <w:sz w:val="18"/>
              </w:rPr>
              <w:t>Registro de llamadas, casos y auditoría.</w:t>
            </w:r>
          </w:p>
        </w:tc>
      </w:tr>
      <w:tr>
        <w:trPr>
          <w:cantSplit w:val="true"/>
        </w:trPr>
        <w:tc>
          <w:tcPr>
            <w:tcW w:type="dxa" w:w="2448"/>
          </w:tcPr>
          <w:p>
            <w:pPr>
              <w:spacing w:after="40" w:before="40" w:line="240" w:lineRule="auto"/>
            </w:pPr>
            <w:r/>
            <w:r>
              <w:rPr>
                <w:sz w:val="18"/>
              </w:rPr>
              <w:t>Repositorio Clínico</w:t>
            </w:r>
          </w:p>
        </w:tc>
        <w:tc>
          <w:tcPr>
            <w:tcW w:type="dxa" w:w="2448"/>
          </w:tcPr>
          <w:p>
            <w:pPr>
              <w:spacing w:after="40" w:before="40" w:line="240" w:lineRule="auto"/>
            </w:pPr>
            <w:r/>
            <w:r>
              <w:rPr>
                <w:sz w:val="18"/>
              </w:rPr>
              <w:t>Azure Health Data Services</w:t>
            </w:r>
          </w:p>
        </w:tc>
        <w:tc>
          <w:tcPr>
            <w:tcW w:type="dxa" w:w="4464"/>
          </w:tcPr>
          <w:p>
            <w:pPr>
              <w:spacing w:after="40" w:before="40" w:line="240" w:lineRule="auto"/>
            </w:pPr>
            <w:r/>
            <w:r>
              <w:rPr>
                <w:sz w:val="18"/>
              </w:rPr>
              <w:t>Historias clínicas en FHIR R4.</w:t>
            </w:r>
          </w:p>
        </w:tc>
      </w:tr>
      <w:tr>
        <w:trPr>
          <w:cantSplit w:val="true"/>
        </w:trPr>
        <w:tc>
          <w:tcPr>
            <w:tcW w:type="dxa" w:w="2448"/>
            <w:shd w:val="clear" w:color="auto" w:fill="EAF2FB"/>
          </w:tcPr>
          <w:p>
            <w:pPr>
              <w:spacing w:after="40" w:before="40" w:line="240" w:lineRule="auto"/>
            </w:pPr>
            <w:r/>
            <w:r>
              <w:rPr>
                <w:sz w:val="18"/>
              </w:rPr>
              <w:t>BD Casos / BD Centros</w:t>
            </w:r>
          </w:p>
        </w:tc>
        <w:tc>
          <w:tcPr>
            <w:tcW w:type="dxa" w:w="2448"/>
            <w:shd w:val="clear" w:color="auto" w:fill="EAF2FB"/>
          </w:tcPr>
          <w:p>
            <w:pPr>
              <w:spacing w:after="40" w:before="40" w:line="240" w:lineRule="auto"/>
            </w:pPr>
            <w:r/>
            <w:r>
              <w:rPr>
                <w:sz w:val="18"/>
              </w:rPr>
              <w:t>PostgreSQL (+ PostGIS)</w:t>
            </w:r>
          </w:p>
        </w:tc>
        <w:tc>
          <w:tcPr>
            <w:tcW w:type="dxa" w:w="4464"/>
            <w:shd w:val="clear" w:color="auto" w:fill="EAF2FB"/>
          </w:tcPr>
          <w:p>
            <w:pPr>
              <w:spacing w:after="40" w:before="40" w:line="240" w:lineRule="auto"/>
            </w:pPr>
            <w:r/>
            <w:r>
              <w:rPr>
                <w:sz w:val="18"/>
              </w:rPr>
              <w:t>Datos transaccionales y geoespaciales.</w:t>
            </w:r>
          </w:p>
        </w:tc>
      </w:tr>
      <w:tr>
        <w:trPr>
          <w:cantSplit w:val="true"/>
        </w:trPr>
        <w:tc>
          <w:tcPr>
            <w:tcW w:type="dxa" w:w="2448"/>
          </w:tcPr>
          <w:p>
            <w:pPr>
              <w:spacing w:after="40" w:before="40" w:line="240" w:lineRule="auto"/>
            </w:pPr>
            <w:r/>
            <w:r>
              <w:rPr>
                <w:sz w:val="18"/>
              </w:rPr>
              <w:t>Caché</w:t>
            </w:r>
          </w:p>
        </w:tc>
        <w:tc>
          <w:tcPr>
            <w:tcW w:type="dxa" w:w="2448"/>
          </w:tcPr>
          <w:p>
            <w:pPr>
              <w:spacing w:after="40" w:before="40" w:line="240" w:lineRule="auto"/>
            </w:pPr>
            <w:r/>
            <w:r>
              <w:rPr>
                <w:sz w:val="18"/>
              </w:rPr>
              <w:t>Azure Cache for Redis</w:t>
            </w:r>
          </w:p>
        </w:tc>
        <w:tc>
          <w:tcPr>
            <w:tcW w:type="dxa" w:w="4464"/>
          </w:tcPr>
          <w:p>
            <w:pPr>
              <w:spacing w:after="40" w:before="40" w:line="240" w:lineRule="auto"/>
            </w:pPr>
            <w:r/>
            <w:r>
              <w:rPr>
                <w:sz w:val="18"/>
              </w:rPr>
              <w:t>Sesiones y respuestas frecuentes.</w:t>
            </w:r>
          </w:p>
        </w:tc>
      </w:tr>
      <w:tr>
        <w:trPr>
          <w:cantSplit w:val="true"/>
        </w:trPr>
        <w:tc>
          <w:tcPr>
            <w:tcW w:type="dxa" w:w="2448"/>
            <w:shd w:val="clear" w:color="auto" w:fill="EAF2FB"/>
          </w:tcPr>
          <w:p>
            <w:pPr>
              <w:spacing w:after="40" w:before="40" w:line="240" w:lineRule="auto"/>
            </w:pPr>
            <w:r/>
            <w:r>
              <w:rPr>
                <w:sz w:val="18"/>
              </w:rPr>
              <w:t>Bus de Eventos</w:t>
            </w:r>
          </w:p>
        </w:tc>
        <w:tc>
          <w:tcPr>
            <w:tcW w:type="dxa" w:w="2448"/>
            <w:shd w:val="clear" w:color="auto" w:fill="EAF2FB"/>
          </w:tcPr>
          <w:p>
            <w:pPr>
              <w:spacing w:after="40" w:before="40" w:line="240" w:lineRule="auto"/>
            </w:pPr>
            <w:r/>
            <w:r>
              <w:rPr>
                <w:sz w:val="18"/>
              </w:rPr>
              <w:t>Azure Service Bus</w:t>
            </w:r>
          </w:p>
        </w:tc>
        <w:tc>
          <w:tcPr>
            <w:tcW w:type="dxa" w:w="4464"/>
            <w:shd w:val="clear" w:color="auto" w:fill="EAF2FB"/>
          </w:tcPr>
          <w:p>
            <w:pPr>
              <w:spacing w:after="40" w:before="40" w:line="240" w:lineRule="auto"/>
            </w:pPr>
            <w:r/>
            <w:r>
              <w:rPr>
                <w:sz w:val="18"/>
              </w:rPr>
              <w:t>Mensajería asíncrona entre microservicios.</w:t>
            </w:r>
          </w:p>
        </w:tc>
      </w:tr>
    </w:tbl>
    <w:p/>
    <w:p>
      <w:pPr>
        <w:pStyle w:val="Heading2"/>
      </w:pPr>
      <w:r>
        <w:t>7.3 Diagramas de componentes</w:t>
      </w:r>
    </w:p>
    <w:p>
      <w:r>
        <w:rPr>
          <w:i w:val="0"/>
        </w:rPr>
        <w:t>Se desglosa cada microservicio de las historias de usuario en sus componentes internos.</w:t>
      </w:r>
    </w:p>
    <w:p>
      <w:pPr>
        <w:pStyle w:val="Heading3"/>
      </w:pPr>
      <w:r>
        <w:t>Servicio de Historia Clínica (HU01)</w:t>
      </w:r>
    </w:p>
    <w:p>
      <w:r>
        <w:rPr>
          <w:i w:val="0"/>
        </w:rPr>
        <w:t>El controlador valida el rol de la enfermera, el servicio de consulta obtiene los recursos FHIR del paciente, el generador de resumen arma una vista clínica rápida y el publicador de auditoría registra quién consultó cada historia.</w:t>
      </w:r>
    </w:p>
    <w:p>
      <w:pPr>
        <w:jc w:val="center"/>
      </w:pPr>
      <w:r>
        <w:drawing>
          <wp:inline xmlns:a="http://schemas.openxmlformats.org/drawingml/2006/main" xmlns:pic="http://schemas.openxmlformats.org/drawingml/2006/picture">
            <wp:extent cx="5943600" cy="2842921"/>
            <wp:docPr id="3" name="Picture 3"/>
            <wp:cNvGraphicFramePr>
              <a:graphicFrameLocks noChangeAspect="1"/>
            </wp:cNvGraphicFramePr>
            <a:graphic>
              <a:graphicData uri="http://schemas.openxmlformats.org/drawingml/2006/picture">
                <pic:pic>
                  <pic:nvPicPr>
                    <pic:cNvPr id="0" name="03a-componentes-historia-clinica.png"/>
                    <pic:cNvPicPr/>
                  </pic:nvPicPr>
                  <pic:blipFill>
                    <a:blip r:embed="rId12"/>
                    <a:stretch>
                      <a:fillRect/>
                    </a:stretch>
                  </pic:blipFill>
                  <pic:spPr>
                    <a:xfrm>
                      <a:off x="0" y="0"/>
                      <a:ext cx="5943600" cy="2842921"/>
                    </a:xfrm>
                    <a:prstGeom prst="rect"/>
                  </pic:spPr>
                </pic:pic>
              </a:graphicData>
            </a:graphic>
          </wp:inline>
        </w:drawing>
      </w:r>
    </w:p>
    <w:p>
      <w:pPr>
        <w:jc w:val="center"/>
      </w:pPr>
      <w:r>
        <w:rPr>
          <w:i/>
          <w:sz w:val="18"/>
        </w:rPr>
        <w:t>Figura 3. Componentes del Servicio de Historia Clínica.</w:t>
      </w:r>
    </w:p>
    <w:p>
      <w:pPr>
        <w:pStyle w:val="Heading3"/>
      </w:pPr>
      <w:r>
        <w:t>Servicio de Asistencia al Diagnóstico (HU02)</w:t>
      </w:r>
    </w:p>
    <w:p>
      <w:r>
        <w:rPr>
          <w:i w:val="0"/>
        </w:rPr>
        <w:t>Combina un motor de reglas clínicas determinista (detecta signos de alarma) con sugerencias del motor de apoyo. Antes de consultar el modelo, el anonimizador elimina nombre, documento y cualquier dato que identifique al paciente.</w:t>
      </w:r>
    </w:p>
    <w:p>
      <w:pPr>
        <w:jc w:val="center"/>
      </w:pPr>
      <w:r>
        <w:drawing>
          <wp:inline xmlns:a="http://schemas.openxmlformats.org/drawingml/2006/main" xmlns:pic="http://schemas.openxmlformats.org/drawingml/2006/picture">
            <wp:extent cx="5943600" cy="1311534"/>
            <wp:docPr id="4" name="Picture 4"/>
            <wp:cNvGraphicFramePr>
              <a:graphicFrameLocks noChangeAspect="1"/>
            </wp:cNvGraphicFramePr>
            <a:graphic>
              <a:graphicData uri="http://schemas.openxmlformats.org/drawingml/2006/picture">
                <pic:pic>
                  <pic:nvPicPr>
                    <pic:cNvPr id="0" name="03b-componentes-diagnostico.png"/>
                    <pic:cNvPicPr/>
                  </pic:nvPicPr>
                  <pic:blipFill>
                    <a:blip r:embed="rId13"/>
                    <a:stretch>
                      <a:fillRect/>
                    </a:stretch>
                  </pic:blipFill>
                  <pic:spPr>
                    <a:xfrm>
                      <a:off x="0" y="0"/>
                      <a:ext cx="5943600" cy="1311534"/>
                    </a:xfrm>
                    <a:prstGeom prst="rect"/>
                  </pic:spPr>
                </pic:pic>
              </a:graphicData>
            </a:graphic>
          </wp:inline>
        </w:drawing>
      </w:r>
    </w:p>
    <w:p>
      <w:pPr>
        <w:jc w:val="center"/>
      </w:pPr>
      <w:r>
        <w:rPr>
          <w:i/>
          <w:sz w:val="18"/>
        </w:rPr>
        <w:t>Figura 4. Componentes del Servicio de Asistencia al Diagnóstico.</w:t>
      </w:r>
    </w:p>
    <w:p>
      <w:pPr>
        <w:pStyle w:val="Heading3"/>
      </w:pPr>
      <w:r>
        <w:t>Servicio de Centros Médicos (HU03)</w:t>
      </w:r>
    </w:p>
    <w:p>
      <w:r>
        <w:rPr>
          <w:i w:val="0"/>
        </w:rPr>
        <w:t>Geocodifica la dirección del paciente, busca en PostGIS los centros dentro de un radio con la especialidad requerida y los ordena por tiempo estimado de llegada calculado con Azure Maps.</w:t>
      </w:r>
    </w:p>
    <w:p>
      <w:pPr>
        <w:jc w:val="center"/>
      </w:pPr>
      <w:r>
        <w:drawing>
          <wp:inline xmlns:a="http://schemas.openxmlformats.org/drawingml/2006/main" xmlns:pic="http://schemas.openxmlformats.org/drawingml/2006/picture">
            <wp:extent cx="5943600" cy="2319823"/>
            <wp:docPr id="5" name="Picture 5"/>
            <wp:cNvGraphicFramePr>
              <a:graphicFrameLocks noChangeAspect="1"/>
            </wp:cNvGraphicFramePr>
            <a:graphic>
              <a:graphicData uri="http://schemas.openxmlformats.org/drawingml/2006/picture">
                <pic:pic>
                  <pic:nvPicPr>
                    <pic:cNvPr id="0" name="03c-componentes-centros-medicos.png"/>
                    <pic:cNvPicPr/>
                  </pic:nvPicPr>
                  <pic:blipFill>
                    <a:blip r:embed="rId14"/>
                    <a:stretch>
                      <a:fillRect/>
                    </a:stretch>
                  </pic:blipFill>
                  <pic:spPr>
                    <a:xfrm>
                      <a:off x="0" y="0"/>
                      <a:ext cx="5943600" cy="2319823"/>
                    </a:xfrm>
                    <a:prstGeom prst="rect"/>
                  </pic:spPr>
                </pic:pic>
              </a:graphicData>
            </a:graphic>
          </wp:inline>
        </w:drawing>
      </w:r>
    </w:p>
    <w:p>
      <w:pPr>
        <w:jc w:val="center"/>
      </w:pPr>
      <w:r>
        <w:rPr>
          <w:i/>
          <w:sz w:val="18"/>
        </w:rPr>
        <w:t>Figura 5. Componentes del Servicio de Centros Médicos.</w:t>
      </w:r>
    </w:p>
    <w:p>
      <w:pPr>
        <w:pStyle w:val="Heading3"/>
      </w:pPr>
      <w:r>
        <w:t>Servicio de Remisión y Notificación (HU04)</w:t>
      </w:r>
    </w:p>
    <w:p>
      <w:r>
        <w:rPr>
          <w:i w:val="0"/>
        </w:rPr>
        <w:t>La remisión se registra y se publica como evento; un procesador independiente envía el aviso al centro médico por el canal configurado y reintenta automáticamente si falla, sin bloquear a la enfermera.</w:t>
      </w:r>
    </w:p>
    <w:p>
      <w:pPr>
        <w:jc w:val="center"/>
      </w:pPr>
      <w:r>
        <w:drawing>
          <wp:inline xmlns:a="http://schemas.openxmlformats.org/drawingml/2006/main" xmlns:pic="http://schemas.openxmlformats.org/drawingml/2006/picture">
            <wp:extent cx="5943600" cy="2190944"/>
            <wp:docPr id="6" name="Picture 6"/>
            <wp:cNvGraphicFramePr>
              <a:graphicFrameLocks noChangeAspect="1"/>
            </wp:cNvGraphicFramePr>
            <a:graphic>
              <a:graphicData uri="http://schemas.openxmlformats.org/drawingml/2006/picture">
                <pic:pic>
                  <pic:nvPicPr>
                    <pic:cNvPr id="0" name="03d-componentes-remision.png"/>
                    <pic:cNvPicPr/>
                  </pic:nvPicPr>
                  <pic:blipFill>
                    <a:blip r:embed="rId15"/>
                    <a:stretch>
                      <a:fillRect/>
                    </a:stretch>
                  </pic:blipFill>
                  <pic:spPr>
                    <a:xfrm>
                      <a:off x="0" y="0"/>
                      <a:ext cx="5943600" cy="2190944"/>
                    </a:xfrm>
                    <a:prstGeom prst="rect"/>
                  </pic:spPr>
                </pic:pic>
              </a:graphicData>
            </a:graphic>
          </wp:inline>
        </w:drawing>
      </w:r>
    </w:p>
    <w:p>
      <w:pPr>
        <w:jc w:val="center"/>
      </w:pPr>
      <w:r>
        <w:rPr>
          <w:i/>
          <w:sz w:val="18"/>
        </w:rPr>
        <w:t>Figura 6. Componentes del Servicio de Remisión y Notificación.</w:t>
      </w:r>
    </w:p>
    <w:p>
      <w:pPr>
        <w:sectPr>
          <w:footerReference w:type="default" r:id="rId9"/>
          <w:pgSz w:w="12240" w:h="15840"/>
          <w:pgMar w:top="1296" w:right="1440" w:bottom="1296" w:left="1440" w:header="720" w:footer="720" w:gutter="0"/>
          <w:cols w:space="720"/>
          <w:docGrid w:linePitch="360"/>
        </w:sectPr>
      </w:pPr>
    </w:p>
    <w:p>
      <w:pPr>
        <w:pStyle w:val="Heading2"/>
      </w:pPr>
      <w:r>
        <w:t>7.4 Diagrama de código (opcional)</w:t>
      </w:r>
    </w:p>
    <w:p>
      <w:r>
        <w:rPr>
          <w:i w:val="0"/>
        </w:rPr>
        <w:t>Muestra las clases principales del Servicio de Asistencia al Diagnóstico. Las reglas clínicas implementan una interfaz común, lo que permite agregar protocolos nuevos sin modificar el motor (principio abierto/cerrado).</w:t>
      </w:r>
    </w:p>
    <w:p>
      <w:pPr>
        <w:jc w:val="center"/>
      </w:pPr>
      <w:r>
        <w:drawing>
          <wp:inline xmlns:a="http://schemas.openxmlformats.org/drawingml/2006/main" xmlns:pic="http://schemas.openxmlformats.org/drawingml/2006/picture">
            <wp:extent cx="8236603" cy="4937759"/>
            <wp:docPr id="7" name="Picture 7"/>
            <wp:cNvGraphicFramePr>
              <a:graphicFrameLocks noChangeAspect="1"/>
            </wp:cNvGraphicFramePr>
            <a:graphic>
              <a:graphicData uri="http://schemas.openxmlformats.org/drawingml/2006/picture">
                <pic:pic>
                  <pic:nvPicPr>
                    <pic:cNvPr id="0" name="04-codigo-diagnostico.png"/>
                    <pic:cNvPicPr/>
                  </pic:nvPicPr>
                  <pic:blipFill>
                    <a:blip r:embed="rId16"/>
                    <a:stretch>
                      <a:fillRect/>
                    </a:stretch>
                  </pic:blipFill>
                  <pic:spPr>
                    <a:xfrm>
                      <a:off x="0" y="0"/>
                      <a:ext cx="8236603" cy="4937759"/>
                    </a:xfrm>
                    <a:prstGeom prst="rect"/>
                  </pic:spPr>
                </pic:pic>
              </a:graphicData>
            </a:graphic>
          </wp:inline>
        </w:drawing>
      </w:r>
    </w:p>
    <w:p>
      <w:pPr>
        <w:jc w:val="center"/>
      </w:pPr>
      <w:r>
        <w:rPr>
          <w:i/>
          <w:sz w:val="18"/>
        </w:rPr>
        <w:t>Figura 7. Diagrama de clases del Servicio de Asistencia al Diagnóstico.</w:t>
      </w:r>
    </w:p>
    <w:p>
      <w:r>
        <w:br w:type="page"/>
      </w:r>
    </w:p>
    <w:p>
      <w:pPr>
        <w:pStyle w:val="Heading2"/>
      </w:pPr>
      <w:r>
        <w:t>7.5 Flujo de una atención</w:t>
      </w:r>
    </w:p>
    <w:p>
      <w:r>
        <w:rPr>
          <w:i w:val="0"/>
        </w:rPr>
        <w:t>El flujo resume una llamada completa en siete pasos. Cada paso usa uno de los microservicios de las historias de usuario.</w:t>
      </w:r>
    </w:p>
    <w:p>
      <w:pPr>
        <w:jc w:val="center"/>
      </w:pPr>
      <w:r>
        <w:drawing>
          <wp:inline xmlns:a="http://schemas.openxmlformats.org/drawingml/2006/main" xmlns:pic="http://schemas.openxmlformats.org/drawingml/2006/picture">
            <wp:extent cx="8595360" cy="1293689"/>
            <wp:docPr id="8" name="Picture 8"/>
            <wp:cNvGraphicFramePr>
              <a:graphicFrameLocks noChangeAspect="1"/>
            </wp:cNvGraphicFramePr>
            <a:graphic>
              <a:graphicData uri="http://schemas.openxmlformats.org/drawingml/2006/picture">
                <pic:pic>
                  <pic:nvPicPr>
                    <pic:cNvPr id="0" name="06-flujo-atencion.png"/>
                    <pic:cNvPicPr/>
                  </pic:nvPicPr>
                  <pic:blipFill>
                    <a:blip r:embed="rId17"/>
                    <a:stretch>
                      <a:fillRect/>
                    </a:stretch>
                  </pic:blipFill>
                  <pic:spPr>
                    <a:xfrm>
                      <a:off x="0" y="0"/>
                      <a:ext cx="8595360" cy="1293689"/>
                    </a:xfrm>
                    <a:prstGeom prst="rect"/>
                  </pic:spPr>
                </pic:pic>
              </a:graphicData>
            </a:graphic>
          </wp:inline>
        </w:drawing>
      </w:r>
    </w:p>
    <w:p>
      <w:pPr>
        <w:jc w:val="center"/>
      </w:pPr>
      <w:r>
        <w:rPr>
          <w:i/>
          <w:sz w:val="18"/>
        </w:rPr>
        <w:t>Figura 8. Flujo de una atención de principio a fin.</w:t>
      </w:r>
    </w:p>
    <w:tbl>
      <w:tblPr>
        <w:tblStyle w:val="TableGrid"/>
        <w:tblW w:type="auto" w:w="0"/>
        <w:jc w:val="center"/>
        <w:tblLayout w:type="fixed"/>
        <w:tblLook w:firstColumn="1" w:firstRow="1" w:lastColumn="0" w:lastRow="0" w:noHBand="0" w:noVBand="1" w:val="04A0"/>
      </w:tblPr>
      <w:tblGrid>
        <w:gridCol w:w="864"/>
        <w:gridCol w:w="4320"/>
        <w:gridCol w:w="8352"/>
      </w:tblGrid>
      <w:tr>
        <w:trPr>
          <w:cantSplit w:val="true"/>
          <w:tblHeader w:val="true"/>
        </w:trPr>
        <w:tc>
          <w:tcPr>
            <w:tcW w:type="dxa" w:w="864"/>
            <w:shd w:val="clear" w:color="auto" w:fill="0B3C5D"/>
          </w:tcPr>
          <w:p>
            <w:pPr>
              <w:spacing w:after="40" w:before="40" w:line="240" w:lineRule="auto"/>
            </w:pPr>
            <w:r/>
            <w:r>
              <w:rPr>
                <w:b/>
                <w:color w:val="FFFFFF"/>
                <w:sz w:val="20"/>
              </w:rPr>
              <w:t>Paso</w:t>
            </w:r>
          </w:p>
        </w:tc>
        <w:tc>
          <w:tcPr>
            <w:tcW w:type="dxa" w:w="4320"/>
            <w:shd w:val="clear" w:color="auto" w:fill="0B3C5D"/>
          </w:tcPr>
          <w:p>
            <w:pPr>
              <w:spacing w:after="40" w:before="40" w:line="240" w:lineRule="auto"/>
            </w:pPr>
            <w:r/>
            <w:r>
              <w:rPr>
                <w:b/>
                <w:color w:val="FFFFFF"/>
                <w:sz w:val="20"/>
              </w:rPr>
              <w:t>Qué hace la enfermera</w:t>
            </w:r>
          </w:p>
        </w:tc>
        <w:tc>
          <w:tcPr>
            <w:tcW w:type="dxa" w:w="8352"/>
            <w:shd w:val="clear" w:color="auto" w:fill="0B3C5D"/>
          </w:tcPr>
          <w:p>
            <w:pPr>
              <w:spacing w:after="40" w:before="40" w:line="240" w:lineRule="auto"/>
            </w:pPr>
            <w:r/>
            <w:r>
              <w:rPr>
                <w:b/>
                <w:color w:val="FFFFFF"/>
                <w:sz w:val="20"/>
              </w:rPr>
              <w:t>Qué hace el sistema</w:t>
            </w:r>
          </w:p>
        </w:tc>
      </w:tr>
      <w:tr>
        <w:trPr>
          <w:cantSplit w:val="true"/>
        </w:trPr>
        <w:tc>
          <w:tcPr>
            <w:tcW w:type="dxa" w:w="864"/>
          </w:tcPr>
          <w:p>
            <w:pPr>
              <w:spacing w:after="40" w:before="40" w:line="240" w:lineRule="auto"/>
            </w:pPr>
            <w:r/>
            <w:r>
              <w:rPr>
                <w:sz w:val="20"/>
              </w:rPr>
              <w:t>1</w:t>
            </w:r>
          </w:p>
        </w:tc>
        <w:tc>
          <w:tcPr>
            <w:tcW w:type="dxa" w:w="4320"/>
          </w:tcPr>
          <w:p>
            <w:pPr>
              <w:spacing w:after="40" w:before="40" w:line="240" w:lineRule="auto"/>
            </w:pPr>
            <w:r/>
            <w:r>
              <w:rPr>
                <w:sz w:val="20"/>
              </w:rPr>
              <w:t>Inicia sesión</w:t>
            </w:r>
          </w:p>
        </w:tc>
        <w:tc>
          <w:tcPr>
            <w:tcW w:type="dxa" w:w="8352"/>
          </w:tcPr>
          <w:p>
            <w:pPr>
              <w:spacing w:after="40" w:before="40" w:line="240" w:lineRule="auto"/>
            </w:pPr>
            <w:r/>
            <w:r>
              <w:rPr>
                <w:sz w:val="20"/>
              </w:rPr>
              <w:t>Redirige al sistema de seguridad corporativo (OIDC + MFA) y recibe un token con su rol.</w:t>
            </w:r>
          </w:p>
        </w:tc>
      </w:tr>
      <w:tr>
        <w:trPr>
          <w:cantSplit w:val="true"/>
        </w:trPr>
        <w:tc>
          <w:tcPr>
            <w:tcW w:type="dxa" w:w="864"/>
            <w:shd w:val="clear" w:color="auto" w:fill="EAF2FB"/>
          </w:tcPr>
          <w:p>
            <w:pPr>
              <w:spacing w:after="40" w:before="40" w:line="240" w:lineRule="auto"/>
            </w:pPr>
            <w:r/>
            <w:r>
              <w:rPr>
                <w:sz w:val="20"/>
              </w:rPr>
              <w:t>2</w:t>
            </w:r>
          </w:p>
        </w:tc>
        <w:tc>
          <w:tcPr>
            <w:tcW w:type="dxa" w:w="4320"/>
            <w:shd w:val="clear" w:color="auto" w:fill="EAF2FB"/>
          </w:tcPr>
          <w:p>
            <w:pPr>
              <w:spacing w:after="40" w:before="40" w:line="240" w:lineRule="auto"/>
            </w:pPr>
            <w:r/>
            <w:r>
              <w:rPr>
                <w:sz w:val="20"/>
              </w:rPr>
              <w:t>Recibe la llamada del paciente</w:t>
            </w:r>
          </w:p>
        </w:tc>
        <w:tc>
          <w:tcPr>
            <w:tcW w:type="dxa" w:w="8352"/>
            <w:shd w:val="clear" w:color="auto" w:fill="EAF2FB"/>
          </w:tcPr>
          <w:p>
            <w:pPr>
              <w:spacing w:after="40" w:before="40" w:line="240" w:lineRule="auto"/>
            </w:pPr>
            <w:r/>
            <w:r>
              <w:rPr>
                <w:sz w:val="20"/>
              </w:rPr>
              <w:t>Abre un caso nuevo en el servicio de Llamadas y Casos.</w:t>
            </w:r>
          </w:p>
        </w:tc>
      </w:tr>
      <w:tr>
        <w:trPr>
          <w:cantSplit w:val="true"/>
        </w:trPr>
        <w:tc>
          <w:tcPr>
            <w:tcW w:type="dxa" w:w="864"/>
          </w:tcPr>
          <w:p>
            <w:pPr>
              <w:spacing w:after="40" w:before="40" w:line="240" w:lineRule="auto"/>
            </w:pPr>
            <w:r/>
            <w:r>
              <w:rPr>
                <w:sz w:val="20"/>
              </w:rPr>
              <w:t>3</w:t>
            </w:r>
          </w:p>
        </w:tc>
        <w:tc>
          <w:tcPr>
            <w:tcW w:type="dxa" w:w="4320"/>
          </w:tcPr>
          <w:p>
            <w:pPr>
              <w:spacing w:after="40" w:before="40" w:line="240" w:lineRule="auto"/>
            </w:pPr>
            <w:r/>
            <w:r>
              <w:rPr>
                <w:sz w:val="20"/>
              </w:rPr>
              <w:t>Consulta la historia clínica (HU01)</w:t>
            </w:r>
          </w:p>
        </w:tc>
        <w:tc>
          <w:tcPr>
            <w:tcW w:type="dxa" w:w="8352"/>
          </w:tcPr>
          <w:p>
            <w:pPr>
              <w:spacing w:after="40" w:before="40" w:line="240" w:lineRule="auto"/>
            </w:pPr>
            <w:r/>
            <w:r>
              <w:rPr>
                <w:sz w:val="20"/>
              </w:rPr>
              <w:t>Lee FHIR, arma el resumen clínico y registra la consulta en auditoría.</w:t>
            </w:r>
          </w:p>
        </w:tc>
      </w:tr>
      <w:tr>
        <w:trPr>
          <w:cantSplit w:val="true"/>
        </w:trPr>
        <w:tc>
          <w:tcPr>
            <w:tcW w:type="dxa" w:w="864"/>
            <w:shd w:val="clear" w:color="auto" w:fill="EAF2FB"/>
          </w:tcPr>
          <w:p>
            <w:pPr>
              <w:spacing w:after="40" w:before="40" w:line="240" w:lineRule="auto"/>
            </w:pPr>
            <w:r/>
            <w:r>
              <w:rPr>
                <w:sz w:val="20"/>
              </w:rPr>
              <w:t>4</w:t>
            </w:r>
          </w:p>
        </w:tc>
        <w:tc>
          <w:tcPr>
            <w:tcW w:type="dxa" w:w="4320"/>
            <w:shd w:val="clear" w:color="auto" w:fill="EAF2FB"/>
          </w:tcPr>
          <w:p>
            <w:pPr>
              <w:spacing w:after="40" w:before="40" w:line="240" w:lineRule="auto"/>
            </w:pPr>
            <w:r/>
            <w:r>
              <w:rPr>
                <w:sz w:val="20"/>
              </w:rPr>
              <w:t>Registra los síntomas (HU02)</w:t>
            </w:r>
          </w:p>
        </w:tc>
        <w:tc>
          <w:tcPr>
            <w:tcW w:type="dxa" w:w="8352"/>
            <w:shd w:val="clear" w:color="auto" w:fill="EAF2FB"/>
          </w:tcPr>
          <w:p>
            <w:pPr>
              <w:spacing w:after="40" w:before="40" w:line="240" w:lineRule="auto"/>
            </w:pPr>
            <w:r/>
            <w:r>
              <w:rPr>
                <w:sz w:val="20"/>
              </w:rPr>
              <w:t>Aplica reglas clínicas, consulta el motor de apoyo con datos anonimizados y sugiere el nivel de urgencia.</w:t>
            </w:r>
          </w:p>
        </w:tc>
      </w:tr>
      <w:tr>
        <w:trPr>
          <w:cantSplit w:val="true"/>
        </w:trPr>
        <w:tc>
          <w:tcPr>
            <w:tcW w:type="dxa" w:w="864"/>
          </w:tcPr>
          <w:p>
            <w:pPr>
              <w:spacing w:after="40" w:before="40" w:line="240" w:lineRule="auto"/>
            </w:pPr>
            <w:r/>
            <w:r>
              <w:rPr>
                <w:sz w:val="20"/>
              </w:rPr>
              <w:t>5</w:t>
            </w:r>
          </w:p>
        </w:tc>
        <w:tc>
          <w:tcPr>
            <w:tcW w:type="dxa" w:w="4320"/>
          </w:tcPr>
          <w:p>
            <w:pPr>
              <w:spacing w:after="40" w:before="40" w:line="240" w:lineRule="auto"/>
            </w:pPr>
            <w:r/>
            <w:r>
              <w:rPr>
                <w:sz w:val="20"/>
              </w:rPr>
              <w:t>Busca el centro más cercano (HU03)</w:t>
            </w:r>
          </w:p>
        </w:tc>
        <w:tc>
          <w:tcPr>
            <w:tcW w:type="dxa" w:w="8352"/>
          </w:tcPr>
          <w:p>
            <w:pPr>
              <w:spacing w:after="40" w:before="40" w:line="240" w:lineRule="auto"/>
            </w:pPr>
            <w:r/>
            <w:r>
              <w:rPr>
                <w:sz w:val="20"/>
              </w:rPr>
              <w:t>Geocodifica la dirección y ordena los centros por tiempo de llegada.</w:t>
            </w:r>
          </w:p>
        </w:tc>
      </w:tr>
      <w:tr>
        <w:trPr>
          <w:cantSplit w:val="true"/>
        </w:trPr>
        <w:tc>
          <w:tcPr>
            <w:tcW w:type="dxa" w:w="864"/>
            <w:shd w:val="clear" w:color="auto" w:fill="EAF2FB"/>
          </w:tcPr>
          <w:p>
            <w:pPr>
              <w:spacing w:after="40" w:before="40" w:line="240" w:lineRule="auto"/>
            </w:pPr>
            <w:r/>
            <w:r>
              <w:rPr>
                <w:sz w:val="20"/>
              </w:rPr>
              <w:t>6</w:t>
            </w:r>
          </w:p>
        </w:tc>
        <w:tc>
          <w:tcPr>
            <w:tcW w:type="dxa" w:w="4320"/>
            <w:shd w:val="clear" w:color="auto" w:fill="EAF2FB"/>
          </w:tcPr>
          <w:p>
            <w:pPr>
              <w:spacing w:after="40" w:before="40" w:line="240" w:lineRule="auto"/>
            </w:pPr>
            <w:r/>
            <w:r>
              <w:rPr>
                <w:sz w:val="20"/>
              </w:rPr>
              <w:t>Confirma la remisión (HU04)</w:t>
            </w:r>
          </w:p>
        </w:tc>
        <w:tc>
          <w:tcPr>
            <w:tcW w:type="dxa" w:w="8352"/>
            <w:shd w:val="clear" w:color="auto" w:fill="EAF2FB"/>
          </w:tcPr>
          <w:p>
            <w:pPr>
              <w:spacing w:after="40" w:before="40" w:line="240" w:lineRule="auto"/>
            </w:pPr>
            <w:r/>
            <w:r>
              <w:rPr>
                <w:sz w:val="20"/>
              </w:rPr>
              <w:t>Publica un evento y avisa al centro por llamada, SMS o correo, con reintentos.</w:t>
            </w:r>
          </w:p>
        </w:tc>
      </w:tr>
      <w:tr>
        <w:trPr>
          <w:cantSplit w:val="true"/>
        </w:trPr>
        <w:tc>
          <w:tcPr>
            <w:tcW w:type="dxa" w:w="864"/>
          </w:tcPr>
          <w:p>
            <w:pPr>
              <w:spacing w:after="40" w:before="40" w:line="240" w:lineRule="auto"/>
            </w:pPr>
            <w:r/>
            <w:r>
              <w:rPr>
                <w:sz w:val="20"/>
              </w:rPr>
              <w:t>7</w:t>
            </w:r>
          </w:p>
        </w:tc>
        <w:tc>
          <w:tcPr>
            <w:tcW w:type="dxa" w:w="4320"/>
          </w:tcPr>
          <w:p>
            <w:pPr>
              <w:spacing w:after="40" w:before="40" w:line="240" w:lineRule="auto"/>
            </w:pPr>
            <w:r/>
            <w:r>
              <w:rPr>
                <w:sz w:val="20"/>
              </w:rPr>
              <w:t>Cierra el caso</w:t>
            </w:r>
          </w:p>
        </w:tc>
        <w:tc>
          <w:tcPr>
            <w:tcW w:type="dxa" w:w="8352"/>
          </w:tcPr>
          <w:p>
            <w:pPr>
              <w:spacing w:after="40" w:before="40" w:line="240" w:lineRule="auto"/>
            </w:pPr>
            <w:r/>
            <w:r>
              <w:rPr>
                <w:sz w:val="20"/>
              </w:rPr>
              <w:t>Guarda el resultado de la atención para indicadores y auditoría.</w:t>
            </w:r>
          </w:p>
        </w:tc>
      </w:tr>
    </w:tbl>
    <w:p/>
    <w:p>
      <w:pPr>
        <w:sectPr>
          <w:pgSz w:w="15840" w:h="12240" w:orient="landscape"/>
          <w:pgMar w:top="1008" w:right="1152" w:bottom="1008" w:left="1152" w:header="720" w:footer="720" w:gutter="0"/>
          <w:cols w:space="720"/>
          <w:docGrid w:linePitch="360"/>
        </w:sectPr>
      </w:pPr>
    </w:p>
    <w:p>
      <w:pPr>
        <w:pStyle w:val="Heading1"/>
      </w:pPr>
      <w:r>
        <w:t>8. Arquitectura en la nube</w:t>
      </w:r>
    </w:p>
    <w:p>
      <w:r>
        <w:rPr>
          <w:i w:val="0"/>
        </w:rPr>
        <w:t>La plataforma se despliega en Microsoft Azure en dos regiones: East US 2 como región activa y Central US como región pasiva de recuperación. Dentro de la región activa los servicios se distribuyen en tres zonas de disponibilidad.</w:t>
      </w:r>
    </w:p>
    <w:p>
      <w:pPr>
        <w:jc w:val="center"/>
      </w:pPr>
      <w:r>
        <w:drawing>
          <wp:inline xmlns:a="http://schemas.openxmlformats.org/drawingml/2006/main" xmlns:pic="http://schemas.openxmlformats.org/drawingml/2006/picture">
            <wp:extent cx="5943600" cy="2842921"/>
            <wp:docPr id="9" name="Picture 9"/>
            <wp:cNvGraphicFramePr>
              <a:graphicFrameLocks noChangeAspect="1"/>
            </wp:cNvGraphicFramePr>
            <a:graphic>
              <a:graphicData uri="http://schemas.openxmlformats.org/drawingml/2006/picture">
                <pic:pic>
                  <pic:nvPicPr>
                    <pic:cNvPr id="0" name="05-nube-azure.png"/>
                    <pic:cNvPicPr/>
                  </pic:nvPicPr>
                  <pic:blipFill>
                    <a:blip r:embed="rId18"/>
                    <a:stretch>
                      <a:fillRect/>
                    </a:stretch>
                  </pic:blipFill>
                  <pic:spPr>
                    <a:xfrm>
                      <a:off x="0" y="0"/>
                      <a:ext cx="5943600" cy="2842921"/>
                    </a:xfrm>
                    <a:prstGeom prst="rect"/>
                  </pic:spPr>
                </pic:pic>
              </a:graphicData>
            </a:graphic>
          </wp:inline>
        </w:drawing>
      </w:r>
    </w:p>
    <w:p>
      <w:pPr>
        <w:jc w:val="center"/>
      </w:pPr>
      <w:r>
        <w:rPr>
          <w:i/>
          <w:sz w:val="18"/>
        </w:rPr>
        <w:t>Figura 9. Arquitectura en la nube de Azure.</w:t>
      </w:r>
    </w:p>
    <w:tbl>
      <w:tblPr>
        <w:tblStyle w:val="TableGrid"/>
        <w:tblW w:type="auto" w:w="0"/>
        <w:jc w:val="center"/>
        <w:tblLayout w:type="fixed"/>
        <w:tblLook w:firstColumn="1" w:firstRow="1" w:lastColumn="0" w:lastRow="0" w:noHBand="0" w:noVBand="1" w:val="04A0"/>
      </w:tblPr>
      <w:tblGrid>
        <w:gridCol w:w="3168"/>
        <w:gridCol w:w="6192"/>
      </w:tblGrid>
      <w:tr>
        <w:trPr>
          <w:cantSplit w:val="true"/>
          <w:tblHeader w:val="true"/>
        </w:trPr>
        <w:tc>
          <w:tcPr>
            <w:tcW w:type="dxa" w:w="3168"/>
            <w:shd w:val="clear" w:color="auto" w:fill="0B3C5D"/>
          </w:tcPr>
          <w:p>
            <w:pPr>
              <w:spacing w:after="40" w:before="40" w:line="240" w:lineRule="auto"/>
            </w:pPr>
            <w:r/>
            <w:r>
              <w:rPr>
                <w:b/>
                <w:color w:val="FFFFFF"/>
                <w:sz w:val="18"/>
              </w:rPr>
              <w:t>Servicio de Azure</w:t>
            </w:r>
          </w:p>
        </w:tc>
        <w:tc>
          <w:tcPr>
            <w:tcW w:type="dxa" w:w="6192"/>
            <w:shd w:val="clear" w:color="auto" w:fill="0B3C5D"/>
          </w:tcPr>
          <w:p>
            <w:pPr>
              <w:spacing w:after="40" w:before="40" w:line="240" w:lineRule="auto"/>
            </w:pPr>
            <w:r/>
            <w:r>
              <w:rPr>
                <w:b/>
                <w:color w:val="FFFFFF"/>
                <w:sz w:val="18"/>
              </w:rPr>
              <w:t>Uso en la plataforma</w:t>
            </w:r>
          </w:p>
        </w:tc>
      </w:tr>
      <w:tr>
        <w:trPr>
          <w:cantSplit w:val="true"/>
        </w:trPr>
        <w:tc>
          <w:tcPr>
            <w:tcW w:type="dxa" w:w="3168"/>
          </w:tcPr>
          <w:p>
            <w:pPr>
              <w:spacing w:after="40" w:before="40" w:line="240" w:lineRule="auto"/>
            </w:pPr>
            <w:r/>
            <w:r>
              <w:rPr>
                <w:sz w:val="18"/>
              </w:rPr>
              <w:t>Front Door Premium + WAF</w:t>
            </w:r>
          </w:p>
        </w:tc>
        <w:tc>
          <w:tcPr>
            <w:tcW w:type="dxa" w:w="6192"/>
          </w:tcPr>
          <w:p>
            <w:pPr>
              <w:spacing w:after="40" w:before="40" w:line="240" w:lineRule="auto"/>
            </w:pPr>
            <w:r/>
            <w:r>
              <w:rPr>
                <w:sz w:val="18"/>
              </w:rPr>
              <w:t>Punto de entrada global, TLS, protección OWASP, balanceo y failover entre regiones.</w:t>
            </w:r>
          </w:p>
        </w:tc>
      </w:tr>
      <w:tr>
        <w:trPr>
          <w:cantSplit w:val="true"/>
        </w:trPr>
        <w:tc>
          <w:tcPr>
            <w:tcW w:type="dxa" w:w="3168"/>
            <w:shd w:val="clear" w:color="auto" w:fill="EAF2FB"/>
          </w:tcPr>
          <w:p>
            <w:pPr>
              <w:spacing w:after="40" w:before="40" w:line="240" w:lineRule="auto"/>
            </w:pPr>
            <w:r/>
            <w:r>
              <w:rPr>
                <w:sz w:val="18"/>
              </w:rPr>
              <w:t>Microsoft Entra ID</w:t>
            </w:r>
          </w:p>
        </w:tc>
        <w:tc>
          <w:tcPr>
            <w:tcW w:type="dxa" w:w="6192"/>
            <w:shd w:val="clear" w:color="auto" w:fill="EAF2FB"/>
          </w:tcPr>
          <w:p>
            <w:pPr>
              <w:spacing w:after="40" w:before="40" w:line="240" w:lineRule="auto"/>
            </w:pPr>
            <w:r/>
            <w:r>
              <w:rPr>
                <w:sz w:val="18"/>
              </w:rPr>
              <w:t>Federación OIDC con el sistema de seguridad corporativo, MFA y roles.</w:t>
            </w:r>
          </w:p>
        </w:tc>
      </w:tr>
      <w:tr>
        <w:trPr>
          <w:cantSplit w:val="true"/>
        </w:trPr>
        <w:tc>
          <w:tcPr>
            <w:tcW w:type="dxa" w:w="3168"/>
          </w:tcPr>
          <w:p>
            <w:pPr>
              <w:spacing w:after="40" w:before="40" w:line="240" w:lineRule="auto"/>
            </w:pPr>
            <w:r/>
            <w:r>
              <w:rPr>
                <w:sz w:val="18"/>
              </w:rPr>
              <w:t>API Management Standard v2</w:t>
            </w:r>
          </w:p>
        </w:tc>
        <w:tc>
          <w:tcPr>
            <w:tcW w:type="dxa" w:w="6192"/>
          </w:tcPr>
          <w:p>
            <w:pPr>
              <w:spacing w:after="40" w:before="40" w:line="240" w:lineRule="auto"/>
            </w:pPr>
            <w:r/>
            <w:r>
              <w:rPr>
                <w:sz w:val="18"/>
              </w:rPr>
              <w:t>API Gateway: validación de JWT, límites de uso, versionado de APIs.</w:t>
            </w:r>
          </w:p>
        </w:tc>
      </w:tr>
      <w:tr>
        <w:trPr>
          <w:cantSplit w:val="true"/>
        </w:trPr>
        <w:tc>
          <w:tcPr>
            <w:tcW w:type="dxa" w:w="3168"/>
            <w:shd w:val="clear" w:color="auto" w:fill="EAF2FB"/>
          </w:tcPr>
          <w:p>
            <w:pPr>
              <w:spacing w:after="40" w:before="40" w:line="240" w:lineRule="auto"/>
            </w:pPr>
            <w:r/>
            <w:r>
              <w:rPr>
                <w:sz w:val="18"/>
              </w:rPr>
              <w:t>Azure Kubernetes Service</w:t>
            </w:r>
          </w:p>
        </w:tc>
        <w:tc>
          <w:tcPr>
            <w:tcW w:type="dxa" w:w="6192"/>
            <w:shd w:val="clear" w:color="auto" w:fill="EAF2FB"/>
          </w:tcPr>
          <w:p>
            <w:pPr>
              <w:spacing w:after="40" w:before="40" w:line="240" w:lineRule="auto"/>
            </w:pPr>
            <w:r/>
            <w:r>
              <w:rPr>
                <w:sz w:val="18"/>
              </w:rPr>
              <w:t>Ejecuta los cinco microservicios con autoescalado en tres zonas.</w:t>
            </w:r>
          </w:p>
        </w:tc>
      </w:tr>
      <w:tr>
        <w:trPr>
          <w:cantSplit w:val="true"/>
        </w:trPr>
        <w:tc>
          <w:tcPr>
            <w:tcW w:type="dxa" w:w="3168"/>
          </w:tcPr>
          <w:p>
            <w:pPr>
              <w:spacing w:after="40" w:before="40" w:line="240" w:lineRule="auto"/>
            </w:pPr>
            <w:r/>
            <w:r>
              <w:rPr>
                <w:sz w:val="18"/>
              </w:rPr>
              <w:t>PostgreSQL Flexible Server</w:t>
            </w:r>
          </w:p>
        </w:tc>
        <w:tc>
          <w:tcPr>
            <w:tcW w:type="dxa" w:w="6192"/>
          </w:tcPr>
          <w:p>
            <w:pPr>
              <w:spacing w:after="40" w:before="40" w:line="240" w:lineRule="auto"/>
            </w:pPr>
            <w:r/>
            <w:r>
              <w:rPr>
                <w:sz w:val="18"/>
              </w:rPr>
              <w:t>Casos, remisiones, auditoría y centros médicos (PostGIS); HA zona-redundante y réplica geográfica.</w:t>
            </w:r>
          </w:p>
        </w:tc>
      </w:tr>
      <w:tr>
        <w:trPr>
          <w:cantSplit w:val="true"/>
        </w:trPr>
        <w:tc>
          <w:tcPr>
            <w:tcW w:type="dxa" w:w="3168"/>
            <w:shd w:val="clear" w:color="auto" w:fill="EAF2FB"/>
          </w:tcPr>
          <w:p>
            <w:pPr>
              <w:spacing w:after="40" w:before="40" w:line="240" w:lineRule="auto"/>
            </w:pPr>
            <w:r/>
            <w:r>
              <w:rPr>
                <w:sz w:val="18"/>
              </w:rPr>
              <w:t>Azure Health Data Services</w:t>
            </w:r>
          </w:p>
        </w:tc>
        <w:tc>
          <w:tcPr>
            <w:tcW w:type="dxa" w:w="6192"/>
            <w:shd w:val="clear" w:color="auto" w:fill="EAF2FB"/>
          </w:tcPr>
          <w:p>
            <w:pPr>
              <w:spacing w:after="40" w:before="40" w:line="240" w:lineRule="auto"/>
            </w:pPr>
            <w:r/>
            <w:r>
              <w:rPr>
                <w:sz w:val="18"/>
              </w:rPr>
              <w:t>Repositorio clínico FHIR R4 administrado.</w:t>
            </w:r>
          </w:p>
        </w:tc>
      </w:tr>
      <w:tr>
        <w:trPr>
          <w:cantSplit w:val="true"/>
        </w:trPr>
        <w:tc>
          <w:tcPr>
            <w:tcW w:type="dxa" w:w="3168"/>
          </w:tcPr>
          <w:p>
            <w:pPr>
              <w:spacing w:after="40" w:before="40" w:line="240" w:lineRule="auto"/>
            </w:pPr>
            <w:r/>
            <w:r>
              <w:rPr>
                <w:sz w:val="18"/>
              </w:rPr>
              <w:t>Azure OpenAI</w:t>
            </w:r>
          </w:p>
        </w:tc>
        <w:tc>
          <w:tcPr>
            <w:tcW w:type="dxa" w:w="6192"/>
          </w:tcPr>
          <w:p>
            <w:pPr>
              <w:spacing w:after="40" w:before="40" w:line="240" w:lineRule="auto"/>
            </w:pPr>
            <w:r/>
            <w:r>
              <w:rPr>
                <w:sz w:val="18"/>
              </w:rPr>
              <w:t>Sugerencias de diagnóstico con endpoint privado; los datos no se usan para entrenar modelos.</w:t>
            </w:r>
          </w:p>
        </w:tc>
      </w:tr>
      <w:tr>
        <w:trPr>
          <w:cantSplit w:val="true"/>
        </w:trPr>
        <w:tc>
          <w:tcPr>
            <w:tcW w:type="dxa" w:w="3168"/>
            <w:shd w:val="clear" w:color="auto" w:fill="EAF2FB"/>
          </w:tcPr>
          <w:p>
            <w:pPr>
              <w:spacing w:after="40" w:before="40" w:line="240" w:lineRule="auto"/>
            </w:pPr>
            <w:r/>
            <w:r>
              <w:rPr>
                <w:sz w:val="18"/>
              </w:rPr>
              <w:t>Azure Cache for Redis</w:t>
            </w:r>
          </w:p>
        </w:tc>
        <w:tc>
          <w:tcPr>
            <w:tcW w:type="dxa" w:w="6192"/>
            <w:shd w:val="clear" w:color="auto" w:fill="EAF2FB"/>
          </w:tcPr>
          <w:p>
            <w:pPr>
              <w:spacing w:after="40" w:before="40" w:line="240" w:lineRule="auto"/>
            </w:pPr>
            <w:r/>
            <w:r>
              <w:rPr>
                <w:sz w:val="18"/>
              </w:rPr>
              <w:t>Caché de sesiones y consultas frecuentes.</w:t>
            </w:r>
          </w:p>
        </w:tc>
      </w:tr>
      <w:tr>
        <w:trPr>
          <w:cantSplit w:val="true"/>
        </w:trPr>
        <w:tc>
          <w:tcPr>
            <w:tcW w:type="dxa" w:w="3168"/>
          </w:tcPr>
          <w:p>
            <w:pPr>
              <w:spacing w:after="40" w:before="40" w:line="240" w:lineRule="auto"/>
            </w:pPr>
            <w:r/>
            <w:r>
              <w:rPr>
                <w:sz w:val="18"/>
              </w:rPr>
              <w:t>Azure Service Bus Premium</w:t>
            </w:r>
          </w:p>
        </w:tc>
        <w:tc>
          <w:tcPr>
            <w:tcW w:type="dxa" w:w="6192"/>
          </w:tcPr>
          <w:p>
            <w:pPr>
              <w:spacing w:after="40" w:before="40" w:line="240" w:lineRule="auto"/>
            </w:pPr>
            <w:r/>
            <w:r>
              <w:rPr>
                <w:sz w:val="18"/>
              </w:rPr>
              <w:t>Eventos de remisión y auditoría con red privada.</w:t>
            </w:r>
          </w:p>
        </w:tc>
      </w:tr>
      <w:tr>
        <w:trPr>
          <w:cantSplit w:val="true"/>
        </w:trPr>
        <w:tc>
          <w:tcPr>
            <w:tcW w:type="dxa" w:w="3168"/>
            <w:shd w:val="clear" w:color="auto" w:fill="EAF2FB"/>
          </w:tcPr>
          <w:p>
            <w:pPr>
              <w:spacing w:after="40" w:before="40" w:line="240" w:lineRule="auto"/>
            </w:pPr>
            <w:r/>
            <w:r>
              <w:rPr>
                <w:sz w:val="18"/>
              </w:rPr>
              <w:t>Azure Maps</w:t>
            </w:r>
          </w:p>
        </w:tc>
        <w:tc>
          <w:tcPr>
            <w:tcW w:type="dxa" w:w="6192"/>
            <w:shd w:val="clear" w:color="auto" w:fill="EAF2FB"/>
          </w:tcPr>
          <w:p>
            <w:pPr>
              <w:spacing w:after="40" w:before="40" w:line="240" w:lineRule="auto"/>
            </w:pPr>
            <w:r/>
            <w:r>
              <w:rPr>
                <w:sz w:val="18"/>
              </w:rPr>
              <w:t>Geocodificación y matriz de rutas para HU03.</w:t>
            </w:r>
          </w:p>
        </w:tc>
      </w:tr>
      <w:tr>
        <w:trPr>
          <w:cantSplit w:val="true"/>
        </w:trPr>
        <w:tc>
          <w:tcPr>
            <w:tcW w:type="dxa" w:w="3168"/>
          </w:tcPr>
          <w:p>
            <w:pPr>
              <w:spacing w:after="40" w:before="40" w:line="240" w:lineRule="auto"/>
            </w:pPr>
            <w:r/>
            <w:r>
              <w:rPr>
                <w:sz w:val="18"/>
              </w:rPr>
              <w:t>Communication Services</w:t>
            </w:r>
          </w:p>
        </w:tc>
        <w:tc>
          <w:tcPr>
            <w:tcW w:type="dxa" w:w="6192"/>
          </w:tcPr>
          <w:p>
            <w:pPr>
              <w:spacing w:after="40" w:before="40" w:line="240" w:lineRule="auto"/>
            </w:pPr>
            <w:r/>
            <w:r>
              <w:rPr>
                <w:sz w:val="18"/>
              </w:rPr>
              <w:t>Llamadas, SMS y correos para HU04.</w:t>
            </w:r>
          </w:p>
        </w:tc>
      </w:tr>
      <w:tr>
        <w:trPr>
          <w:cantSplit w:val="true"/>
        </w:trPr>
        <w:tc>
          <w:tcPr>
            <w:tcW w:type="dxa" w:w="3168"/>
            <w:shd w:val="clear" w:color="auto" w:fill="EAF2FB"/>
          </w:tcPr>
          <w:p>
            <w:pPr>
              <w:spacing w:after="40" w:before="40" w:line="240" w:lineRule="auto"/>
            </w:pPr>
            <w:r/>
            <w:r>
              <w:rPr>
                <w:sz w:val="18"/>
              </w:rPr>
              <w:t>Key Vault</w:t>
            </w:r>
          </w:p>
        </w:tc>
        <w:tc>
          <w:tcPr>
            <w:tcW w:type="dxa" w:w="6192"/>
            <w:shd w:val="clear" w:color="auto" w:fill="EAF2FB"/>
          </w:tcPr>
          <w:p>
            <w:pPr>
              <w:spacing w:after="40" w:before="40" w:line="240" w:lineRule="auto"/>
            </w:pPr>
            <w:r/>
            <w:r>
              <w:rPr>
                <w:sz w:val="18"/>
              </w:rPr>
              <w:t>Secretos, llaves de cifrado y certificados.</w:t>
            </w:r>
          </w:p>
        </w:tc>
      </w:tr>
      <w:tr>
        <w:trPr>
          <w:cantSplit w:val="true"/>
        </w:trPr>
        <w:tc>
          <w:tcPr>
            <w:tcW w:type="dxa" w:w="3168"/>
          </w:tcPr>
          <w:p>
            <w:pPr>
              <w:spacing w:after="40" w:before="40" w:line="240" w:lineRule="auto"/>
            </w:pPr>
            <w:r/>
            <w:r>
              <w:rPr>
                <w:sz w:val="18"/>
              </w:rPr>
              <w:t>Azure Monitor, Log Analytics, Grafana</w:t>
            </w:r>
          </w:p>
        </w:tc>
        <w:tc>
          <w:tcPr>
            <w:tcW w:type="dxa" w:w="6192"/>
          </w:tcPr>
          <w:p>
            <w:pPr>
              <w:spacing w:after="40" w:before="40" w:line="240" w:lineRule="auto"/>
            </w:pPr>
            <w:r/>
            <w:r>
              <w:rPr>
                <w:sz w:val="18"/>
              </w:rPr>
              <w:t>Logs centralizados, métricas, trazas, tableros y alertas.</w:t>
            </w:r>
          </w:p>
        </w:tc>
      </w:tr>
      <w:tr>
        <w:trPr>
          <w:cantSplit w:val="true"/>
        </w:trPr>
        <w:tc>
          <w:tcPr>
            <w:tcW w:type="dxa" w:w="3168"/>
            <w:shd w:val="clear" w:color="auto" w:fill="EAF2FB"/>
          </w:tcPr>
          <w:p>
            <w:pPr>
              <w:spacing w:after="40" w:before="40" w:line="240" w:lineRule="auto"/>
            </w:pPr>
            <w:r/>
            <w:r>
              <w:rPr>
                <w:sz w:val="18"/>
              </w:rPr>
              <w:t>Defender for Cloud</w:t>
            </w:r>
          </w:p>
        </w:tc>
        <w:tc>
          <w:tcPr>
            <w:tcW w:type="dxa" w:w="6192"/>
            <w:shd w:val="clear" w:color="auto" w:fill="EAF2FB"/>
          </w:tcPr>
          <w:p>
            <w:pPr>
              <w:spacing w:after="40" w:before="40" w:line="240" w:lineRule="auto"/>
            </w:pPr>
            <w:r/>
            <w:r>
              <w:rPr>
                <w:sz w:val="18"/>
              </w:rPr>
              <w:t>Postura de seguridad, protección de contenedores y bases de datos.</w:t>
            </w:r>
          </w:p>
        </w:tc>
      </w:tr>
      <w:tr>
        <w:trPr>
          <w:cantSplit w:val="true"/>
        </w:trPr>
        <w:tc>
          <w:tcPr>
            <w:tcW w:type="dxa" w:w="3168"/>
          </w:tcPr>
          <w:p>
            <w:pPr>
              <w:spacing w:after="40" w:before="40" w:line="240" w:lineRule="auto"/>
            </w:pPr>
            <w:r/>
            <w:r>
              <w:rPr>
                <w:sz w:val="18"/>
              </w:rPr>
              <w:t>Container Registry + GitHub Actions</w:t>
            </w:r>
          </w:p>
        </w:tc>
        <w:tc>
          <w:tcPr>
            <w:tcW w:type="dxa" w:w="6192"/>
          </w:tcPr>
          <w:p>
            <w:pPr>
              <w:spacing w:after="40" w:before="40" w:line="240" w:lineRule="auto"/>
            </w:pPr>
            <w:r/>
            <w:r>
              <w:rPr>
                <w:sz w:val="18"/>
              </w:rPr>
              <w:t>Integración y despliegue continuo de imágenes.</w:t>
            </w:r>
          </w:p>
        </w:tc>
      </w:tr>
    </w:tbl>
    <w:p/>
    <w:p>
      <w:pPr>
        <w:pStyle w:val="Heading1"/>
      </w:pPr>
      <w:r>
        <w:t>9. Seguridad</w:t>
      </w:r>
    </w:p>
    <w:p>
      <w:pPr>
        <w:pStyle w:val="Heading2"/>
      </w:pPr>
      <w:r>
        <w:t>9.1 Autenticación y autorización</w:t>
      </w:r>
    </w:p>
    <w:p>
      <w:pPr>
        <w:pStyle w:val="ListBullet"/>
      </w:pPr>
      <w:r>
        <w:t>La aplicación usa el flujo Authorization Code con PKCE de OpenID Connect; nunca maneja contraseñas.</w:t>
      </w:r>
    </w:p>
    <w:p>
      <w:pPr>
        <w:pStyle w:val="ListBullet"/>
      </w:pPr>
      <w:r>
        <w:t>Microsoft Entra ID se federa con el sistema de seguridad centralizado de la compañía, que sigue siendo la fuente de verdad de las identidades.</w:t>
      </w:r>
    </w:p>
    <w:p>
      <w:pPr>
        <w:pStyle w:val="ListBullet"/>
      </w:pPr>
      <w:r>
        <w:t>Los tokens JWT incluyen roles (Enfermera, Supervisora, Administrador) que API Management y cada microservicio validan.</w:t>
      </w:r>
    </w:p>
    <w:p>
      <w:pPr>
        <w:pStyle w:val="ListBullet"/>
      </w:pPr>
      <w:r>
        <w:t>MFA y Acceso Condicional (dispositivo administrado, ubicación) para el personal del centro de llamadas.</w:t>
      </w:r>
    </w:p>
    <w:p>
      <w:pPr>
        <w:pStyle w:val="ListBullet"/>
      </w:pPr>
      <w:r>
        <w:t>Identidades administradas (Workload Identity) para que los microservicios accedan a Azure sin secretos en el código.</w:t>
      </w:r>
    </w:p>
    <w:p>
      <w:pPr>
        <w:pStyle w:val="Heading2"/>
      </w:pPr>
      <w:r>
        <w:t>9.2 Protección de datos</w:t>
      </w:r>
    </w:p>
    <w:p>
      <w:pPr>
        <w:pStyle w:val="ListBullet"/>
      </w:pPr>
      <w:r>
        <w:t>Cifrado en tránsito con HTTPS/TLS 1.2+ en todos los canales y cifrado en reposo con llaves administradas en Key Vault.</w:t>
      </w:r>
    </w:p>
    <w:p>
      <w:pPr>
        <w:pStyle w:val="ListBullet"/>
      </w:pPr>
      <w:r>
        <w:t>Bases de datos, caché, mensajería y FHIR accesibles solo por Private Endpoints dentro de la red virtual.</w:t>
      </w:r>
    </w:p>
    <w:p>
      <w:pPr>
        <w:pStyle w:val="ListBullet"/>
      </w:pPr>
      <w:r>
        <w:t>WAF con reglas OWASP en Front Door y políticas de red entre pods en AKS.</w:t>
      </w:r>
    </w:p>
    <w:p>
      <w:pPr>
        <w:pStyle w:val="ListBullet"/>
      </w:pPr>
      <w:r>
        <w:t>Auditoría de cada acceso a historias clínicas y de cada sugerencia de diagnóstico.</w:t>
      </w:r>
    </w:p>
    <w:p>
      <w:pPr>
        <w:pStyle w:val="ListBullet"/>
      </w:pPr>
      <w:r>
        <w:t>Anonimización de datos antes de consultar el motor de apoyo al diagnóstico.</w:t>
      </w:r>
    </w:p>
    <w:p>
      <w:pPr>
        <w:pStyle w:val="ListBullet"/>
      </w:pPr>
      <w:r>
        <w:t>Cumplimiento: Microsoft firma el BAA de HIPAA y Azure cuenta con ISO 27001, SOC 2 y HITRUST; se aplica además la normativa local de protección de datos de salud.</w:t>
      </w:r>
    </w:p>
    <w:p>
      <w:pPr>
        <w:pStyle w:val="Heading1"/>
      </w:pPr>
      <w:r>
        <w:t>10. Alta disponibilidad y recuperación</w:t>
      </w:r>
    </w:p>
    <w:tbl>
      <w:tblPr>
        <w:tblStyle w:val="TableGrid"/>
        <w:tblW w:type="auto" w:w="0"/>
        <w:jc w:val="center"/>
        <w:tblLayout w:type="fixed"/>
        <w:tblLook w:firstColumn="1" w:firstRow="1" w:lastColumn="0" w:lastRow="0" w:noHBand="0" w:noVBand="1" w:val="04A0"/>
      </w:tblPr>
      <w:tblGrid>
        <w:gridCol w:w="1584"/>
        <w:gridCol w:w="4320"/>
        <w:gridCol w:w="3456"/>
      </w:tblGrid>
      <w:tr>
        <w:trPr>
          <w:cantSplit w:val="true"/>
          <w:tblHeader w:val="true"/>
        </w:trPr>
        <w:tc>
          <w:tcPr>
            <w:tcW w:type="dxa" w:w="1584"/>
            <w:shd w:val="clear" w:color="auto" w:fill="0B3C5D"/>
          </w:tcPr>
          <w:p>
            <w:pPr>
              <w:spacing w:after="40" w:before="40" w:line="240" w:lineRule="auto"/>
            </w:pPr>
            <w:r/>
            <w:r>
              <w:rPr>
                <w:b/>
                <w:color w:val="FFFFFF"/>
                <w:sz w:val="18"/>
              </w:rPr>
              <w:t>Capa</w:t>
            </w:r>
          </w:p>
        </w:tc>
        <w:tc>
          <w:tcPr>
            <w:tcW w:type="dxa" w:w="4320"/>
            <w:shd w:val="clear" w:color="auto" w:fill="0B3C5D"/>
          </w:tcPr>
          <w:p>
            <w:pPr>
              <w:spacing w:after="40" w:before="40" w:line="240" w:lineRule="auto"/>
            </w:pPr>
            <w:r/>
            <w:r>
              <w:rPr>
                <w:b/>
                <w:color w:val="FFFFFF"/>
                <w:sz w:val="18"/>
              </w:rPr>
              <w:t>Mecanismo</w:t>
            </w:r>
          </w:p>
        </w:tc>
        <w:tc>
          <w:tcPr>
            <w:tcW w:type="dxa" w:w="3456"/>
            <w:shd w:val="clear" w:color="auto" w:fill="0B3C5D"/>
          </w:tcPr>
          <w:p>
            <w:pPr>
              <w:spacing w:after="40" w:before="40" w:line="240" w:lineRule="auto"/>
            </w:pPr>
            <w:r/>
            <w:r>
              <w:rPr>
                <w:b/>
                <w:color w:val="FFFFFF"/>
                <w:sz w:val="18"/>
              </w:rPr>
              <w:t>Resultado</w:t>
            </w:r>
          </w:p>
        </w:tc>
      </w:tr>
      <w:tr>
        <w:trPr>
          <w:cantSplit w:val="true"/>
        </w:trPr>
        <w:tc>
          <w:tcPr>
            <w:tcW w:type="dxa" w:w="1584"/>
          </w:tcPr>
          <w:p>
            <w:pPr>
              <w:spacing w:after="40" w:before="40" w:line="240" w:lineRule="auto"/>
            </w:pPr>
            <w:r/>
            <w:r>
              <w:rPr>
                <w:sz w:val="18"/>
              </w:rPr>
              <w:t>Entrada</w:t>
            </w:r>
          </w:p>
        </w:tc>
        <w:tc>
          <w:tcPr>
            <w:tcW w:type="dxa" w:w="4320"/>
          </w:tcPr>
          <w:p>
            <w:pPr>
              <w:spacing w:after="40" w:before="40" w:line="240" w:lineRule="auto"/>
            </w:pPr>
            <w:r/>
            <w:r>
              <w:rPr>
                <w:sz w:val="18"/>
              </w:rPr>
              <w:t>Front Door con sondas de salud cada 30 s</w:t>
            </w:r>
          </w:p>
        </w:tc>
        <w:tc>
          <w:tcPr>
            <w:tcW w:type="dxa" w:w="3456"/>
          </w:tcPr>
          <w:p>
            <w:pPr>
              <w:spacing w:after="40" w:before="40" w:line="240" w:lineRule="auto"/>
            </w:pPr>
            <w:r/>
            <w:r>
              <w:rPr>
                <w:sz w:val="18"/>
              </w:rPr>
              <w:t>Desvía el tráfico a Central US si East US 2 falla</w:t>
            </w:r>
          </w:p>
        </w:tc>
      </w:tr>
      <w:tr>
        <w:trPr>
          <w:cantSplit w:val="true"/>
        </w:trPr>
        <w:tc>
          <w:tcPr>
            <w:tcW w:type="dxa" w:w="1584"/>
            <w:shd w:val="clear" w:color="auto" w:fill="EAF2FB"/>
          </w:tcPr>
          <w:p>
            <w:pPr>
              <w:spacing w:after="40" w:before="40" w:line="240" w:lineRule="auto"/>
            </w:pPr>
            <w:r/>
            <w:r>
              <w:rPr>
                <w:sz w:val="18"/>
              </w:rPr>
              <w:t>Gateway</w:t>
            </w:r>
          </w:p>
        </w:tc>
        <w:tc>
          <w:tcPr>
            <w:tcW w:type="dxa" w:w="4320"/>
            <w:shd w:val="clear" w:color="auto" w:fill="EAF2FB"/>
          </w:tcPr>
          <w:p>
            <w:pPr>
              <w:spacing w:after="40" w:before="40" w:line="240" w:lineRule="auto"/>
            </w:pPr>
            <w:r/>
            <w:r>
              <w:rPr>
                <w:sz w:val="18"/>
              </w:rPr>
              <w:t>API Management en cada región</w:t>
            </w:r>
          </w:p>
        </w:tc>
        <w:tc>
          <w:tcPr>
            <w:tcW w:type="dxa" w:w="3456"/>
            <w:shd w:val="clear" w:color="auto" w:fill="EAF2FB"/>
          </w:tcPr>
          <w:p>
            <w:pPr>
              <w:spacing w:after="40" w:before="40" w:line="240" w:lineRule="auto"/>
            </w:pPr>
            <w:r/>
            <w:r>
              <w:rPr>
                <w:sz w:val="18"/>
              </w:rPr>
              <w:t>Sin punto único de falla en la entrada de APIs</w:t>
            </w:r>
          </w:p>
        </w:tc>
      </w:tr>
      <w:tr>
        <w:trPr>
          <w:cantSplit w:val="true"/>
        </w:trPr>
        <w:tc>
          <w:tcPr>
            <w:tcW w:type="dxa" w:w="1584"/>
          </w:tcPr>
          <w:p>
            <w:pPr>
              <w:spacing w:after="40" w:before="40" w:line="240" w:lineRule="auto"/>
            </w:pPr>
            <w:r/>
            <w:r>
              <w:rPr>
                <w:sz w:val="18"/>
              </w:rPr>
              <w:t>Cómputo</w:t>
            </w:r>
          </w:p>
        </w:tc>
        <w:tc>
          <w:tcPr>
            <w:tcW w:type="dxa" w:w="4320"/>
          </w:tcPr>
          <w:p>
            <w:pPr>
              <w:spacing w:after="40" w:before="40" w:line="240" w:lineRule="auto"/>
            </w:pPr>
            <w:r/>
            <w:r>
              <w:rPr>
                <w:sz w:val="18"/>
              </w:rPr>
              <w:t>AKS en 3 zonas, mínimo 3 nodos y réplicas por servicio</w:t>
            </w:r>
          </w:p>
        </w:tc>
        <w:tc>
          <w:tcPr>
            <w:tcW w:type="dxa" w:w="3456"/>
          </w:tcPr>
          <w:p>
            <w:pPr>
              <w:spacing w:after="40" w:before="40" w:line="240" w:lineRule="auto"/>
            </w:pPr>
            <w:r/>
            <w:r>
              <w:rPr>
                <w:sz w:val="18"/>
              </w:rPr>
              <w:t>Tolera la caída de una zona completa</w:t>
            </w:r>
          </w:p>
        </w:tc>
      </w:tr>
      <w:tr>
        <w:trPr>
          <w:cantSplit w:val="true"/>
        </w:trPr>
        <w:tc>
          <w:tcPr>
            <w:tcW w:type="dxa" w:w="1584"/>
            <w:shd w:val="clear" w:color="auto" w:fill="EAF2FB"/>
          </w:tcPr>
          <w:p>
            <w:pPr>
              <w:spacing w:after="40" w:before="40" w:line="240" w:lineRule="auto"/>
            </w:pPr>
            <w:r/>
            <w:r>
              <w:rPr>
                <w:sz w:val="18"/>
              </w:rPr>
              <w:t>Datos</w:t>
            </w:r>
          </w:p>
        </w:tc>
        <w:tc>
          <w:tcPr>
            <w:tcW w:type="dxa" w:w="4320"/>
            <w:shd w:val="clear" w:color="auto" w:fill="EAF2FB"/>
          </w:tcPr>
          <w:p>
            <w:pPr>
              <w:spacing w:after="40" w:before="40" w:line="240" w:lineRule="auto"/>
            </w:pPr>
            <w:r/>
            <w:r>
              <w:rPr>
                <w:sz w:val="18"/>
              </w:rPr>
              <w:t>PostgreSQL HA zona-redundante + réplica de lectura geográfica</w:t>
            </w:r>
          </w:p>
        </w:tc>
        <w:tc>
          <w:tcPr>
            <w:tcW w:type="dxa" w:w="3456"/>
            <w:shd w:val="clear" w:color="auto" w:fill="EAF2FB"/>
          </w:tcPr>
          <w:p>
            <w:pPr>
              <w:spacing w:after="40" w:before="40" w:line="240" w:lineRule="auto"/>
            </w:pPr>
            <w:r/>
            <w:r>
              <w:rPr>
                <w:sz w:val="18"/>
              </w:rPr>
              <w:t>RPO ≤ 5 minutos</w:t>
            </w:r>
          </w:p>
        </w:tc>
      </w:tr>
      <w:tr>
        <w:trPr>
          <w:cantSplit w:val="true"/>
        </w:trPr>
        <w:tc>
          <w:tcPr>
            <w:tcW w:type="dxa" w:w="1584"/>
          </w:tcPr>
          <w:p>
            <w:pPr>
              <w:spacing w:after="40" w:before="40" w:line="240" w:lineRule="auto"/>
            </w:pPr>
            <w:r/>
            <w:r>
              <w:rPr>
                <w:sz w:val="18"/>
              </w:rPr>
              <w:t>Archivos</w:t>
            </w:r>
          </w:p>
        </w:tc>
        <w:tc>
          <w:tcPr>
            <w:tcW w:type="dxa" w:w="4320"/>
          </w:tcPr>
          <w:p>
            <w:pPr>
              <w:spacing w:after="40" w:before="40" w:line="240" w:lineRule="auto"/>
            </w:pPr>
            <w:r/>
            <w:r>
              <w:rPr>
                <w:sz w:val="18"/>
              </w:rPr>
              <w:t>Blob ZRS + replicación de objetos a Central US</w:t>
            </w:r>
          </w:p>
        </w:tc>
        <w:tc>
          <w:tcPr>
            <w:tcW w:type="dxa" w:w="3456"/>
          </w:tcPr>
          <w:p>
            <w:pPr>
              <w:spacing w:after="40" w:before="40" w:line="240" w:lineRule="auto"/>
            </w:pPr>
            <w:r/>
            <w:r>
              <w:rPr>
                <w:sz w:val="18"/>
              </w:rPr>
              <w:t>Documentos disponibles en ambas regiones</w:t>
            </w:r>
          </w:p>
        </w:tc>
      </w:tr>
      <w:tr>
        <w:trPr>
          <w:cantSplit w:val="true"/>
        </w:trPr>
        <w:tc>
          <w:tcPr>
            <w:tcW w:type="dxa" w:w="1584"/>
            <w:shd w:val="clear" w:color="auto" w:fill="EAF2FB"/>
          </w:tcPr>
          <w:p>
            <w:pPr>
              <w:spacing w:after="40" w:before="40" w:line="240" w:lineRule="auto"/>
            </w:pPr>
            <w:r/>
            <w:r>
              <w:rPr>
                <w:sz w:val="18"/>
              </w:rPr>
              <w:t>Mensajería</w:t>
            </w:r>
          </w:p>
        </w:tc>
        <w:tc>
          <w:tcPr>
            <w:tcW w:type="dxa" w:w="4320"/>
            <w:shd w:val="clear" w:color="auto" w:fill="EAF2FB"/>
          </w:tcPr>
          <w:p>
            <w:pPr>
              <w:spacing w:after="40" w:before="40" w:line="240" w:lineRule="auto"/>
            </w:pPr>
            <w:r/>
            <w:r>
              <w:rPr>
                <w:sz w:val="18"/>
              </w:rPr>
              <w:t>Service Bus Premium con zonas y cola de mensajes fallidos</w:t>
            </w:r>
          </w:p>
        </w:tc>
        <w:tc>
          <w:tcPr>
            <w:tcW w:type="dxa" w:w="3456"/>
            <w:shd w:val="clear" w:color="auto" w:fill="EAF2FB"/>
          </w:tcPr>
          <w:p>
            <w:pPr>
              <w:spacing w:after="40" w:before="40" w:line="240" w:lineRule="auto"/>
            </w:pPr>
            <w:r/>
            <w:r>
              <w:rPr>
                <w:sz w:val="18"/>
              </w:rPr>
              <w:t>Ningún aviso de remisión se pierde</w:t>
            </w:r>
          </w:p>
        </w:tc>
      </w:tr>
      <w:tr>
        <w:trPr>
          <w:cantSplit w:val="true"/>
        </w:trPr>
        <w:tc>
          <w:tcPr>
            <w:tcW w:type="dxa" w:w="1584"/>
          </w:tcPr>
          <w:p>
            <w:pPr>
              <w:spacing w:after="40" w:before="40" w:line="240" w:lineRule="auto"/>
            </w:pPr>
            <w:r/>
            <w:r>
              <w:rPr>
                <w:sz w:val="18"/>
              </w:rPr>
              <w:t>Recuperación</w:t>
            </w:r>
          </w:p>
        </w:tc>
        <w:tc>
          <w:tcPr>
            <w:tcW w:type="dxa" w:w="4320"/>
          </w:tcPr>
          <w:p>
            <w:pPr>
              <w:spacing w:after="40" w:before="40" w:line="240" w:lineRule="auto"/>
            </w:pPr>
            <w:r/>
            <w:r>
              <w:rPr>
                <w:sz w:val="18"/>
              </w:rPr>
              <w:t>Infraestructura como código y simulacro trimestral</w:t>
            </w:r>
          </w:p>
        </w:tc>
        <w:tc>
          <w:tcPr>
            <w:tcW w:type="dxa" w:w="3456"/>
          </w:tcPr>
          <w:p>
            <w:pPr>
              <w:spacing w:after="40" w:before="40" w:line="240" w:lineRule="auto"/>
            </w:pPr>
            <w:r/>
            <w:r>
              <w:rPr>
                <w:sz w:val="18"/>
              </w:rPr>
              <w:t>RTO ≤ 1 hora</w:t>
            </w:r>
          </w:p>
        </w:tc>
      </w:tr>
    </w:tbl>
    <w:p/>
    <w:p>
      <w:pPr>
        <w:pStyle w:val="Heading1"/>
      </w:pPr>
      <w:r>
        <w:t>11. Escalabilidad</w:t>
      </w:r>
    </w:p>
    <w:p>
      <w:pPr>
        <w:pStyle w:val="ListBullet"/>
      </w:pPr>
      <w:r>
        <w:t>Horizontal Pod Autoscaler por microservicio según CPU y peticiones por segundo; Cluster Autoscaler entre 3 y 12 nodos.</w:t>
      </w:r>
    </w:p>
    <w:p>
      <w:pPr>
        <w:pStyle w:val="ListBullet"/>
      </w:pPr>
      <w:r>
        <w:t>Servicios stateless: cualquier réplica atiende cualquier petición; el estado vive en PostgreSQL, Redis y FHIR.</w:t>
      </w:r>
    </w:p>
    <w:p>
      <w:pPr>
        <w:pStyle w:val="ListBullet"/>
      </w:pPr>
      <w:r>
        <w:t>Caché de respuestas frecuentes para reducir la carga sobre FHIR y Azure Maps.</w:t>
      </w:r>
    </w:p>
    <w:p>
      <w:pPr>
        <w:pStyle w:val="ListBullet"/>
      </w:pPr>
      <w:r>
        <w:t>La fase 2 (pacientes) agrega Entra External ID y nuevos clientes sin cambiar los microservicios existentes.</w:t>
      </w:r>
    </w:p>
    <w:p>
      <w:pPr>
        <w:pStyle w:val="Heading1"/>
      </w:pPr>
      <w:r>
        <w:t>12. Monitoreo y logs</w:t>
      </w:r>
    </w:p>
    <w:p>
      <w:r>
        <w:rPr>
          <w:i w:val="0"/>
        </w:rPr>
        <w:t>Toda la telemetría se centraliza en un workspace de Log Analytics, con Application Insights para trazas distribuidas y Managed Prometheus con Grafana para métricas de Kubernetes.</w:t>
      </w:r>
    </w:p>
    <w:tbl>
      <w:tblPr>
        <w:tblStyle w:val="TableGrid"/>
        <w:tblW w:type="auto" w:w="0"/>
        <w:jc w:val="center"/>
        <w:tblLayout w:type="fixed"/>
        <w:tblLook w:firstColumn="1" w:firstRow="1" w:lastColumn="0" w:lastRow="0" w:noHBand="0" w:noVBand="1" w:val="04A0"/>
      </w:tblPr>
      <w:tblGrid>
        <w:gridCol w:w="1872"/>
        <w:gridCol w:w="3888"/>
        <w:gridCol w:w="3600"/>
      </w:tblGrid>
      <w:tr>
        <w:trPr>
          <w:cantSplit w:val="true"/>
          <w:tblHeader w:val="true"/>
        </w:trPr>
        <w:tc>
          <w:tcPr>
            <w:tcW w:type="dxa" w:w="1872"/>
            <w:shd w:val="clear" w:color="auto" w:fill="0B3C5D"/>
          </w:tcPr>
          <w:p>
            <w:pPr>
              <w:spacing w:after="40" w:before="40" w:line="240" w:lineRule="auto"/>
            </w:pPr>
            <w:r/>
            <w:r>
              <w:rPr>
                <w:b/>
                <w:color w:val="FFFFFF"/>
                <w:sz w:val="18"/>
              </w:rPr>
              <w:t>Alerta</w:t>
            </w:r>
          </w:p>
        </w:tc>
        <w:tc>
          <w:tcPr>
            <w:tcW w:type="dxa" w:w="3888"/>
            <w:shd w:val="clear" w:color="auto" w:fill="0B3C5D"/>
          </w:tcPr>
          <w:p>
            <w:pPr>
              <w:spacing w:after="40" w:before="40" w:line="240" w:lineRule="auto"/>
            </w:pPr>
            <w:r/>
            <w:r>
              <w:rPr>
                <w:b/>
                <w:color w:val="FFFFFF"/>
                <w:sz w:val="18"/>
              </w:rPr>
              <w:t>Condición</w:t>
            </w:r>
          </w:p>
        </w:tc>
        <w:tc>
          <w:tcPr>
            <w:tcW w:type="dxa" w:w="3600"/>
            <w:shd w:val="clear" w:color="auto" w:fill="0B3C5D"/>
          </w:tcPr>
          <w:p>
            <w:pPr>
              <w:spacing w:after="40" w:before="40" w:line="240" w:lineRule="auto"/>
            </w:pPr>
            <w:r/>
            <w:r>
              <w:rPr>
                <w:b/>
                <w:color w:val="FFFFFF"/>
                <w:sz w:val="18"/>
              </w:rPr>
              <w:t>Acción</w:t>
            </w:r>
          </w:p>
        </w:tc>
      </w:tr>
      <w:tr>
        <w:trPr>
          <w:cantSplit w:val="true"/>
        </w:trPr>
        <w:tc>
          <w:tcPr>
            <w:tcW w:type="dxa" w:w="1872"/>
          </w:tcPr>
          <w:p>
            <w:pPr>
              <w:spacing w:after="40" w:before="40" w:line="240" w:lineRule="auto"/>
            </w:pPr>
            <w:r/>
            <w:r>
              <w:rPr>
                <w:sz w:val="18"/>
              </w:rPr>
              <w:t>Disponibilidad</w:t>
            </w:r>
          </w:p>
        </w:tc>
        <w:tc>
          <w:tcPr>
            <w:tcW w:type="dxa" w:w="3888"/>
          </w:tcPr>
          <w:p>
            <w:pPr>
              <w:spacing w:after="40" w:before="40" w:line="240" w:lineRule="auto"/>
            </w:pPr>
            <w:r/>
            <w:r>
              <w:rPr>
                <w:sz w:val="18"/>
              </w:rPr>
              <w:t>Sonda de salud falla en 2 de 3 ubicaciones</w:t>
            </w:r>
          </w:p>
        </w:tc>
        <w:tc>
          <w:tcPr>
            <w:tcW w:type="dxa" w:w="3600"/>
          </w:tcPr>
          <w:p>
            <w:pPr>
              <w:spacing w:after="40" w:before="40" w:line="240" w:lineRule="auto"/>
            </w:pPr>
            <w:r/>
            <w:r>
              <w:rPr>
                <w:sz w:val="18"/>
              </w:rPr>
              <w:t>Notificar a guardia + failover automático</w:t>
            </w:r>
          </w:p>
        </w:tc>
      </w:tr>
      <w:tr>
        <w:trPr>
          <w:cantSplit w:val="true"/>
        </w:trPr>
        <w:tc>
          <w:tcPr>
            <w:tcW w:type="dxa" w:w="1872"/>
            <w:shd w:val="clear" w:color="auto" w:fill="EAF2FB"/>
          </w:tcPr>
          <w:p>
            <w:pPr>
              <w:spacing w:after="40" w:before="40" w:line="240" w:lineRule="auto"/>
            </w:pPr>
            <w:r/>
            <w:r>
              <w:rPr>
                <w:sz w:val="18"/>
              </w:rPr>
              <w:t>Latencia</w:t>
            </w:r>
          </w:p>
        </w:tc>
        <w:tc>
          <w:tcPr>
            <w:tcW w:type="dxa" w:w="3888"/>
            <w:shd w:val="clear" w:color="auto" w:fill="EAF2FB"/>
          </w:tcPr>
          <w:p>
            <w:pPr>
              <w:spacing w:after="40" w:before="40" w:line="240" w:lineRule="auto"/>
            </w:pPr>
            <w:r/>
            <w:r>
              <w:rPr>
                <w:sz w:val="18"/>
              </w:rPr>
              <w:t>P95 de API &gt; 2 s durante 5 minutos</w:t>
            </w:r>
          </w:p>
        </w:tc>
        <w:tc>
          <w:tcPr>
            <w:tcW w:type="dxa" w:w="3600"/>
            <w:shd w:val="clear" w:color="auto" w:fill="EAF2FB"/>
          </w:tcPr>
          <w:p>
            <w:pPr>
              <w:spacing w:after="40" w:before="40" w:line="240" w:lineRule="auto"/>
            </w:pPr>
            <w:r/>
            <w:r>
              <w:rPr>
                <w:sz w:val="18"/>
              </w:rPr>
              <w:t>Notificar al equipo y revisar autoescalado</w:t>
            </w:r>
          </w:p>
        </w:tc>
      </w:tr>
      <w:tr>
        <w:trPr>
          <w:cantSplit w:val="true"/>
        </w:trPr>
        <w:tc>
          <w:tcPr>
            <w:tcW w:type="dxa" w:w="1872"/>
          </w:tcPr>
          <w:p>
            <w:pPr>
              <w:spacing w:after="40" w:before="40" w:line="240" w:lineRule="auto"/>
            </w:pPr>
            <w:r/>
            <w:r>
              <w:rPr>
                <w:sz w:val="18"/>
              </w:rPr>
              <w:t>Errores</w:t>
            </w:r>
          </w:p>
        </w:tc>
        <w:tc>
          <w:tcPr>
            <w:tcW w:type="dxa" w:w="3888"/>
          </w:tcPr>
          <w:p>
            <w:pPr>
              <w:spacing w:after="40" w:before="40" w:line="240" w:lineRule="auto"/>
            </w:pPr>
            <w:r/>
            <w:r>
              <w:rPr>
                <w:sz w:val="18"/>
              </w:rPr>
              <w:t>Tasa de errores 5xx &gt; 2%</w:t>
            </w:r>
          </w:p>
        </w:tc>
        <w:tc>
          <w:tcPr>
            <w:tcW w:type="dxa" w:w="3600"/>
          </w:tcPr>
          <w:p>
            <w:pPr>
              <w:spacing w:after="40" w:before="40" w:line="240" w:lineRule="auto"/>
            </w:pPr>
            <w:r/>
            <w:r>
              <w:rPr>
                <w:sz w:val="18"/>
              </w:rPr>
              <w:t>Notificar al equipo y revisar el último despliegue</w:t>
            </w:r>
          </w:p>
        </w:tc>
      </w:tr>
      <w:tr>
        <w:trPr>
          <w:cantSplit w:val="true"/>
        </w:trPr>
        <w:tc>
          <w:tcPr>
            <w:tcW w:type="dxa" w:w="1872"/>
            <w:shd w:val="clear" w:color="auto" w:fill="EAF2FB"/>
          </w:tcPr>
          <w:p>
            <w:pPr>
              <w:spacing w:after="40" w:before="40" w:line="240" w:lineRule="auto"/>
            </w:pPr>
            <w:r/>
            <w:r>
              <w:rPr>
                <w:sz w:val="18"/>
              </w:rPr>
              <w:t>Remisiones</w:t>
            </w:r>
          </w:p>
        </w:tc>
        <w:tc>
          <w:tcPr>
            <w:tcW w:type="dxa" w:w="3888"/>
            <w:shd w:val="clear" w:color="auto" w:fill="EAF2FB"/>
          </w:tcPr>
          <w:p>
            <w:pPr>
              <w:spacing w:after="40" w:before="40" w:line="240" w:lineRule="auto"/>
            </w:pPr>
            <w:r/>
            <w:r>
              <w:rPr>
                <w:sz w:val="18"/>
              </w:rPr>
              <w:t>Mensajes en cola de fallidos &gt; 0</w:t>
            </w:r>
          </w:p>
        </w:tc>
        <w:tc>
          <w:tcPr>
            <w:tcW w:type="dxa" w:w="3600"/>
            <w:shd w:val="clear" w:color="auto" w:fill="EAF2FB"/>
          </w:tcPr>
          <w:p>
            <w:pPr>
              <w:spacing w:after="40" w:before="40" w:line="240" w:lineRule="auto"/>
            </w:pPr>
            <w:r/>
            <w:r>
              <w:rPr>
                <w:sz w:val="18"/>
              </w:rPr>
              <w:t>Revisar el canal de notificación del centro</w:t>
            </w:r>
          </w:p>
        </w:tc>
      </w:tr>
      <w:tr>
        <w:trPr>
          <w:cantSplit w:val="true"/>
        </w:trPr>
        <w:tc>
          <w:tcPr>
            <w:tcW w:type="dxa" w:w="1872"/>
          </w:tcPr>
          <w:p>
            <w:pPr>
              <w:spacing w:after="40" w:before="40" w:line="240" w:lineRule="auto"/>
            </w:pPr>
            <w:r/>
            <w:r>
              <w:rPr>
                <w:sz w:val="18"/>
              </w:rPr>
              <w:t>Base de datos</w:t>
            </w:r>
          </w:p>
        </w:tc>
        <w:tc>
          <w:tcPr>
            <w:tcW w:type="dxa" w:w="3888"/>
          </w:tcPr>
          <w:p>
            <w:pPr>
              <w:spacing w:after="40" w:before="40" w:line="240" w:lineRule="auto"/>
            </w:pPr>
            <w:r/>
            <w:r>
              <w:rPr>
                <w:sz w:val="18"/>
              </w:rPr>
              <w:t>CPU &gt; 80% o réplica con retraso &gt; 60 s</w:t>
            </w:r>
          </w:p>
        </w:tc>
        <w:tc>
          <w:tcPr>
            <w:tcW w:type="dxa" w:w="3600"/>
          </w:tcPr>
          <w:p>
            <w:pPr>
              <w:spacing w:after="40" w:before="40" w:line="240" w:lineRule="auto"/>
            </w:pPr>
            <w:r/>
            <w:r>
              <w:rPr>
                <w:sz w:val="18"/>
              </w:rPr>
              <w:t>Escalar o revisar consultas</w:t>
            </w:r>
          </w:p>
        </w:tc>
      </w:tr>
      <w:tr>
        <w:trPr>
          <w:cantSplit w:val="true"/>
        </w:trPr>
        <w:tc>
          <w:tcPr>
            <w:tcW w:type="dxa" w:w="1872"/>
            <w:shd w:val="clear" w:color="auto" w:fill="EAF2FB"/>
          </w:tcPr>
          <w:p>
            <w:pPr>
              <w:spacing w:after="40" w:before="40" w:line="240" w:lineRule="auto"/>
            </w:pPr>
            <w:r/>
            <w:r>
              <w:rPr>
                <w:sz w:val="18"/>
              </w:rPr>
              <w:t>Seguridad</w:t>
            </w:r>
          </w:p>
        </w:tc>
        <w:tc>
          <w:tcPr>
            <w:tcW w:type="dxa" w:w="3888"/>
            <w:shd w:val="clear" w:color="auto" w:fill="EAF2FB"/>
          </w:tcPr>
          <w:p>
            <w:pPr>
              <w:spacing w:after="40" w:before="40" w:line="240" w:lineRule="auto"/>
            </w:pPr>
            <w:r/>
            <w:r>
              <w:rPr>
                <w:sz w:val="18"/>
              </w:rPr>
              <w:t>Alertas de Defender for Cloud de severidad alta</w:t>
            </w:r>
          </w:p>
        </w:tc>
        <w:tc>
          <w:tcPr>
            <w:tcW w:type="dxa" w:w="3600"/>
            <w:shd w:val="clear" w:color="auto" w:fill="EAF2FB"/>
          </w:tcPr>
          <w:p>
            <w:pPr>
              <w:spacing w:after="40" w:before="40" w:line="240" w:lineRule="auto"/>
            </w:pPr>
            <w:r/>
            <w:r>
              <w:rPr>
                <w:sz w:val="18"/>
              </w:rPr>
              <w:t>Respuesta a incidentes</w:t>
            </w:r>
          </w:p>
        </w:tc>
      </w:tr>
      <w:tr>
        <w:trPr>
          <w:cantSplit w:val="true"/>
        </w:trPr>
        <w:tc>
          <w:tcPr>
            <w:tcW w:type="dxa" w:w="1872"/>
          </w:tcPr>
          <w:p>
            <w:pPr>
              <w:spacing w:after="40" w:before="40" w:line="240" w:lineRule="auto"/>
            </w:pPr>
            <w:r/>
            <w:r>
              <w:rPr>
                <w:sz w:val="18"/>
              </w:rPr>
              <w:t>Costos</w:t>
            </w:r>
          </w:p>
        </w:tc>
        <w:tc>
          <w:tcPr>
            <w:tcW w:type="dxa" w:w="3888"/>
          </w:tcPr>
          <w:p>
            <w:pPr>
              <w:spacing w:after="40" w:before="40" w:line="240" w:lineRule="auto"/>
            </w:pPr>
            <w:r/>
            <w:r>
              <w:rPr>
                <w:sz w:val="18"/>
              </w:rPr>
              <w:t>Gasto mensual supera el 90% del presupuesto</w:t>
            </w:r>
          </w:p>
        </w:tc>
        <w:tc>
          <w:tcPr>
            <w:tcW w:type="dxa" w:w="3600"/>
          </w:tcPr>
          <w:p>
            <w:pPr>
              <w:spacing w:after="40" w:before="40" w:line="240" w:lineRule="auto"/>
            </w:pPr>
            <w:r/>
            <w:r>
              <w:rPr>
                <w:sz w:val="18"/>
              </w:rPr>
              <w:t>Revisar consumo con FinOps</w:t>
            </w:r>
          </w:p>
        </w:tc>
      </w:tr>
    </w:tbl>
    <w:p/>
    <w:p>
      <w:r>
        <w:br w:type="page"/>
      </w:r>
    </w:p>
    <w:p>
      <w:pPr>
        <w:pStyle w:val="Heading1"/>
      </w:pPr>
      <w:r>
        <w:t>13. Comparación de plataformas y justificación</w:t>
      </w:r>
    </w:p>
    <w:p>
      <w:r>
        <w:rPr>
          <w:i w:val="0"/>
        </w:rPr>
        <w:t>Se compararon Microsoft Azure y Amazon Web Services con una matriz de decisión ponderada. Los pesos reflejan las prioridades de un sistema de salud: costo, integración con la seguridad corporativa y cumplimiento normativo.</w:t>
      </w:r>
    </w:p>
    <w:tbl>
      <w:tblPr>
        <w:tblStyle w:val="TableGrid"/>
        <w:tblW w:type="auto" w:w="0"/>
        <w:jc w:val="center"/>
        <w:tblLayout w:type="fixed"/>
        <w:tblLook w:firstColumn="1" w:firstRow="1" w:lastColumn="0" w:lastRow="0" w:noHBand="0" w:noVBand="1" w:val="04A0"/>
      </w:tblPr>
      <w:tblGrid>
        <w:gridCol w:w="4896"/>
        <w:gridCol w:w="1152"/>
        <w:gridCol w:w="1584"/>
        <w:gridCol w:w="1584"/>
      </w:tblGrid>
      <w:tr>
        <w:trPr>
          <w:cantSplit w:val="true"/>
          <w:tblHeader w:val="true"/>
        </w:trPr>
        <w:tc>
          <w:tcPr>
            <w:tcW w:type="dxa" w:w="4896"/>
            <w:shd w:val="clear" w:color="auto" w:fill="0B3C5D"/>
          </w:tcPr>
          <w:p>
            <w:pPr>
              <w:spacing w:after="40" w:before="40" w:line="240" w:lineRule="auto"/>
            </w:pPr>
            <w:r/>
            <w:r>
              <w:rPr>
                <w:b/>
                <w:color w:val="FFFFFF"/>
                <w:sz w:val="19"/>
              </w:rPr>
              <w:t>Criterio</w:t>
            </w:r>
          </w:p>
        </w:tc>
        <w:tc>
          <w:tcPr>
            <w:tcW w:type="dxa" w:w="1152"/>
            <w:shd w:val="clear" w:color="auto" w:fill="0B3C5D"/>
          </w:tcPr>
          <w:p>
            <w:pPr>
              <w:spacing w:after="40" w:before="40" w:line="240" w:lineRule="auto"/>
            </w:pPr>
            <w:r/>
            <w:r>
              <w:rPr>
                <w:b/>
                <w:color w:val="FFFFFF"/>
                <w:sz w:val="19"/>
              </w:rPr>
              <w:t>Peso</w:t>
            </w:r>
          </w:p>
        </w:tc>
        <w:tc>
          <w:tcPr>
            <w:tcW w:type="dxa" w:w="1584"/>
            <w:shd w:val="clear" w:color="auto" w:fill="0B3C5D"/>
          </w:tcPr>
          <w:p>
            <w:pPr>
              <w:spacing w:after="40" w:before="40" w:line="240" w:lineRule="auto"/>
            </w:pPr>
            <w:r/>
            <w:r>
              <w:rPr>
                <w:b/>
                <w:color w:val="FFFFFF"/>
                <w:sz w:val="19"/>
              </w:rPr>
              <w:t>Azure</w:t>
            </w:r>
          </w:p>
        </w:tc>
        <w:tc>
          <w:tcPr>
            <w:tcW w:type="dxa" w:w="1584"/>
            <w:shd w:val="clear" w:color="auto" w:fill="0B3C5D"/>
          </w:tcPr>
          <w:p>
            <w:pPr>
              <w:spacing w:after="40" w:before="40" w:line="240" w:lineRule="auto"/>
            </w:pPr>
            <w:r/>
            <w:r>
              <w:rPr>
                <w:b/>
                <w:color w:val="FFFFFF"/>
                <w:sz w:val="19"/>
              </w:rPr>
              <w:t>AWS</w:t>
            </w:r>
          </w:p>
        </w:tc>
      </w:tr>
      <w:tr>
        <w:trPr>
          <w:cantSplit w:val="true"/>
        </w:trPr>
        <w:tc>
          <w:tcPr>
            <w:tcW w:type="dxa" w:w="4896"/>
          </w:tcPr>
          <w:p>
            <w:pPr>
              <w:spacing w:after="40" w:before="40" w:line="240" w:lineRule="auto"/>
            </w:pPr>
            <w:r/>
            <w:r>
              <w:rPr>
                <w:sz w:val="19"/>
              </w:rPr>
              <w:t>Costo total y opciones de ahorro</w:t>
            </w:r>
          </w:p>
        </w:tc>
        <w:tc>
          <w:tcPr>
            <w:tcW w:type="dxa" w:w="1152"/>
          </w:tcPr>
          <w:p>
            <w:pPr>
              <w:spacing w:after="40" w:before="40" w:line="240" w:lineRule="auto"/>
            </w:pPr>
            <w:r/>
            <w:r>
              <w:rPr>
                <w:sz w:val="19"/>
              </w:rPr>
              <w:t>20%</w:t>
            </w:r>
          </w:p>
        </w:tc>
        <w:tc>
          <w:tcPr>
            <w:tcW w:type="dxa" w:w="1584"/>
          </w:tcPr>
          <w:p>
            <w:pPr>
              <w:spacing w:after="40" w:before="40" w:line="240" w:lineRule="auto"/>
            </w:pPr>
            <w:r/>
            <w:r>
              <w:rPr>
                <w:sz w:val="19"/>
              </w:rPr>
              <w:t>3</w:t>
            </w:r>
          </w:p>
        </w:tc>
        <w:tc>
          <w:tcPr>
            <w:tcW w:type="dxa" w:w="1584"/>
          </w:tcPr>
          <w:p>
            <w:pPr>
              <w:spacing w:after="40" w:before="40" w:line="240" w:lineRule="auto"/>
            </w:pPr>
            <w:r/>
            <w:r>
              <w:rPr>
                <w:sz w:val="19"/>
              </w:rPr>
              <w:t>4</w:t>
            </w:r>
          </w:p>
        </w:tc>
      </w:tr>
      <w:tr>
        <w:trPr>
          <w:cantSplit w:val="true"/>
        </w:trPr>
        <w:tc>
          <w:tcPr>
            <w:tcW w:type="dxa" w:w="4896"/>
            <w:shd w:val="clear" w:color="auto" w:fill="EAF2FB"/>
          </w:tcPr>
          <w:p>
            <w:pPr>
              <w:spacing w:after="40" w:before="40" w:line="240" w:lineRule="auto"/>
            </w:pPr>
            <w:r/>
            <w:r>
              <w:rPr>
                <w:sz w:val="19"/>
              </w:rPr>
              <w:t>Integración con el sistema de seguridad centralizado</w:t>
            </w:r>
          </w:p>
        </w:tc>
        <w:tc>
          <w:tcPr>
            <w:tcW w:type="dxa" w:w="1152"/>
            <w:shd w:val="clear" w:color="auto" w:fill="EAF2FB"/>
          </w:tcPr>
          <w:p>
            <w:pPr>
              <w:spacing w:after="40" w:before="40" w:line="240" w:lineRule="auto"/>
            </w:pPr>
            <w:r/>
            <w:r>
              <w:rPr>
                <w:sz w:val="19"/>
              </w:rPr>
              <w:t>20%</w:t>
            </w:r>
          </w:p>
        </w:tc>
        <w:tc>
          <w:tcPr>
            <w:tcW w:type="dxa" w:w="1584"/>
            <w:shd w:val="clear" w:color="auto" w:fill="EAF2FB"/>
          </w:tcPr>
          <w:p>
            <w:pPr>
              <w:spacing w:after="40" w:before="40" w:line="240" w:lineRule="auto"/>
            </w:pPr>
            <w:r/>
            <w:r>
              <w:rPr>
                <w:sz w:val="19"/>
              </w:rPr>
              <w:t>5</w:t>
            </w:r>
          </w:p>
        </w:tc>
        <w:tc>
          <w:tcPr>
            <w:tcW w:type="dxa" w:w="1584"/>
            <w:shd w:val="clear" w:color="auto" w:fill="EAF2FB"/>
          </w:tcPr>
          <w:p>
            <w:pPr>
              <w:spacing w:after="40" w:before="40" w:line="240" w:lineRule="auto"/>
            </w:pPr>
            <w:r/>
            <w:r>
              <w:rPr>
                <w:sz w:val="19"/>
              </w:rPr>
              <w:t>4</w:t>
            </w:r>
          </w:p>
        </w:tc>
      </w:tr>
      <w:tr>
        <w:trPr>
          <w:cantSplit w:val="true"/>
        </w:trPr>
        <w:tc>
          <w:tcPr>
            <w:tcW w:type="dxa" w:w="4896"/>
          </w:tcPr>
          <w:p>
            <w:pPr>
              <w:spacing w:after="40" w:before="40" w:line="240" w:lineRule="auto"/>
            </w:pPr>
            <w:r/>
            <w:r>
              <w:rPr>
                <w:sz w:val="19"/>
              </w:rPr>
              <w:t>Seguridad y cumplimiento normativo (salud)</w:t>
            </w:r>
          </w:p>
        </w:tc>
        <w:tc>
          <w:tcPr>
            <w:tcW w:type="dxa" w:w="1152"/>
          </w:tcPr>
          <w:p>
            <w:pPr>
              <w:spacing w:after="40" w:before="40" w:line="240" w:lineRule="auto"/>
            </w:pPr>
            <w:r/>
            <w:r>
              <w:rPr>
                <w:sz w:val="19"/>
              </w:rPr>
              <w:t>20%</w:t>
            </w:r>
          </w:p>
        </w:tc>
        <w:tc>
          <w:tcPr>
            <w:tcW w:type="dxa" w:w="1584"/>
          </w:tcPr>
          <w:p>
            <w:pPr>
              <w:spacing w:after="40" w:before="40" w:line="240" w:lineRule="auto"/>
            </w:pPr>
            <w:r/>
            <w:r>
              <w:rPr>
                <w:sz w:val="19"/>
              </w:rPr>
              <w:t>5</w:t>
            </w:r>
          </w:p>
        </w:tc>
        <w:tc>
          <w:tcPr>
            <w:tcW w:type="dxa" w:w="1584"/>
          </w:tcPr>
          <w:p>
            <w:pPr>
              <w:spacing w:after="40" w:before="40" w:line="240" w:lineRule="auto"/>
            </w:pPr>
            <w:r/>
            <w:r>
              <w:rPr>
                <w:sz w:val="19"/>
              </w:rPr>
              <w:t>5</w:t>
            </w:r>
          </w:p>
        </w:tc>
      </w:tr>
      <w:tr>
        <w:trPr>
          <w:cantSplit w:val="true"/>
        </w:trPr>
        <w:tc>
          <w:tcPr>
            <w:tcW w:type="dxa" w:w="4896"/>
            <w:shd w:val="clear" w:color="auto" w:fill="EAF2FB"/>
          </w:tcPr>
          <w:p>
            <w:pPr>
              <w:spacing w:after="40" w:before="40" w:line="240" w:lineRule="auto"/>
            </w:pPr>
            <w:r/>
            <w:r>
              <w:rPr>
                <w:sz w:val="19"/>
              </w:rPr>
              <w:t>Servicios de salud e IA</w:t>
            </w:r>
          </w:p>
        </w:tc>
        <w:tc>
          <w:tcPr>
            <w:tcW w:type="dxa" w:w="1152"/>
            <w:shd w:val="clear" w:color="auto" w:fill="EAF2FB"/>
          </w:tcPr>
          <w:p>
            <w:pPr>
              <w:spacing w:after="40" w:before="40" w:line="240" w:lineRule="auto"/>
            </w:pPr>
            <w:r/>
            <w:r>
              <w:rPr>
                <w:sz w:val="19"/>
              </w:rPr>
              <w:t>15%</w:t>
            </w:r>
          </w:p>
        </w:tc>
        <w:tc>
          <w:tcPr>
            <w:tcW w:type="dxa" w:w="1584"/>
            <w:shd w:val="clear" w:color="auto" w:fill="EAF2FB"/>
          </w:tcPr>
          <w:p>
            <w:pPr>
              <w:spacing w:after="40" w:before="40" w:line="240" w:lineRule="auto"/>
            </w:pPr>
            <w:r/>
            <w:r>
              <w:rPr>
                <w:sz w:val="19"/>
              </w:rPr>
              <w:t>5</w:t>
            </w:r>
          </w:p>
        </w:tc>
        <w:tc>
          <w:tcPr>
            <w:tcW w:type="dxa" w:w="1584"/>
            <w:shd w:val="clear" w:color="auto" w:fill="EAF2FB"/>
          </w:tcPr>
          <w:p>
            <w:pPr>
              <w:spacing w:after="40" w:before="40" w:line="240" w:lineRule="auto"/>
            </w:pPr>
            <w:r/>
            <w:r>
              <w:rPr>
                <w:sz w:val="19"/>
              </w:rPr>
              <w:t>4</w:t>
            </w:r>
          </w:p>
        </w:tc>
      </w:tr>
      <w:tr>
        <w:trPr>
          <w:cantSplit w:val="true"/>
        </w:trPr>
        <w:tc>
          <w:tcPr>
            <w:tcW w:type="dxa" w:w="4896"/>
          </w:tcPr>
          <w:p>
            <w:pPr>
              <w:spacing w:after="40" w:before="40" w:line="240" w:lineRule="auto"/>
            </w:pPr>
            <w:r/>
            <w:r>
              <w:rPr>
                <w:sz w:val="19"/>
              </w:rPr>
              <w:t>Escalabilidad y alta disponibilidad</w:t>
            </w:r>
          </w:p>
        </w:tc>
        <w:tc>
          <w:tcPr>
            <w:tcW w:type="dxa" w:w="1152"/>
          </w:tcPr>
          <w:p>
            <w:pPr>
              <w:spacing w:after="40" w:before="40" w:line="240" w:lineRule="auto"/>
            </w:pPr>
            <w:r/>
            <w:r>
              <w:rPr>
                <w:sz w:val="19"/>
              </w:rPr>
              <w:t>10%</w:t>
            </w:r>
          </w:p>
        </w:tc>
        <w:tc>
          <w:tcPr>
            <w:tcW w:type="dxa" w:w="1584"/>
          </w:tcPr>
          <w:p>
            <w:pPr>
              <w:spacing w:after="40" w:before="40" w:line="240" w:lineRule="auto"/>
            </w:pPr>
            <w:r/>
            <w:r>
              <w:rPr>
                <w:sz w:val="19"/>
              </w:rPr>
              <w:t>5</w:t>
            </w:r>
          </w:p>
        </w:tc>
        <w:tc>
          <w:tcPr>
            <w:tcW w:type="dxa" w:w="1584"/>
          </w:tcPr>
          <w:p>
            <w:pPr>
              <w:spacing w:after="40" w:before="40" w:line="240" w:lineRule="auto"/>
            </w:pPr>
            <w:r/>
            <w:r>
              <w:rPr>
                <w:sz w:val="19"/>
              </w:rPr>
              <w:t>5</w:t>
            </w:r>
          </w:p>
        </w:tc>
      </w:tr>
      <w:tr>
        <w:trPr>
          <w:cantSplit w:val="true"/>
        </w:trPr>
        <w:tc>
          <w:tcPr>
            <w:tcW w:type="dxa" w:w="4896"/>
            <w:shd w:val="clear" w:color="auto" w:fill="EAF2FB"/>
          </w:tcPr>
          <w:p>
            <w:pPr>
              <w:spacing w:after="40" w:before="40" w:line="240" w:lineRule="auto"/>
            </w:pPr>
            <w:r/>
            <w:r>
              <w:rPr>
                <w:sz w:val="19"/>
              </w:rPr>
              <w:t>Compatibilidad con las tecnologías elegidas</w:t>
            </w:r>
          </w:p>
        </w:tc>
        <w:tc>
          <w:tcPr>
            <w:tcW w:type="dxa" w:w="1152"/>
            <w:shd w:val="clear" w:color="auto" w:fill="EAF2FB"/>
          </w:tcPr>
          <w:p>
            <w:pPr>
              <w:spacing w:after="40" w:before="40" w:line="240" w:lineRule="auto"/>
            </w:pPr>
            <w:r/>
            <w:r>
              <w:rPr>
                <w:sz w:val="19"/>
              </w:rPr>
              <w:t>10%</w:t>
            </w:r>
          </w:p>
        </w:tc>
        <w:tc>
          <w:tcPr>
            <w:tcW w:type="dxa" w:w="1584"/>
            <w:shd w:val="clear" w:color="auto" w:fill="EAF2FB"/>
          </w:tcPr>
          <w:p>
            <w:pPr>
              <w:spacing w:after="40" w:before="40" w:line="240" w:lineRule="auto"/>
            </w:pPr>
            <w:r/>
            <w:r>
              <w:rPr>
                <w:sz w:val="19"/>
              </w:rPr>
              <w:t>5</w:t>
            </w:r>
          </w:p>
        </w:tc>
        <w:tc>
          <w:tcPr>
            <w:tcW w:type="dxa" w:w="1584"/>
            <w:shd w:val="clear" w:color="auto" w:fill="EAF2FB"/>
          </w:tcPr>
          <w:p>
            <w:pPr>
              <w:spacing w:after="40" w:before="40" w:line="240" w:lineRule="auto"/>
            </w:pPr>
            <w:r/>
            <w:r>
              <w:rPr>
                <w:sz w:val="19"/>
              </w:rPr>
              <w:t>4</w:t>
            </w:r>
          </w:p>
        </w:tc>
      </w:tr>
      <w:tr>
        <w:trPr>
          <w:cantSplit w:val="true"/>
        </w:trPr>
        <w:tc>
          <w:tcPr>
            <w:tcW w:type="dxa" w:w="4896"/>
          </w:tcPr>
          <w:p>
            <w:pPr>
              <w:spacing w:after="40" w:before="40" w:line="240" w:lineRule="auto"/>
            </w:pPr>
            <w:r/>
            <w:r>
              <w:rPr>
                <w:sz w:val="19"/>
              </w:rPr>
              <w:t>Servicios adicionales y ecosistema</w:t>
            </w:r>
          </w:p>
        </w:tc>
        <w:tc>
          <w:tcPr>
            <w:tcW w:type="dxa" w:w="1152"/>
          </w:tcPr>
          <w:p>
            <w:pPr>
              <w:spacing w:after="40" w:before="40" w:line="240" w:lineRule="auto"/>
            </w:pPr>
            <w:r/>
            <w:r>
              <w:rPr>
                <w:sz w:val="19"/>
              </w:rPr>
              <w:t>5%</w:t>
            </w:r>
          </w:p>
        </w:tc>
        <w:tc>
          <w:tcPr>
            <w:tcW w:type="dxa" w:w="1584"/>
          </w:tcPr>
          <w:p>
            <w:pPr>
              <w:spacing w:after="40" w:before="40" w:line="240" w:lineRule="auto"/>
            </w:pPr>
            <w:r/>
            <w:r>
              <w:rPr>
                <w:sz w:val="19"/>
              </w:rPr>
              <w:t>5</w:t>
            </w:r>
          </w:p>
        </w:tc>
        <w:tc>
          <w:tcPr>
            <w:tcW w:type="dxa" w:w="1584"/>
          </w:tcPr>
          <w:p>
            <w:pPr>
              <w:spacing w:after="40" w:before="40" w:line="240" w:lineRule="auto"/>
            </w:pPr>
            <w:r/>
            <w:r>
              <w:rPr>
                <w:sz w:val="19"/>
              </w:rPr>
              <w:t>4</w:t>
            </w:r>
          </w:p>
        </w:tc>
      </w:tr>
      <w:tr>
        <w:trPr>
          <w:cantSplit w:val="true"/>
        </w:trPr>
        <w:tc>
          <w:tcPr>
            <w:tcW w:type="dxa" w:w="4896"/>
            <w:shd w:val="clear" w:color="auto" w:fill="EAF2FB"/>
          </w:tcPr>
          <w:p>
            <w:pPr>
              <w:spacing w:after="40" w:before="40" w:line="240" w:lineRule="auto"/>
            </w:pPr>
            <w:r/>
            <w:r>
              <w:rPr>
                <w:sz w:val="19"/>
              </w:rPr>
              <w:t>Puntaje ponderado</w:t>
            </w:r>
          </w:p>
        </w:tc>
        <w:tc>
          <w:tcPr>
            <w:tcW w:type="dxa" w:w="1152"/>
            <w:shd w:val="clear" w:color="auto" w:fill="EAF2FB"/>
          </w:tcPr>
          <w:p>
            <w:pPr>
              <w:spacing w:after="40" w:before="40" w:line="240" w:lineRule="auto"/>
            </w:pPr>
            <w:r/>
            <w:r>
              <w:rPr>
                <w:sz w:val="19"/>
              </w:rPr>
              <w:t>100%</w:t>
            </w:r>
          </w:p>
        </w:tc>
        <w:tc>
          <w:tcPr>
            <w:tcW w:type="dxa" w:w="1584"/>
            <w:shd w:val="clear" w:color="auto" w:fill="EAF2FB"/>
          </w:tcPr>
          <w:p>
            <w:pPr>
              <w:spacing w:after="40" w:before="40" w:line="240" w:lineRule="auto"/>
            </w:pPr>
            <w:r/>
            <w:r>
              <w:rPr>
                <w:sz w:val="19"/>
              </w:rPr>
              <w:t>4,60</w:t>
            </w:r>
          </w:p>
        </w:tc>
        <w:tc>
          <w:tcPr>
            <w:tcW w:type="dxa" w:w="1584"/>
            <w:shd w:val="clear" w:color="auto" w:fill="EAF2FB"/>
          </w:tcPr>
          <w:p>
            <w:pPr>
              <w:spacing w:after="40" w:before="40" w:line="240" w:lineRule="auto"/>
            </w:pPr>
            <w:r/>
            <w:r>
              <w:rPr>
                <w:sz w:val="19"/>
              </w:rPr>
              <w:t>4,30</w:t>
            </w:r>
          </w:p>
        </w:tc>
      </w:tr>
    </w:tbl>
    <w:p/>
    <w:p>
      <w:r>
        <w:rPr>
          <w:i w:val="0"/>
        </w:rPr>
        <w:t>Resultado: Azure obtiene 4,60 puntos frente a 4,30 de AWS, por lo que se elige Microsoft Azure.</w:t>
      </w:r>
    </w:p>
    <w:p>
      <w:pPr>
        <w:pStyle w:val="ListBullet"/>
      </w:pPr>
      <w:r>
        <w:rPr>
          <w:b/>
        </w:rPr>
        <w:t xml:space="preserve">Costo total: </w:t>
      </w:r>
      <w:r>
        <w:t>AWS es cerca de 35% más económico en precios de lista, sobre todo por API Gateway, mensajería y logs. Con reservas a 3 años, Azure baja a $20.443.500 COP al mes (21% de ahorro) y reduce la brecha.</w:t>
      </w:r>
    </w:p>
    <w:p>
      <w:pPr>
        <w:pStyle w:val="ListBullet"/>
      </w:pPr>
      <w:r>
        <w:rPr>
          <w:b/>
        </w:rPr>
        <w:t xml:space="preserve">Seguridad corporativa: </w:t>
      </w:r>
      <w:r>
        <w:t>Entra ID se federa directamente con el directorio de la compañía y aplica MFA y Acceso Condicional sin componentes adicionales.</w:t>
      </w:r>
    </w:p>
    <w:p>
      <w:pPr>
        <w:pStyle w:val="ListBullet"/>
      </w:pPr>
      <w:r>
        <w:rPr>
          <w:b/>
        </w:rPr>
        <w:t xml:space="preserve">Cumplimiento: </w:t>
      </w:r>
      <w:r>
        <w:t>Ambas nubes firman BAA de HIPAA; Azure suma Defender for Cloud y Purview para gobernar datos clínicos.</w:t>
      </w:r>
    </w:p>
    <w:p>
      <w:pPr>
        <w:pStyle w:val="ListBullet"/>
      </w:pPr>
      <w:r>
        <w:rPr>
          <w:b/>
        </w:rPr>
        <w:t xml:space="preserve">Servicios de salud e IA: </w:t>
      </w:r>
      <w:r>
        <w:t>Azure Health Data Services y Azure OpenAI funcionan con red privada en la misma región que los datos.</w:t>
      </w:r>
    </w:p>
    <w:p>
      <w:pPr>
        <w:pStyle w:val="ListBullet"/>
      </w:pPr>
      <w:r>
        <w:rPr>
          <w:b/>
        </w:rPr>
        <w:t xml:space="preserve">Ecosistema: </w:t>
      </w:r>
      <w:r>
        <w:t>Integración con Microsoft 365, Teams y Power BI, herramientas que ya usa el personal administrativo del hospital.</w:t>
      </w:r>
    </w:p>
    <w:p>
      <w:r>
        <w:rPr>
          <w:i w:val="0"/>
        </w:rPr>
        <w:t>Google Cloud también se revisó de forma preliminar (Cloud Healthcare API y Vertex AI), pero se descartó por su menor integración con el directorio corporativo de la compañía y la menor experiencia del equipo con la plataforma.</w:t>
      </w:r>
    </w:p>
    <w:p>
      <w:pPr>
        <w:pStyle w:val="Heading1"/>
      </w:pPr>
      <w:r>
        <w:t>14. Estimación de costos</w:t>
      </w:r>
    </w:p>
    <w:p>
      <w:r>
        <w:rPr>
          <w:i w:val="0"/>
        </w:rPr>
        <w:t>La estimación detallada está en el archivo costos/Estimacion_Costos_Medical_Health.xlsx, con fórmulas que dependen de una hoja de supuestos editable y referencias a las páginas oficiales de precios. Los precios de lista se consultaron en dólares en octubre de 2026 y se convirtieron a pesos colombianos con la TRM de $3.273,49 COP por dólar (Banco de la República, vigente del 3 al 5 de octubre de 2026).</w:t>
      </w:r>
    </w:p>
    <w:tbl>
      <w:tblPr>
        <w:tblStyle w:val="TableGrid"/>
        <w:tblW w:type="auto" w:w="0"/>
        <w:jc w:val="center"/>
        <w:tblLayout w:type="fixed"/>
        <w:tblLook w:firstColumn="1" w:firstRow="1" w:lastColumn="0" w:lastRow="0" w:noHBand="0" w:noVBand="1" w:val="04A0"/>
      </w:tblPr>
      <w:tblGrid>
        <w:gridCol w:w="4320"/>
        <w:gridCol w:w="2520"/>
        <w:gridCol w:w="2520"/>
      </w:tblGrid>
      <w:tr>
        <w:trPr>
          <w:cantSplit w:val="true"/>
          <w:tblHeader w:val="true"/>
        </w:trPr>
        <w:tc>
          <w:tcPr>
            <w:tcW w:type="dxa" w:w="4320"/>
            <w:shd w:val="clear" w:color="auto" w:fill="0B3C5D"/>
          </w:tcPr>
          <w:p>
            <w:pPr>
              <w:spacing w:after="40" w:before="40" w:line="240" w:lineRule="auto"/>
            </w:pPr>
            <w:r/>
            <w:r>
              <w:rPr>
                <w:b/>
                <w:color w:val="FFFFFF"/>
                <w:sz w:val="19"/>
              </w:rPr>
              <w:t>Categoría</w:t>
            </w:r>
          </w:p>
        </w:tc>
        <w:tc>
          <w:tcPr>
            <w:tcW w:type="dxa" w:w="2520"/>
            <w:shd w:val="clear" w:color="auto" w:fill="0B3C5D"/>
          </w:tcPr>
          <w:p>
            <w:pPr>
              <w:spacing w:after="40" w:before="40" w:line="240" w:lineRule="auto"/>
            </w:pPr>
            <w:r/>
            <w:r>
              <w:rPr>
                <w:b/>
                <w:color w:val="FFFFFF"/>
                <w:sz w:val="19"/>
              </w:rPr>
              <w:t>Azure (COP/mes)</w:t>
            </w:r>
          </w:p>
        </w:tc>
        <w:tc>
          <w:tcPr>
            <w:tcW w:type="dxa" w:w="2520"/>
            <w:shd w:val="clear" w:color="auto" w:fill="0B3C5D"/>
          </w:tcPr>
          <w:p>
            <w:pPr>
              <w:spacing w:after="40" w:before="40" w:line="240" w:lineRule="auto"/>
            </w:pPr>
            <w:r/>
            <w:r>
              <w:rPr>
                <w:b/>
                <w:color w:val="FFFFFF"/>
                <w:sz w:val="19"/>
              </w:rPr>
              <w:t>AWS (COP/mes)</w:t>
            </w:r>
          </w:p>
        </w:tc>
      </w:tr>
      <w:tr>
        <w:trPr>
          <w:cantSplit w:val="true"/>
        </w:trPr>
        <w:tc>
          <w:tcPr>
            <w:tcW w:type="dxa" w:w="4320"/>
          </w:tcPr>
          <w:p>
            <w:pPr>
              <w:spacing w:after="40" w:before="40" w:line="240" w:lineRule="auto"/>
            </w:pPr>
            <w:r/>
            <w:r>
              <w:rPr>
                <w:sz w:val="19"/>
              </w:rPr>
              <w:t>Computación</w:t>
            </w:r>
          </w:p>
        </w:tc>
        <w:tc>
          <w:tcPr>
            <w:tcW w:type="dxa" w:w="2520"/>
          </w:tcPr>
          <w:p>
            <w:pPr>
              <w:spacing w:after="40" w:before="40" w:line="240" w:lineRule="auto"/>
            </w:pPr>
            <w:r/>
            <w:r>
              <w:rPr>
                <w:sz w:val="19"/>
              </w:rPr>
              <w:t>$3.914.688</w:t>
            </w:r>
          </w:p>
        </w:tc>
        <w:tc>
          <w:tcPr>
            <w:tcW w:type="dxa" w:w="2520"/>
          </w:tcPr>
          <w:p>
            <w:pPr>
              <w:spacing w:after="40" w:before="40" w:line="240" w:lineRule="auto"/>
            </w:pPr>
            <w:r/>
            <w:r>
              <w:rPr>
                <w:sz w:val="19"/>
              </w:rPr>
              <w:t>$3.464.662</w:t>
            </w:r>
          </w:p>
        </w:tc>
      </w:tr>
      <w:tr>
        <w:trPr>
          <w:cantSplit w:val="true"/>
        </w:trPr>
        <w:tc>
          <w:tcPr>
            <w:tcW w:type="dxa" w:w="4320"/>
            <w:shd w:val="clear" w:color="auto" w:fill="EAF2FB"/>
          </w:tcPr>
          <w:p>
            <w:pPr>
              <w:spacing w:after="40" w:before="40" w:line="240" w:lineRule="auto"/>
            </w:pPr>
            <w:r/>
            <w:r>
              <w:rPr>
                <w:sz w:val="19"/>
              </w:rPr>
              <w:t>Almacenamiento y Bases de Datos</w:t>
            </w:r>
          </w:p>
        </w:tc>
        <w:tc>
          <w:tcPr>
            <w:tcW w:type="dxa" w:w="2520"/>
            <w:shd w:val="clear" w:color="auto" w:fill="EAF2FB"/>
          </w:tcPr>
          <w:p>
            <w:pPr>
              <w:spacing w:after="40" w:before="40" w:line="240" w:lineRule="auto"/>
            </w:pPr>
            <w:r/>
            <w:r>
              <w:rPr>
                <w:sz w:val="19"/>
              </w:rPr>
              <w:t>$4.943.347</w:t>
            </w:r>
          </w:p>
        </w:tc>
        <w:tc>
          <w:tcPr>
            <w:tcW w:type="dxa" w:w="2520"/>
            <w:shd w:val="clear" w:color="auto" w:fill="EAF2FB"/>
          </w:tcPr>
          <w:p>
            <w:pPr>
              <w:spacing w:after="40" w:before="40" w:line="240" w:lineRule="auto"/>
            </w:pPr>
            <w:r/>
            <w:r>
              <w:rPr>
                <w:sz w:val="19"/>
              </w:rPr>
              <w:t>$4.764.002</w:t>
            </w:r>
          </w:p>
        </w:tc>
      </w:tr>
      <w:tr>
        <w:trPr>
          <w:cantSplit w:val="true"/>
        </w:trPr>
        <w:tc>
          <w:tcPr>
            <w:tcW w:type="dxa" w:w="4320"/>
          </w:tcPr>
          <w:p>
            <w:pPr>
              <w:spacing w:after="40" w:before="40" w:line="240" w:lineRule="auto"/>
            </w:pPr>
            <w:r/>
            <w:r>
              <w:rPr>
                <w:sz w:val="19"/>
              </w:rPr>
              <w:t>Redes</w:t>
            </w:r>
          </w:p>
        </w:tc>
        <w:tc>
          <w:tcPr>
            <w:tcW w:type="dxa" w:w="2520"/>
          </w:tcPr>
          <w:p>
            <w:pPr>
              <w:spacing w:after="40" w:before="40" w:line="240" w:lineRule="auto"/>
            </w:pPr>
            <w:r/>
            <w:r>
              <w:rPr>
                <w:sz w:val="19"/>
              </w:rPr>
              <w:t>$6.174.928</w:t>
            </w:r>
          </w:p>
        </w:tc>
        <w:tc>
          <w:tcPr>
            <w:tcW w:type="dxa" w:w="2520"/>
          </w:tcPr>
          <w:p>
            <w:pPr>
              <w:spacing w:after="40" w:before="40" w:line="240" w:lineRule="auto"/>
            </w:pPr>
            <w:r/>
            <w:r>
              <w:rPr>
                <w:sz w:val="19"/>
              </w:rPr>
              <w:t>$1.083.558</w:t>
            </w:r>
          </w:p>
        </w:tc>
      </w:tr>
      <w:tr>
        <w:trPr>
          <w:cantSplit w:val="true"/>
        </w:trPr>
        <w:tc>
          <w:tcPr>
            <w:tcW w:type="dxa" w:w="4320"/>
            <w:shd w:val="clear" w:color="auto" w:fill="EAF2FB"/>
          </w:tcPr>
          <w:p>
            <w:pPr>
              <w:spacing w:after="40" w:before="40" w:line="240" w:lineRule="auto"/>
            </w:pPr>
            <w:r/>
            <w:r>
              <w:rPr>
                <w:sz w:val="19"/>
              </w:rPr>
              <w:t>Seguridad</w:t>
            </w:r>
          </w:p>
        </w:tc>
        <w:tc>
          <w:tcPr>
            <w:tcW w:type="dxa" w:w="2520"/>
            <w:shd w:val="clear" w:color="auto" w:fill="EAF2FB"/>
          </w:tcPr>
          <w:p>
            <w:pPr>
              <w:spacing w:after="40" w:before="40" w:line="240" w:lineRule="auto"/>
            </w:pPr>
            <w:r/>
            <w:r>
              <w:rPr>
                <w:sz w:val="19"/>
              </w:rPr>
              <w:t>$647.703</w:t>
            </w:r>
          </w:p>
        </w:tc>
        <w:tc>
          <w:tcPr>
            <w:tcW w:type="dxa" w:w="2520"/>
            <w:shd w:val="clear" w:color="auto" w:fill="EAF2FB"/>
          </w:tcPr>
          <w:p>
            <w:pPr>
              <w:spacing w:after="40" w:before="40" w:line="240" w:lineRule="auto"/>
            </w:pPr>
            <w:r/>
            <w:r>
              <w:rPr>
                <w:sz w:val="19"/>
              </w:rPr>
              <w:t>$271.503</w:t>
            </w:r>
          </w:p>
        </w:tc>
      </w:tr>
      <w:tr>
        <w:trPr>
          <w:cantSplit w:val="true"/>
        </w:trPr>
        <w:tc>
          <w:tcPr>
            <w:tcW w:type="dxa" w:w="4320"/>
          </w:tcPr>
          <w:p>
            <w:pPr>
              <w:spacing w:after="40" w:before="40" w:line="240" w:lineRule="auto"/>
            </w:pPr>
            <w:r/>
            <w:r>
              <w:rPr>
                <w:sz w:val="19"/>
              </w:rPr>
              <w:t>Monitoreo y Logs</w:t>
            </w:r>
          </w:p>
        </w:tc>
        <w:tc>
          <w:tcPr>
            <w:tcW w:type="dxa" w:w="2520"/>
          </w:tcPr>
          <w:p>
            <w:pPr>
              <w:spacing w:after="40" w:before="40" w:line="240" w:lineRule="auto"/>
            </w:pPr>
            <w:r/>
            <w:r>
              <w:rPr>
                <w:sz w:val="19"/>
              </w:rPr>
              <w:t>$2.082.593</w:t>
            </w:r>
          </w:p>
        </w:tc>
        <w:tc>
          <w:tcPr>
            <w:tcW w:type="dxa" w:w="2520"/>
          </w:tcPr>
          <w:p>
            <w:pPr>
              <w:spacing w:after="40" w:before="40" w:line="240" w:lineRule="auto"/>
            </w:pPr>
            <w:r/>
            <w:r>
              <w:rPr>
                <w:sz w:val="19"/>
              </w:rPr>
              <w:t>$1.024.602</w:t>
            </w:r>
          </w:p>
        </w:tc>
      </w:tr>
      <w:tr>
        <w:trPr>
          <w:cantSplit w:val="true"/>
        </w:trPr>
        <w:tc>
          <w:tcPr>
            <w:tcW w:type="dxa" w:w="4320"/>
            <w:shd w:val="clear" w:color="auto" w:fill="EAF2FB"/>
          </w:tcPr>
          <w:p>
            <w:pPr>
              <w:spacing w:after="40" w:before="40" w:line="240" w:lineRule="auto"/>
            </w:pPr>
            <w:r/>
            <w:r>
              <w:rPr>
                <w:sz w:val="19"/>
              </w:rPr>
              <w:t>Servicios de Plataforma</w:t>
            </w:r>
          </w:p>
        </w:tc>
        <w:tc>
          <w:tcPr>
            <w:tcW w:type="dxa" w:w="2520"/>
            <w:shd w:val="clear" w:color="auto" w:fill="EAF2FB"/>
          </w:tcPr>
          <w:p>
            <w:pPr>
              <w:spacing w:after="40" w:before="40" w:line="240" w:lineRule="auto"/>
            </w:pPr>
            <w:r/>
            <w:r>
              <w:rPr>
                <w:sz w:val="19"/>
              </w:rPr>
              <w:t>$6.606.803</w:t>
            </w:r>
          </w:p>
        </w:tc>
        <w:tc>
          <w:tcPr>
            <w:tcW w:type="dxa" w:w="2520"/>
            <w:shd w:val="clear" w:color="auto" w:fill="EAF2FB"/>
          </w:tcPr>
          <w:p>
            <w:pPr>
              <w:spacing w:after="40" w:before="40" w:line="240" w:lineRule="auto"/>
            </w:pPr>
            <w:r/>
            <w:r>
              <w:rPr>
                <w:sz w:val="19"/>
              </w:rPr>
              <w:t>$5.139.986</w:t>
            </w:r>
          </w:p>
        </w:tc>
      </w:tr>
      <w:tr>
        <w:trPr>
          <w:cantSplit w:val="true"/>
        </w:trPr>
        <w:tc>
          <w:tcPr>
            <w:tcW w:type="dxa" w:w="4320"/>
          </w:tcPr>
          <w:p>
            <w:pPr>
              <w:spacing w:after="40" w:before="40" w:line="240" w:lineRule="auto"/>
            </w:pPr>
            <w:r/>
            <w:r>
              <w:rPr>
                <w:sz w:val="19"/>
              </w:rPr>
              <w:t>Ambiente Dev/Test</w:t>
            </w:r>
          </w:p>
        </w:tc>
        <w:tc>
          <w:tcPr>
            <w:tcW w:type="dxa" w:w="2520"/>
          </w:tcPr>
          <w:p>
            <w:pPr>
              <w:spacing w:after="40" w:before="40" w:line="240" w:lineRule="auto"/>
            </w:pPr>
            <w:r/>
            <w:r>
              <w:rPr>
                <w:sz w:val="19"/>
              </w:rPr>
              <w:t>$1.564.310</w:t>
            </w:r>
          </w:p>
        </w:tc>
        <w:tc>
          <w:tcPr>
            <w:tcW w:type="dxa" w:w="2520"/>
          </w:tcPr>
          <w:p>
            <w:pPr>
              <w:spacing w:after="40" w:before="40" w:line="240" w:lineRule="auto"/>
            </w:pPr>
            <w:r/>
            <w:r>
              <w:rPr>
                <w:sz w:val="19"/>
              </w:rPr>
              <w:t>$1.015.077</w:t>
            </w:r>
          </w:p>
        </w:tc>
      </w:tr>
      <w:tr>
        <w:trPr>
          <w:cantSplit w:val="true"/>
        </w:trPr>
        <w:tc>
          <w:tcPr>
            <w:tcW w:type="dxa" w:w="4320"/>
            <w:shd w:val="clear" w:color="auto" w:fill="EAF2FB"/>
          </w:tcPr>
          <w:p>
            <w:pPr>
              <w:spacing w:after="40" w:before="40" w:line="240" w:lineRule="auto"/>
            </w:pPr>
            <w:r/>
            <w:r>
              <w:rPr>
                <w:sz w:val="19"/>
              </w:rPr>
              <w:t>TOTAL MENSUAL</w:t>
            </w:r>
          </w:p>
        </w:tc>
        <w:tc>
          <w:tcPr>
            <w:tcW w:type="dxa" w:w="2520"/>
            <w:shd w:val="clear" w:color="auto" w:fill="EAF2FB"/>
          </w:tcPr>
          <w:p>
            <w:pPr>
              <w:spacing w:after="40" w:before="40" w:line="240" w:lineRule="auto"/>
            </w:pPr>
            <w:r/>
            <w:r>
              <w:rPr>
                <w:sz w:val="19"/>
              </w:rPr>
              <w:t>$25.934.373</w:t>
            </w:r>
          </w:p>
        </w:tc>
        <w:tc>
          <w:tcPr>
            <w:tcW w:type="dxa" w:w="2520"/>
            <w:shd w:val="clear" w:color="auto" w:fill="EAF2FB"/>
          </w:tcPr>
          <w:p>
            <w:pPr>
              <w:spacing w:after="40" w:before="40" w:line="240" w:lineRule="auto"/>
            </w:pPr>
            <w:r/>
            <w:r>
              <w:rPr>
                <w:sz w:val="19"/>
              </w:rPr>
              <w:t>$16.763.389</w:t>
            </w:r>
          </w:p>
        </w:tc>
      </w:tr>
      <w:tr>
        <w:trPr>
          <w:cantSplit w:val="true"/>
        </w:trPr>
        <w:tc>
          <w:tcPr>
            <w:tcW w:type="dxa" w:w="4320"/>
          </w:tcPr>
          <w:p>
            <w:pPr>
              <w:spacing w:after="40" w:before="40" w:line="240" w:lineRule="auto"/>
            </w:pPr>
            <w:r/>
            <w:r>
              <w:rPr>
                <w:sz w:val="19"/>
              </w:rPr>
              <w:t>TOTAL ANUAL</w:t>
            </w:r>
          </w:p>
        </w:tc>
        <w:tc>
          <w:tcPr>
            <w:tcW w:type="dxa" w:w="2520"/>
          </w:tcPr>
          <w:p>
            <w:pPr>
              <w:spacing w:after="40" w:before="40" w:line="240" w:lineRule="auto"/>
            </w:pPr>
            <w:r/>
            <w:r>
              <w:rPr>
                <w:sz w:val="19"/>
              </w:rPr>
              <w:t>$311.212.472</w:t>
            </w:r>
          </w:p>
        </w:tc>
        <w:tc>
          <w:tcPr>
            <w:tcW w:type="dxa" w:w="2520"/>
          </w:tcPr>
          <w:p>
            <w:pPr>
              <w:spacing w:after="40" w:before="40" w:line="240" w:lineRule="auto"/>
            </w:pPr>
            <w:r/>
            <w:r>
              <w:rPr>
                <w:sz w:val="19"/>
              </w:rPr>
              <w:t>$201.160.669</w:t>
            </w:r>
          </w:p>
        </w:tc>
      </w:tr>
    </w:tbl>
    <w:p/>
    <w:p>
      <w:pPr>
        <w:pStyle w:val="Heading2"/>
      </w:pPr>
      <w:r>
        <w:t>14.1 Propuestas de optimización</w:t>
      </w:r>
    </w:p>
    <w:tbl>
      <w:tblPr>
        <w:tblStyle w:val="TableGrid"/>
        <w:tblW w:type="auto" w:w="0"/>
        <w:jc w:val="center"/>
        <w:tblLayout w:type="fixed"/>
        <w:tblLook w:firstColumn="1" w:firstRow="1" w:lastColumn="0" w:lastRow="0" w:noHBand="0" w:noVBand="1" w:val="04A0"/>
      </w:tblPr>
      <w:tblGrid>
        <w:gridCol w:w="3600"/>
        <w:gridCol w:w="1872"/>
        <w:gridCol w:w="1872"/>
        <w:gridCol w:w="2015"/>
      </w:tblGrid>
      <w:tr>
        <w:trPr>
          <w:cantSplit w:val="true"/>
          <w:tblHeader w:val="true"/>
        </w:trPr>
        <w:tc>
          <w:tcPr>
            <w:tcW w:type="dxa" w:w="3600"/>
            <w:shd w:val="clear" w:color="auto" w:fill="0B3C5D"/>
          </w:tcPr>
          <w:p>
            <w:pPr>
              <w:spacing w:after="40" w:before="40" w:line="240" w:lineRule="auto"/>
            </w:pPr>
            <w:r/>
            <w:r>
              <w:rPr>
                <w:b/>
                <w:color w:val="FFFFFF"/>
                <w:sz w:val="18"/>
              </w:rPr>
              <w:t>Concepto (COP/mes)</w:t>
            </w:r>
          </w:p>
        </w:tc>
        <w:tc>
          <w:tcPr>
            <w:tcW w:type="dxa" w:w="1872"/>
            <w:shd w:val="clear" w:color="auto" w:fill="0B3C5D"/>
          </w:tcPr>
          <w:p>
            <w:pPr>
              <w:spacing w:after="40" w:before="40" w:line="240" w:lineRule="auto"/>
            </w:pPr>
            <w:r/>
            <w:r>
              <w:rPr>
                <w:b/>
                <w:color w:val="FFFFFF"/>
                <w:sz w:val="18"/>
              </w:rPr>
              <w:t>Pago por uso</w:t>
            </w:r>
          </w:p>
        </w:tc>
        <w:tc>
          <w:tcPr>
            <w:tcW w:type="dxa" w:w="1872"/>
            <w:shd w:val="clear" w:color="auto" w:fill="0B3C5D"/>
          </w:tcPr>
          <w:p>
            <w:pPr>
              <w:spacing w:after="40" w:before="40" w:line="240" w:lineRule="auto"/>
            </w:pPr>
            <w:r/>
            <w:r>
              <w:rPr>
                <w:b/>
                <w:color w:val="FFFFFF"/>
                <w:sz w:val="18"/>
              </w:rPr>
              <w:t>Reservas 1 año</w:t>
            </w:r>
          </w:p>
        </w:tc>
        <w:tc>
          <w:tcPr>
            <w:tcW w:type="dxa" w:w="2016"/>
            <w:shd w:val="clear" w:color="auto" w:fill="0B3C5D"/>
          </w:tcPr>
          <w:p>
            <w:pPr>
              <w:spacing w:after="40" w:before="40" w:line="240" w:lineRule="auto"/>
            </w:pPr>
            <w:r/>
            <w:r>
              <w:rPr>
                <w:b/>
                <w:color w:val="FFFFFF"/>
                <w:sz w:val="18"/>
              </w:rPr>
              <w:t>Reservas 3 años</w:t>
            </w:r>
          </w:p>
        </w:tc>
      </w:tr>
      <w:tr>
        <w:trPr>
          <w:cantSplit w:val="true"/>
        </w:trPr>
        <w:tc>
          <w:tcPr>
            <w:tcW w:type="dxa" w:w="3600"/>
          </w:tcPr>
          <w:p>
            <w:pPr>
              <w:spacing w:after="40" w:before="40" w:line="240" w:lineRule="auto"/>
            </w:pPr>
            <w:r/>
            <w:r>
              <w:rPr>
                <w:sz w:val="18"/>
              </w:rPr>
              <w:t>Nodos AKS (D4s v5)</w:t>
            </w:r>
          </w:p>
        </w:tc>
        <w:tc>
          <w:tcPr>
            <w:tcW w:type="dxa" w:w="1872"/>
          </w:tcPr>
          <w:p>
            <w:pPr>
              <w:spacing w:after="40" w:before="40" w:line="240" w:lineRule="auto"/>
            </w:pPr>
            <w:r/>
            <w:r>
              <w:rPr>
                <w:sz w:val="18"/>
              </w:rPr>
              <w:t>$2.752.874</w:t>
            </w:r>
          </w:p>
        </w:tc>
        <w:tc>
          <w:tcPr>
            <w:tcW w:type="dxa" w:w="1872"/>
          </w:tcPr>
          <w:p>
            <w:pPr>
              <w:spacing w:after="40" w:before="40" w:line="240" w:lineRule="auto"/>
            </w:pPr>
            <w:r/>
            <w:r>
              <w:rPr>
                <w:sz w:val="18"/>
              </w:rPr>
              <w:t>$1.698.941</w:t>
            </w:r>
          </w:p>
        </w:tc>
        <w:tc>
          <w:tcPr>
            <w:tcW w:type="dxa" w:w="2016"/>
          </w:tcPr>
          <w:p>
            <w:pPr>
              <w:spacing w:after="40" w:before="40" w:line="240" w:lineRule="auto"/>
            </w:pPr>
            <w:r/>
            <w:r>
              <w:rPr>
                <w:sz w:val="18"/>
              </w:rPr>
              <w:t>$1.087.344</w:t>
            </w:r>
          </w:p>
        </w:tc>
      </w:tr>
      <w:tr>
        <w:trPr>
          <w:cantSplit w:val="true"/>
        </w:trPr>
        <w:tc>
          <w:tcPr>
            <w:tcW w:type="dxa" w:w="3600"/>
            <w:shd w:val="clear" w:color="auto" w:fill="EAF2FB"/>
          </w:tcPr>
          <w:p>
            <w:pPr>
              <w:spacing w:after="40" w:before="40" w:line="240" w:lineRule="auto"/>
            </w:pPr>
            <w:r/>
            <w:r>
              <w:rPr>
                <w:sz w:val="18"/>
              </w:rPr>
              <w:t>PostgreSQL (primario, standby y réplica)</w:t>
            </w:r>
          </w:p>
        </w:tc>
        <w:tc>
          <w:tcPr>
            <w:tcW w:type="dxa" w:w="1872"/>
            <w:shd w:val="clear" w:color="auto" w:fill="EAF2FB"/>
          </w:tcPr>
          <w:p>
            <w:pPr>
              <w:spacing w:after="40" w:before="40" w:line="240" w:lineRule="auto"/>
            </w:pPr>
            <w:r/>
            <w:r>
              <w:rPr>
                <w:sz w:val="18"/>
              </w:rPr>
              <w:t>$2.552.144</w:t>
            </w:r>
          </w:p>
        </w:tc>
        <w:tc>
          <w:tcPr>
            <w:tcW w:type="dxa" w:w="1872"/>
            <w:shd w:val="clear" w:color="auto" w:fill="EAF2FB"/>
          </w:tcPr>
          <w:p>
            <w:pPr>
              <w:spacing w:after="40" w:before="40" w:line="240" w:lineRule="auto"/>
            </w:pPr>
            <w:r/>
            <w:r>
              <w:rPr>
                <w:sz w:val="18"/>
              </w:rPr>
              <w:t>$1.531.993</w:t>
            </w:r>
          </w:p>
        </w:tc>
        <w:tc>
          <w:tcPr>
            <w:tcW w:type="dxa" w:w="2016"/>
            <w:shd w:val="clear" w:color="auto" w:fill="EAF2FB"/>
          </w:tcPr>
          <w:p>
            <w:pPr>
              <w:spacing w:after="40" w:before="40" w:line="240" w:lineRule="auto"/>
            </w:pPr>
            <w:r/>
            <w:r>
              <w:rPr>
                <w:sz w:val="18"/>
              </w:rPr>
              <w:t>$1.021.329</w:t>
            </w:r>
          </w:p>
        </w:tc>
      </w:tr>
      <w:tr>
        <w:trPr>
          <w:cantSplit w:val="true"/>
        </w:trPr>
        <w:tc>
          <w:tcPr>
            <w:tcW w:type="dxa" w:w="3600"/>
          </w:tcPr>
          <w:p>
            <w:pPr>
              <w:spacing w:after="40" w:before="40" w:line="240" w:lineRule="auto"/>
            </w:pPr>
            <w:r/>
            <w:r>
              <w:rPr>
                <w:sz w:val="18"/>
              </w:rPr>
              <w:t>Azure Cache for Redis</w:t>
            </w:r>
          </w:p>
        </w:tc>
        <w:tc>
          <w:tcPr>
            <w:tcW w:type="dxa" w:w="1872"/>
          </w:tcPr>
          <w:p>
            <w:pPr>
              <w:spacing w:after="40" w:before="40" w:line="240" w:lineRule="auto"/>
            </w:pPr>
            <w:r/>
            <w:r>
              <w:rPr>
                <w:sz w:val="18"/>
              </w:rPr>
              <w:t>$1.326.254</w:t>
            </w:r>
          </w:p>
        </w:tc>
        <w:tc>
          <w:tcPr>
            <w:tcW w:type="dxa" w:w="1872"/>
          </w:tcPr>
          <w:p>
            <w:pPr>
              <w:spacing w:after="40" w:before="40" w:line="240" w:lineRule="auto"/>
            </w:pPr>
            <w:r/>
            <w:r>
              <w:rPr>
                <w:sz w:val="18"/>
              </w:rPr>
              <w:t>$862.065</w:t>
            </w:r>
          </w:p>
        </w:tc>
        <w:tc>
          <w:tcPr>
            <w:tcW w:type="dxa" w:w="2016"/>
          </w:tcPr>
          <w:p>
            <w:pPr>
              <w:spacing w:after="40" w:before="40" w:line="240" w:lineRule="auto"/>
            </w:pPr>
            <w:r/>
            <w:r>
              <w:rPr>
                <w:sz w:val="18"/>
              </w:rPr>
              <w:t>$596.815</w:t>
            </w:r>
          </w:p>
        </w:tc>
      </w:tr>
      <w:tr>
        <w:trPr>
          <w:cantSplit w:val="true"/>
        </w:trPr>
        <w:tc>
          <w:tcPr>
            <w:tcW w:type="dxa" w:w="3600"/>
            <w:shd w:val="clear" w:color="auto" w:fill="EAF2FB"/>
          </w:tcPr>
          <w:p>
            <w:pPr>
              <w:spacing w:after="40" w:before="40" w:line="240" w:lineRule="auto"/>
            </w:pPr>
            <w:r/>
            <w:r>
              <w:rPr>
                <w:sz w:val="18"/>
              </w:rPr>
              <w:t>Log Analytics</w:t>
            </w:r>
          </w:p>
        </w:tc>
        <w:tc>
          <w:tcPr>
            <w:tcW w:type="dxa" w:w="1872"/>
            <w:shd w:val="clear" w:color="auto" w:fill="EAF2FB"/>
          </w:tcPr>
          <w:p>
            <w:pPr>
              <w:spacing w:after="40" w:before="40" w:line="240" w:lineRule="auto"/>
            </w:pPr>
            <w:r/>
            <w:r>
              <w:rPr>
                <w:sz w:val="18"/>
              </w:rPr>
              <w:t>$1.761.792</w:t>
            </w:r>
          </w:p>
        </w:tc>
        <w:tc>
          <w:tcPr>
            <w:tcW w:type="dxa" w:w="1872"/>
            <w:shd w:val="clear" w:color="auto" w:fill="EAF2FB"/>
          </w:tcPr>
          <w:p>
            <w:pPr>
              <w:spacing w:after="40" w:before="40" w:line="240" w:lineRule="auto"/>
            </w:pPr>
            <w:r/>
            <w:r>
              <w:rPr>
                <w:sz w:val="18"/>
              </w:rPr>
              <w:t>$1.057.075</w:t>
            </w:r>
          </w:p>
        </w:tc>
        <w:tc>
          <w:tcPr>
            <w:tcW w:type="dxa" w:w="2016"/>
            <w:shd w:val="clear" w:color="auto" w:fill="EAF2FB"/>
          </w:tcPr>
          <w:p>
            <w:pPr>
              <w:spacing w:after="40" w:before="40" w:line="240" w:lineRule="auto"/>
            </w:pPr>
            <w:r/>
            <w:r>
              <w:rPr>
                <w:sz w:val="18"/>
              </w:rPr>
              <w:t>$1.057.075</w:t>
            </w:r>
          </w:p>
        </w:tc>
      </w:tr>
      <w:tr>
        <w:trPr>
          <w:cantSplit w:val="true"/>
        </w:trPr>
        <w:tc>
          <w:tcPr>
            <w:tcW w:type="dxa" w:w="3600"/>
          </w:tcPr>
          <w:p>
            <w:pPr>
              <w:spacing w:after="40" w:before="40" w:line="240" w:lineRule="auto"/>
            </w:pPr>
            <w:r/>
            <w:r>
              <w:rPr>
                <w:sz w:val="18"/>
              </w:rPr>
              <w:t>Ambiente Dev/Test</w:t>
            </w:r>
          </w:p>
        </w:tc>
        <w:tc>
          <w:tcPr>
            <w:tcW w:type="dxa" w:w="1872"/>
          </w:tcPr>
          <w:p>
            <w:pPr>
              <w:spacing w:after="40" w:before="40" w:line="240" w:lineRule="auto"/>
            </w:pPr>
            <w:r/>
            <w:r>
              <w:rPr>
                <w:sz w:val="18"/>
              </w:rPr>
              <w:t>$1.564.310</w:t>
            </w:r>
          </w:p>
        </w:tc>
        <w:tc>
          <w:tcPr>
            <w:tcW w:type="dxa" w:w="1872"/>
          </w:tcPr>
          <w:p>
            <w:pPr>
              <w:spacing w:after="40" w:before="40" w:line="240" w:lineRule="auto"/>
            </w:pPr>
            <w:r/>
            <w:r>
              <w:rPr>
                <w:sz w:val="18"/>
              </w:rPr>
              <w:t>$703.940</w:t>
            </w:r>
          </w:p>
        </w:tc>
        <w:tc>
          <w:tcPr>
            <w:tcW w:type="dxa" w:w="2016"/>
          </w:tcPr>
          <w:p>
            <w:pPr>
              <w:spacing w:after="40" w:before="40" w:line="240" w:lineRule="auto"/>
            </w:pPr>
            <w:r/>
            <w:r>
              <w:rPr>
                <w:sz w:val="18"/>
              </w:rPr>
              <w:t>$703.940</w:t>
            </w:r>
          </w:p>
        </w:tc>
      </w:tr>
      <w:tr>
        <w:trPr>
          <w:cantSplit w:val="true"/>
        </w:trPr>
        <w:tc>
          <w:tcPr>
            <w:tcW w:type="dxa" w:w="3600"/>
            <w:shd w:val="clear" w:color="auto" w:fill="EAF2FB"/>
          </w:tcPr>
          <w:p>
            <w:pPr>
              <w:spacing w:after="40" w:before="40" w:line="240" w:lineRule="auto"/>
            </w:pPr>
            <w:r/>
            <w:r>
              <w:rPr>
                <w:sz w:val="18"/>
              </w:rPr>
              <w:t>Resto de servicios (sin cambio)</w:t>
            </w:r>
          </w:p>
        </w:tc>
        <w:tc>
          <w:tcPr>
            <w:tcW w:type="dxa" w:w="1872"/>
            <w:shd w:val="clear" w:color="auto" w:fill="EAF2FB"/>
          </w:tcPr>
          <w:p>
            <w:pPr>
              <w:spacing w:after="40" w:before="40" w:line="240" w:lineRule="auto"/>
            </w:pPr>
            <w:r/>
            <w:r>
              <w:rPr>
                <w:sz w:val="18"/>
              </w:rPr>
              <w:t>$15.976.998</w:t>
            </w:r>
          </w:p>
        </w:tc>
        <w:tc>
          <w:tcPr>
            <w:tcW w:type="dxa" w:w="1872"/>
            <w:shd w:val="clear" w:color="auto" w:fill="EAF2FB"/>
          </w:tcPr>
          <w:p>
            <w:pPr>
              <w:spacing w:after="40" w:before="40" w:line="240" w:lineRule="auto"/>
            </w:pPr>
            <w:r/>
            <w:r>
              <w:rPr>
                <w:sz w:val="18"/>
              </w:rPr>
              <w:t>$15.976.998</w:t>
            </w:r>
          </w:p>
        </w:tc>
        <w:tc>
          <w:tcPr>
            <w:tcW w:type="dxa" w:w="2016"/>
            <w:shd w:val="clear" w:color="auto" w:fill="EAF2FB"/>
          </w:tcPr>
          <w:p>
            <w:pPr>
              <w:spacing w:after="40" w:before="40" w:line="240" w:lineRule="auto"/>
            </w:pPr>
            <w:r/>
            <w:r>
              <w:rPr>
                <w:sz w:val="18"/>
              </w:rPr>
              <w:t>$15.976.998</w:t>
            </w:r>
          </w:p>
        </w:tc>
      </w:tr>
      <w:tr>
        <w:trPr>
          <w:cantSplit w:val="true"/>
        </w:trPr>
        <w:tc>
          <w:tcPr>
            <w:tcW w:type="dxa" w:w="3600"/>
          </w:tcPr>
          <w:p>
            <w:pPr>
              <w:spacing w:after="40" w:before="40" w:line="240" w:lineRule="auto"/>
            </w:pPr>
            <w:r/>
            <w:r>
              <w:rPr>
                <w:sz w:val="18"/>
              </w:rPr>
              <w:t>TOTAL MENSUAL</w:t>
            </w:r>
          </w:p>
        </w:tc>
        <w:tc>
          <w:tcPr>
            <w:tcW w:type="dxa" w:w="1872"/>
          </w:tcPr>
          <w:p>
            <w:pPr>
              <w:spacing w:after="40" w:before="40" w:line="240" w:lineRule="auto"/>
            </w:pPr>
            <w:r/>
            <w:r>
              <w:rPr>
                <w:sz w:val="18"/>
              </w:rPr>
              <w:t>$25.934.373</w:t>
            </w:r>
          </w:p>
        </w:tc>
        <w:tc>
          <w:tcPr>
            <w:tcW w:type="dxa" w:w="1872"/>
          </w:tcPr>
          <w:p>
            <w:pPr>
              <w:spacing w:after="40" w:before="40" w:line="240" w:lineRule="auto"/>
            </w:pPr>
            <w:r/>
            <w:r>
              <w:rPr>
                <w:sz w:val="18"/>
              </w:rPr>
              <w:t>$21.831.013</w:t>
            </w:r>
          </w:p>
        </w:tc>
        <w:tc>
          <w:tcPr>
            <w:tcW w:type="dxa" w:w="2016"/>
          </w:tcPr>
          <w:p>
            <w:pPr>
              <w:spacing w:after="40" w:before="40" w:line="240" w:lineRule="auto"/>
            </w:pPr>
            <w:r/>
            <w:r>
              <w:rPr>
                <w:sz w:val="18"/>
              </w:rPr>
              <w:t>$20.443.500</w:t>
            </w:r>
          </w:p>
        </w:tc>
      </w:tr>
    </w:tbl>
    <w:p/>
    <w:p>
      <w:pPr>
        <w:pStyle w:val="ListBullet"/>
      </w:pPr>
      <w:r>
        <w:t>Con reservas a 1 año el costo mensual baja a $21.831.013 COP (16% de ahorro) y a 3 años a $20.443.500 COP (21%).</w:t>
      </w:r>
    </w:p>
    <w:p>
      <w:pPr>
        <w:pStyle w:val="ListBullet"/>
      </w:pPr>
      <w:r>
        <w:t>Costo por enfermera al mes con reservas a 1 año: aproximadamente $87.324 COP.</w:t>
      </w:r>
    </w:p>
    <w:p>
      <w:pPr>
        <w:pStyle w:val="ListBullet"/>
      </w:pPr>
      <w:r>
        <w:t>Autoescalado para pagar solo los nodos necesarios en horas valle.</w:t>
      </w:r>
    </w:p>
    <w:p>
      <w:pPr>
        <w:pStyle w:val="ListBullet"/>
      </w:pPr>
      <w:r>
        <w:t>Logs de depuración en el plan Basic Logs y muestreo de telemetría.</w:t>
      </w:r>
    </w:p>
    <w:p>
      <w:pPr>
        <w:pStyle w:val="ListBullet"/>
      </w:pPr>
      <w:r>
        <w:t>Apagado automático del ambiente de desarrollo en noches y fines de semana.</w:t>
      </w:r>
    </w:p>
    <w:p>
      <w:pPr>
        <w:pStyle w:val="ListBullet"/>
      </w:pPr>
      <w:r>
        <w:t>Políticas de ciclo de vida del almacenamiento y presupuestos con alertas en Cost Management.</w:t>
      </w:r>
    </w:p>
    <w:p>
      <w:r>
        <w:br w:type="page"/>
      </w:r>
    </w:p>
    <w:p>
      <w:pPr>
        <w:pStyle w:val="Heading1"/>
      </w:pPr>
      <w:r>
        <w:t>15. Plan de implementación y cronograma</w:t>
      </w:r>
    </w:p>
    <w:p>
      <w:r>
        <w:rPr>
          <w:i w:val="0"/>
        </w:rPr>
        <w:t>La implementación toma 26 semanas. Cada fase entrega funcionalidades que se pueden probar antes de pasar a la siguiente.</w:t>
      </w:r>
    </w:p>
    <w:tbl>
      <w:tblPr>
        <w:tblStyle w:val="TableGrid"/>
        <w:tblW w:type="auto" w:w="0"/>
        <w:jc w:val="center"/>
        <w:tblLayout w:type="fixed"/>
        <w:tblLook w:firstColumn="1" w:firstRow="1" w:lastColumn="0" w:lastRow="0" w:noHBand="0" w:noVBand="1" w:val="04A0"/>
      </w:tblPr>
      <w:tblGrid>
        <w:gridCol w:w="2304"/>
        <w:gridCol w:w="540"/>
        <w:gridCol w:w="540"/>
        <w:gridCol w:w="540"/>
        <w:gridCol w:w="540"/>
        <w:gridCol w:w="540"/>
        <w:gridCol w:w="540"/>
        <w:gridCol w:w="540"/>
        <w:gridCol w:w="540"/>
        <w:gridCol w:w="540"/>
        <w:gridCol w:w="540"/>
        <w:gridCol w:w="540"/>
        <w:gridCol w:w="540"/>
        <w:gridCol w:w="540"/>
      </w:tblGrid>
      <w:tr>
        <w:tc>
          <w:tcPr>
            <w:tcW w:type="dxa" w:w="2304"/>
            <w:shd w:val="clear" w:color="auto" w:fill="0B3C5D"/>
          </w:tcPr>
          <w:p>
            <w:pPr>
              <w:jc w:val="center"/>
            </w:pPr>
            <w:r/>
            <w:r>
              <w:rPr>
                <w:b/>
                <w:color w:val="FFFFFF"/>
                <w:sz w:val="18"/>
              </w:rPr>
              <w:t>Fase / semanas</w:t>
            </w:r>
          </w:p>
        </w:tc>
        <w:tc>
          <w:tcPr>
            <w:tcW w:type="dxa" w:w="540"/>
            <w:shd w:val="clear" w:color="auto" w:fill="0B3C5D"/>
          </w:tcPr>
          <w:p>
            <w:pPr>
              <w:jc w:val="center"/>
            </w:pPr>
            <w:r/>
            <w:r>
              <w:rPr>
                <w:b/>
                <w:color w:val="FFFFFF"/>
                <w:sz w:val="16"/>
              </w:rPr>
              <w:t>1-2</w:t>
            </w:r>
          </w:p>
        </w:tc>
        <w:tc>
          <w:tcPr>
            <w:tcW w:type="dxa" w:w="540"/>
            <w:shd w:val="clear" w:color="auto" w:fill="0B3C5D"/>
          </w:tcPr>
          <w:p>
            <w:pPr>
              <w:jc w:val="center"/>
            </w:pPr>
            <w:r/>
            <w:r>
              <w:rPr>
                <w:b/>
                <w:color w:val="FFFFFF"/>
                <w:sz w:val="16"/>
              </w:rPr>
              <w:t>3-4</w:t>
            </w:r>
          </w:p>
        </w:tc>
        <w:tc>
          <w:tcPr>
            <w:tcW w:type="dxa" w:w="540"/>
            <w:shd w:val="clear" w:color="auto" w:fill="0B3C5D"/>
          </w:tcPr>
          <w:p>
            <w:pPr>
              <w:jc w:val="center"/>
            </w:pPr>
            <w:r/>
            <w:r>
              <w:rPr>
                <w:b/>
                <w:color w:val="FFFFFF"/>
                <w:sz w:val="16"/>
              </w:rPr>
              <w:t>5-6</w:t>
            </w:r>
          </w:p>
        </w:tc>
        <w:tc>
          <w:tcPr>
            <w:tcW w:type="dxa" w:w="540"/>
            <w:shd w:val="clear" w:color="auto" w:fill="0B3C5D"/>
          </w:tcPr>
          <w:p>
            <w:pPr>
              <w:jc w:val="center"/>
            </w:pPr>
            <w:r/>
            <w:r>
              <w:rPr>
                <w:b/>
                <w:color w:val="FFFFFF"/>
                <w:sz w:val="16"/>
              </w:rPr>
              <w:t>7-8</w:t>
            </w:r>
          </w:p>
        </w:tc>
        <w:tc>
          <w:tcPr>
            <w:tcW w:type="dxa" w:w="540"/>
            <w:shd w:val="clear" w:color="auto" w:fill="0B3C5D"/>
          </w:tcPr>
          <w:p>
            <w:pPr>
              <w:jc w:val="center"/>
            </w:pPr>
            <w:r/>
            <w:r>
              <w:rPr>
                <w:b/>
                <w:color w:val="FFFFFF"/>
                <w:sz w:val="16"/>
              </w:rPr>
              <w:t>9-10</w:t>
            </w:r>
          </w:p>
        </w:tc>
        <w:tc>
          <w:tcPr>
            <w:tcW w:type="dxa" w:w="540"/>
            <w:shd w:val="clear" w:color="auto" w:fill="0B3C5D"/>
          </w:tcPr>
          <w:p>
            <w:pPr>
              <w:jc w:val="center"/>
            </w:pPr>
            <w:r/>
            <w:r>
              <w:rPr>
                <w:b/>
                <w:color w:val="FFFFFF"/>
                <w:sz w:val="16"/>
              </w:rPr>
              <w:t>11-12</w:t>
            </w:r>
          </w:p>
        </w:tc>
        <w:tc>
          <w:tcPr>
            <w:tcW w:type="dxa" w:w="540"/>
            <w:shd w:val="clear" w:color="auto" w:fill="0B3C5D"/>
          </w:tcPr>
          <w:p>
            <w:pPr>
              <w:jc w:val="center"/>
            </w:pPr>
            <w:r/>
            <w:r>
              <w:rPr>
                <w:b/>
                <w:color w:val="FFFFFF"/>
                <w:sz w:val="16"/>
              </w:rPr>
              <w:t>13-14</w:t>
            </w:r>
          </w:p>
        </w:tc>
        <w:tc>
          <w:tcPr>
            <w:tcW w:type="dxa" w:w="540"/>
            <w:shd w:val="clear" w:color="auto" w:fill="0B3C5D"/>
          </w:tcPr>
          <w:p>
            <w:pPr>
              <w:jc w:val="center"/>
            </w:pPr>
            <w:r/>
            <w:r>
              <w:rPr>
                <w:b/>
                <w:color w:val="FFFFFF"/>
                <w:sz w:val="16"/>
              </w:rPr>
              <w:t>15-16</w:t>
            </w:r>
          </w:p>
        </w:tc>
        <w:tc>
          <w:tcPr>
            <w:tcW w:type="dxa" w:w="540"/>
            <w:shd w:val="clear" w:color="auto" w:fill="0B3C5D"/>
          </w:tcPr>
          <w:p>
            <w:pPr>
              <w:jc w:val="center"/>
            </w:pPr>
            <w:r/>
            <w:r>
              <w:rPr>
                <w:b/>
                <w:color w:val="FFFFFF"/>
                <w:sz w:val="16"/>
              </w:rPr>
              <w:t>17-18</w:t>
            </w:r>
          </w:p>
        </w:tc>
        <w:tc>
          <w:tcPr>
            <w:tcW w:type="dxa" w:w="540"/>
            <w:shd w:val="clear" w:color="auto" w:fill="0B3C5D"/>
          </w:tcPr>
          <w:p>
            <w:pPr>
              <w:jc w:val="center"/>
            </w:pPr>
            <w:r/>
            <w:r>
              <w:rPr>
                <w:b/>
                <w:color w:val="FFFFFF"/>
                <w:sz w:val="16"/>
              </w:rPr>
              <w:t>19-20</w:t>
            </w:r>
          </w:p>
        </w:tc>
        <w:tc>
          <w:tcPr>
            <w:tcW w:type="dxa" w:w="540"/>
            <w:shd w:val="clear" w:color="auto" w:fill="0B3C5D"/>
          </w:tcPr>
          <w:p>
            <w:pPr>
              <w:jc w:val="center"/>
            </w:pPr>
            <w:r/>
            <w:r>
              <w:rPr>
                <w:b/>
                <w:color w:val="FFFFFF"/>
                <w:sz w:val="16"/>
              </w:rPr>
              <w:t>21-22</w:t>
            </w:r>
          </w:p>
        </w:tc>
        <w:tc>
          <w:tcPr>
            <w:tcW w:type="dxa" w:w="540"/>
            <w:shd w:val="clear" w:color="auto" w:fill="0B3C5D"/>
          </w:tcPr>
          <w:p>
            <w:pPr>
              <w:jc w:val="center"/>
            </w:pPr>
            <w:r/>
            <w:r>
              <w:rPr>
                <w:b/>
                <w:color w:val="FFFFFF"/>
                <w:sz w:val="16"/>
              </w:rPr>
              <w:t>23-24</w:t>
            </w:r>
          </w:p>
        </w:tc>
        <w:tc>
          <w:tcPr>
            <w:tcW w:type="dxa" w:w="540"/>
            <w:shd w:val="clear" w:color="auto" w:fill="0B3C5D"/>
          </w:tcPr>
          <w:p>
            <w:pPr>
              <w:jc w:val="center"/>
            </w:pPr>
            <w:r/>
            <w:r>
              <w:rPr>
                <w:b/>
                <w:color w:val="FFFFFF"/>
                <w:sz w:val="16"/>
              </w:rPr>
              <w:t>25-26</w:t>
            </w:r>
          </w:p>
        </w:tc>
      </w:tr>
      <w:tr>
        <w:trPr>
          <w:trHeight w:val="461"/>
        </w:trPr>
        <w:tc>
          <w:tcPr>
            <w:tcW w:type="dxa" w:w="2304"/>
          </w:tcPr>
          <w:p>
            <w:r/>
            <w:r>
              <w:rPr>
                <w:b/>
                <w:sz w:val="18"/>
              </w:rPr>
              <w:t>0. Preparación</w:t>
            </w:r>
          </w:p>
        </w:tc>
        <w:tc>
          <w:tcPr>
            <w:tcW w:type="dxa" w:w="540"/>
            <w:shd w:val="clear" w:color="auto" w:fill="0B3C5D"/>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r>
        <w:trPr>
          <w:trHeight w:val="461"/>
        </w:trPr>
        <w:tc>
          <w:tcPr>
            <w:tcW w:type="dxa" w:w="2304"/>
          </w:tcPr>
          <w:p>
            <w:r/>
            <w:r>
              <w:rPr>
                <w:b/>
                <w:sz w:val="18"/>
              </w:rPr>
              <w:t>1. Plataforma base</w:t>
            </w:r>
          </w:p>
        </w:tc>
        <w:tc>
          <w:tcPr>
            <w:tcW w:type="dxa" w:w="540"/>
          </w:tcPr>
          <w:p>
            <w:r/>
          </w:p>
        </w:tc>
        <w:tc>
          <w:tcPr>
            <w:tcW w:type="dxa" w:w="540"/>
            <w:shd w:val="clear" w:color="auto" w:fill="1168BD"/>
          </w:tcPr>
          <w:p>
            <w:r/>
          </w:p>
        </w:tc>
        <w:tc>
          <w:tcPr>
            <w:tcW w:type="dxa" w:w="540"/>
            <w:shd w:val="clear" w:color="auto" w:fill="1168BD"/>
          </w:tcPr>
          <w:p>
            <w:r/>
          </w:p>
        </w:tc>
        <w:tc>
          <w:tcPr>
            <w:tcW w:type="dxa" w:w="540"/>
            <w:shd w:val="clear" w:color="auto" w:fill="1168BD"/>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r>
        <w:trPr>
          <w:trHeight w:val="461"/>
        </w:trPr>
        <w:tc>
          <w:tcPr>
            <w:tcW w:type="dxa" w:w="2304"/>
          </w:tcPr>
          <w:p>
            <w:r/>
            <w:r>
              <w:rPr>
                <w:b/>
                <w:sz w:val="18"/>
              </w:rPr>
              <w:t>2. HU01 y HU03</w:t>
            </w:r>
          </w:p>
        </w:tc>
        <w:tc>
          <w:tcPr>
            <w:tcW w:type="dxa" w:w="540"/>
          </w:tcPr>
          <w:p>
            <w:r/>
          </w:p>
        </w:tc>
        <w:tc>
          <w:tcPr>
            <w:tcW w:type="dxa" w:w="540"/>
          </w:tcPr>
          <w:p>
            <w:r/>
          </w:p>
        </w:tc>
        <w:tc>
          <w:tcPr>
            <w:tcW w:type="dxa" w:w="540"/>
          </w:tcPr>
          <w:p>
            <w:r/>
          </w:p>
        </w:tc>
        <w:tc>
          <w:tcPr>
            <w:tcW w:type="dxa" w:w="540"/>
          </w:tcPr>
          <w:p>
            <w:r/>
          </w:p>
        </w:tc>
        <w:tc>
          <w:tcPr>
            <w:tcW w:type="dxa" w:w="540"/>
            <w:shd w:val="clear" w:color="auto" w:fill="0E9F8E"/>
          </w:tcPr>
          <w:p>
            <w:r/>
          </w:p>
        </w:tc>
        <w:tc>
          <w:tcPr>
            <w:tcW w:type="dxa" w:w="540"/>
            <w:shd w:val="clear" w:color="auto" w:fill="0E9F8E"/>
          </w:tcPr>
          <w:p>
            <w:r/>
          </w:p>
        </w:tc>
        <w:tc>
          <w:tcPr>
            <w:tcW w:type="dxa" w:w="540"/>
            <w:shd w:val="clear" w:color="auto" w:fill="0E9F8E"/>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r>
      <w:tr>
        <w:trPr>
          <w:trHeight w:val="461"/>
        </w:trPr>
        <w:tc>
          <w:tcPr>
            <w:tcW w:type="dxa" w:w="2304"/>
          </w:tcPr>
          <w:p>
            <w:r/>
            <w:r>
              <w:rPr>
                <w:b/>
                <w:sz w:val="18"/>
              </w:rPr>
              <w:t>3. HU02 y HU04</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shd w:val="clear" w:color="auto" w:fill="D86C1F"/>
          </w:tcPr>
          <w:p>
            <w:r/>
          </w:p>
        </w:tc>
        <w:tc>
          <w:tcPr>
            <w:tcW w:type="dxa" w:w="540"/>
            <w:shd w:val="clear" w:color="auto" w:fill="D86C1F"/>
          </w:tcPr>
          <w:p>
            <w:r/>
          </w:p>
        </w:tc>
        <w:tc>
          <w:tcPr>
            <w:tcW w:type="dxa" w:w="540"/>
            <w:shd w:val="clear" w:color="auto" w:fill="D86C1F"/>
          </w:tcPr>
          <w:p>
            <w:r/>
          </w:p>
        </w:tc>
        <w:tc>
          <w:tcPr>
            <w:tcW w:type="dxa" w:w="540"/>
          </w:tcPr>
          <w:p>
            <w:r/>
          </w:p>
        </w:tc>
        <w:tc>
          <w:tcPr>
            <w:tcW w:type="dxa" w:w="540"/>
          </w:tcPr>
          <w:p>
            <w:r/>
          </w:p>
        </w:tc>
        <w:tc>
          <w:tcPr>
            <w:tcW w:type="dxa" w:w="540"/>
          </w:tcPr>
          <w:p>
            <w:r/>
          </w:p>
        </w:tc>
      </w:tr>
      <w:tr>
        <w:trPr>
          <w:trHeight w:val="461"/>
        </w:trPr>
        <w:tc>
          <w:tcPr>
            <w:tcW w:type="dxa" w:w="2304"/>
          </w:tcPr>
          <w:p>
            <w:r/>
            <w:r>
              <w:rPr>
                <w:b/>
                <w:sz w:val="18"/>
              </w:rPr>
              <w:t>4. Pruebas y piloto</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shd w:val="clear" w:color="auto" w:fill="6B4FBB"/>
          </w:tcPr>
          <w:p>
            <w:r/>
          </w:p>
        </w:tc>
        <w:tc>
          <w:tcPr>
            <w:tcW w:type="dxa" w:w="540"/>
            <w:shd w:val="clear" w:color="auto" w:fill="6B4FBB"/>
          </w:tcPr>
          <w:p>
            <w:r/>
          </w:p>
        </w:tc>
        <w:tc>
          <w:tcPr>
            <w:tcW w:type="dxa" w:w="540"/>
          </w:tcPr>
          <w:p>
            <w:r/>
          </w:p>
        </w:tc>
      </w:tr>
      <w:tr>
        <w:trPr>
          <w:trHeight w:val="461"/>
        </w:trPr>
        <w:tc>
          <w:tcPr>
            <w:tcW w:type="dxa" w:w="2304"/>
          </w:tcPr>
          <w:p>
            <w:r/>
            <w:r>
              <w:rPr>
                <w:b/>
                <w:sz w:val="18"/>
              </w:rPr>
              <w:t>5. Salida</w:t>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tcPr>
          <w:p>
            <w:r/>
          </w:p>
        </w:tc>
        <w:tc>
          <w:tcPr>
            <w:tcW w:type="dxa" w:w="540"/>
            <w:shd w:val="clear" w:color="auto" w:fill="107C10"/>
          </w:tcPr>
          <w:p>
            <w:r/>
          </w:p>
        </w:tc>
      </w:tr>
    </w:tbl>
    <w:p/>
    <w:p>
      <w:pPr>
        <w:jc w:val="center"/>
      </w:pPr>
      <w:r>
        <w:rPr>
          <w:i/>
          <w:sz w:val="18"/>
        </w:rPr>
        <w:t>Figura 10. Cronograma tentativo de implementación (semanas).</w:t>
      </w:r>
    </w:p>
    <w:tbl>
      <w:tblPr>
        <w:tblStyle w:val="TableGrid"/>
        <w:tblW w:type="auto" w:w="0"/>
        <w:jc w:val="center"/>
        <w:tblLayout w:type="fixed"/>
        <w:tblLook w:firstColumn="1" w:firstRow="1" w:lastColumn="0" w:lastRow="0" w:noHBand="0" w:noVBand="1" w:val="04A0"/>
      </w:tblPr>
      <w:tblGrid>
        <w:gridCol w:w="2160"/>
        <w:gridCol w:w="1296"/>
        <w:gridCol w:w="5903"/>
      </w:tblGrid>
      <w:tr>
        <w:trPr>
          <w:cantSplit w:val="true"/>
          <w:tblHeader w:val="true"/>
        </w:trPr>
        <w:tc>
          <w:tcPr>
            <w:tcW w:type="dxa" w:w="2160"/>
            <w:shd w:val="clear" w:color="auto" w:fill="0B3C5D"/>
          </w:tcPr>
          <w:p>
            <w:pPr>
              <w:spacing w:after="40" w:before="40" w:line="240" w:lineRule="auto"/>
            </w:pPr>
            <w:r/>
            <w:r>
              <w:rPr>
                <w:b/>
                <w:color w:val="FFFFFF"/>
                <w:sz w:val="18"/>
              </w:rPr>
              <w:t>Fase</w:t>
            </w:r>
          </w:p>
        </w:tc>
        <w:tc>
          <w:tcPr>
            <w:tcW w:type="dxa" w:w="1296"/>
            <w:shd w:val="clear" w:color="auto" w:fill="0B3C5D"/>
          </w:tcPr>
          <w:p>
            <w:pPr>
              <w:spacing w:after="40" w:before="40" w:line="240" w:lineRule="auto"/>
            </w:pPr>
            <w:r/>
            <w:r>
              <w:rPr>
                <w:b/>
                <w:color w:val="FFFFFF"/>
                <w:sz w:val="18"/>
              </w:rPr>
              <w:t>Semanas</w:t>
            </w:r>
          </w:p>
        </w:tc>
        <w:tc>
          <w:tcPr>
            <w:tcW w:type="dxa" w:w="5904"/>
            <w:shd w:val="clear" w:color="auto" w:fill="0B3C5D"/>
          </w:tcPr>
          <w:p>
            <w:pPr>
              <w:spacing w:after="40" w:before="40" w:line="240" w:lineRule="auto"/>
            </w:pPr>
            <w:r/>
            <w:r>
              <w:rPr>
                <w:b/>
                <w:color w:val="FFFFFF"/>
                <w:sz w:val="18"/>
              </w:rPr>
              <w:t>Entregables</w:t>
            </w:r>
          </w:p>
        </w:tc>
      </w:tr>
      <w:tr>
        <w:trPr>
          <w:cantSplit w:val="true"/>
        </w:trPr>
        <w:tc>
          <w:tcPr>
            <w:tcW w:type="dxa" w:w="2160"/>
          </w:tcPr>
          <w:p>
            <w:pPr>
              <w:spacing w:after="40" w:before="40" w:line="240" w:lineRule="auto"/>
            </w:pPr>
            <w:r/>
            <w:r>
              <w:rPr>
                <w:sz w:val="18"/>
              </w:rPr>
              <w:t>0. Preparación</w:t>
            </w:r>
          </w:p>
        </w:tc>
        <w:tc>
          <w:tcPr>
            <w:tcW w:type="dxa" w:w="1296"/>
          </w:tcPr>
          <w:p>
            <w:pPr>
              <w:spacing w:after="40" w:before="40" w:line="240" w:lineRule="auto"/>
            </w:pPr>
            <w:r/>
            <w:r>
              <w:rPr>
                <w:sz w:val="18"/>
              </w:rPr>
              <w:t>1-2</w:t>
            </w:r>
          </w:p>
        </w:tc>
        <w:tc>
          <w:tcPr>
            <w:tcW w:type="dxa" w:w="5904"/>
          </w:tcPr>
          <w:p>
            <w:pPr>
              <w:spacing w:after="40" w:before="40" w:line="240" w:lineRule="auto"/>
            </w:pPr>
            <w:r/>
            <w:r>
              <w:rPr>
                <w:sz w:val="18"/>
              </w:rPr>
              <w:t>Landing zone, redes, infraestructura como código y CI/CD.</w:t>
            </w:r>
          </w:p>
        </w:tc>
      </w:tr>
      <w:tr>
        <w:trPr>
          <w:cantSplit w:val="true"/>
        </w:trPr>
        <w:tc>
          <w:tcPr>
            <w:tcW w:type="dxa" w:w="2160"/>
            <w:shd w:val="clear" w:color="auto" w:fill="EAF2FB"/>
          </w:tcPr>
          <w:p>
            <w:pPr>
              <w:spacing w:after="40" w:before="40" w:line="240" w:lineRule="auto"/>
            </w:pPr>
            <w:r/>
            <w:r>
              <w:rPr>
                <w:sz w:val="18"/>
              </w:rPr>
              <w:t>1. Plataforma base</w:t>
            </w:r>
          </w:p>
        </w:tc>
        <w:tc>
          <w:tcPr>
            <w:tcW w:type="dxa" w:w="1296"/>
            <w:shd w:val="clear" w:color="auto" w:fill="EAF2FB"/>
          </w:tcPr>
          <w:p>
            <w:pPr>
              <w:spacing w:after="40" w:before="40" w:line="240" w:lineRule="auto"/>
            </w:pPr>
            <w:r/>
            <w:r>
              <w:rPr>
                <w:sz w:val="18"/>
              </w:rPr>
              <w:t>3-8</w:t>
            </w:r>
          </w:p>
        </w:tc>
        <w:tc>
          <w:tcPr>
            <w:tcW w:type="dxa" w:w="5904"/>
            <w:shd w:val="clear" w:color="auto" w:fill="EAF2FB"/>
          </w:tcPr>
          <w:p>
            <w:pPr>
              <w:spacing w:after="40" w:before="40" w:line="240" w:lineRule="auto"/>
            </w:pPr>
            <w:r/>
            <w:r>
              <w:rPr>
                <w:sz w:val="18"/>
              </w:rPr>
              <w:t>AKS, API Management, Front Door, federación OIDC y monitoreo.</w:t>
            </w:r>
          </w:p>
        </w:tc>
      </w:tr>
      <w:tr>
        <w:trPr>
          <w:cantSplit w:val="true"/>
        </w:trPr>
        <w:tc>
          <w:tcPr>
            <w:tcW w:type="dxa" w:w="2160"/>
          </w:tcPr>
          <w:p>
            <w:pPr>
              <w:spacing w:after="40" w:before="40" w:line="240" w:lineRule="auto"/>
            </w:pPr>
            <w:r/>
            <w:r>
              <w:rPr>
                <w:sz w:val="18"/>
              </w:rPr>
              <w:t>2. HU01 y HU03</w:t>
            </w:r>
          </w:p>
        </w:tc>
        <w:tc>
          <w:tcPr>
            <w:tcW w:type="dxa" w:w="1296"/>
          </w:tcPr>
          <w:p>
            <w:pPr>
              <w:spacing w:after="40" w:before="40" w:line="240" w:lineRule="auto"/>
            </w:pPr>
            <w:r/>
            <w:r>
              <w:rPr>
                <w:sz w:val="18"/>
              </w:rPr>
              <w:t>9-14</w:t>
            </w:r>
          </w:p>
        </w:tc>
        <w:tc>
          <w:tcPr>
            <w:tcW w:type="dxa" w:w="5904"/>
          </w:tcPr>
          <w:p>
            <w:pPr>
              <w:spacing w:after="40" w:before="40" w:line="240" w:lineRule="auto"/>
            </w:pPr>
            <w:r/>
            <w:r>
              <w:rPr>
                <w:sz w:val="18"/>
              </w:rPr>
              <w:t>Historia clínica con FHIR y búsqueda de centros médicos.</w:t>
            </w:r>
          </w:p>
        </w:tc>
      </w:tr>
      <w:tr>
        <w:trPr>
          <w:cantSplit w:val="true"/>
        </w:trPr>
        <w:tc>
          <w:tcPr>
            <w:tcW w:type="dxa" w:w="2160"/>
            <w:shd w:val="clear" w:color="auto" w:fill="EAF2FB"/>
          </w:tcPr>
          <w:p>
            <w:pPr>
              <w:spacing w:after="40" w:before="40" w:line="240" w:lineRule="auto"/>
            </w:pPr>
            <w:r/>
            <w:r>
              <w:rPr>
                <w:sz w:val="18"/>
              </w:rPr>
              <w:t>3. HU02 y HU04</w:t>
            </w:r>
          </w:p>
        </w:tc>
        <w:tc>
          <w:tcPr>
            <w:tcW w:type="dxa" w:w="1296"/>
            <w:shd w:val="clear" w:color="auto" w:fill="EAF2FB"/>
          </w:tcPr>
          <w:p>
            <w:pPr>
              <w:spacing w:after="40" w:before="40" w:line="240" w:lineRule="auto"/>
            </w:pPr>
            <w:r/>
            <w:r>
              <w:rPr>
                <w:sz w:val="18"/>
              </w:rPr>
              <w:t>15-20</w:t>
            </w:r>
          </w:p>
        </w:tc>
        <w:tc>
          <w:tcPr>
            <w:tcW w:type="dxa" w:w="5904"/>
            <w:shd w:val="clear" w:color="auto" w:fill="EAF2FB"/>
          </w:tcPr>
          <w:p>
            <w:pPr>
              <w:spacing w:after="40" w:before="40" w:line="240" w:lineRule="auto"/>
            </w:pPr>
            <w:r/>
            <w:r>
              <w:rPr>
                <w:sz w:val="18"/>
              </w:rPr>
              <w:t>Asistencia al diagnóstico validada por médicos, remisión y avisos.</w:t>
            </w:r>
          </w:p>
        </w:tc>
      </w:tr>
      <w:tr>
        <w:trPr>
          <w:cantSplit w:val="true"/>
        </w:trPr>
        <w:tc>
          <w:tcPr>
            <w:tcW w:type="dxa" w:w="2160"/>
          </w:tcPr>
          <w:p>
            <w:pPr>
              <w:spacing w:after="40" w:before="40" w:line="240" w:lineRule="auto"/>
            </w:pPr>
            <w:r/>
            <w:r>
              <w:rPr>
                <w:sz w:val="18"/>
              </w:rPr>
              <w:t>4. Pruebas y piloto</w:t>
            </w:r>
          </w:p>
        </w:tc>
        <w:tc>
          <w:tcPr>
            <w:tcW w:type="dxa" w:w="1296"/>
          </w:tcPr>
          <w:p>
            <w:pPr>
              <w:spacing w:after="40" w:before="40" w:line="240" w:lineRule="auto"/>
            </w:pPr>
            <w:r/>
            <w:r>
              <w:rPr>
                <w:sz w:val="18"/>
              </w:rPr>
              <w:t>21-24</w:t>
            </w:r>
          </w:p>
        </w:tc>
        <w:tc>
          <w:tcPr>
            <w:tcW w:type="dxa" w:w="5904"/>
          </w:tcPr>
          <w:p>
            <w:pPr>
              <w:spacing w:after="40" w:before="40" w:line="240" w:lineRule="auto"/>
            </w:pPr>
            <w:r/>
            <w:r>
              <w:rPr>
                <w:sz w:val="18"/>
              </w:rPr>
              <w:t>Pruebas de carga y seguridad, simulacro de caída, piloto con 25 enfermeras.</w:t>
            </w:r>
          </w:p>
        </w:tc>
      </w:tr>
      <w:tr>
        <w:trPr>
          <w:cantSplit w:val="true"/>
        </w:trPr>
        <w:tc>
          <w:tcPr>
            <w:tcW w:type="dxa" w:w="2160"/>
            <w:shd w:val="clear" w:color="auto" w:fill="EAF2FB"/>
          </w:tcPr>
          <w:p>
            <w:pPr>
              <w:spacing w:after="40" w:before="40" w:line="240" w:lineRule="auto"/>
            </w:pPr>
            <w:r/>
            <w:r>
              <w:rPr>
                <w:sz w:val="18"/>
              </w:rPr>
              <w:t>5. Salida</w:t>
            </w:r>
          </w:p>
        </w:tc>
        <w:tc>
          <w:tcPr>
            <w:tcW w:type="dxa" w:w="1296"/>
            <w:shd w:val="clear" w:color="auto" w:fill="EAF2FB"/>
          </w:tcPr>
          <w:p>
            <w:pPr>
              <w:spacing w:after="40" w:before="40" w:line="240" w:lineRule="auto"/>
            </w:pPr>
            <w:r/>
            <w:r>
              <w:rPr>
                <w:sz w:val="18"/>
              </w:rPr>
              <w:t>25-26</w:t>
            </w:r>
          </w:p>
        </w:tc>
        <w:tc>
          <w:tcPr>
            <w:tcW w:type="dxa" w:w="5904"/>
            <w:shd w:val="clear" w:color="auto" w:fill="EAF2FB"/>
          </w:tcPr>
          <w:p>
            <w:pPr>
              <w:spacing w:after="40" w:before="40" w:line="240" w:lineRule="auto"/>
            </w:pPr>
            <w:r/>
            <w:r>
              <w:rPr>
                <w:sz w:val="18"/>
              </w:rPr>
              <w:t>Despliegue gradual a 250 enfermeras y estabilización.</w:t>
            </w:r>
          </w:p>
        </w:tc>
      </w:tr>
      <w:tr>
        <w:trPr>
          <w:cantSplit w:val="true"/>
        </w:trPr>
        <w:tc>
          <w:tcPr>
            <w:tcW w:type="dxa" w:w="2160"/>
          </w:tcPr>
          <w:p>
            <w:pPr>
              <w:spacing w:after="40" w:before="40" w:line="240" w:lineRule="auto"/>
            </w:pPr>
            <w:r/>
            <w:r>
              <w:rPr>
                <w:sz w:val="18"/>
              </w:rPr>
              <w:t>Fase futura</w:t>
            </w:r>
          </w:p>
        </w:tc>
        <w:tc>
          <w:tcPr>
            <w:tcW w:type="dxa" w:w="1296"/>
          </w:tcPr>
          <w:p>
            <w:pPr>
              <w:spacing w:after="40" w:before="40" w:line="240" w:lineRule="auto"/>
            </w:pPr>
            <w:r/>
            <w:r>
              <w:rPr>
                <w:sz w:val="18"/>
              </w:rPr>
              <w:t>-</w:t>
            </w:r>
          </w:p>
        </w:tc>
        <w:tc>
          <w:tcPr>
            <w:tcW w:type="dxa" w:w="5904"/>
          </w:tcPr>
          <w:p>
            <w:pPr>
              <w:spacing w:after="40" w:before="40" w:line="240" w:lineRule="auto"/>
            </w:pPr>
            <w:r/>
            <w:r>
              <w:rPr>
                <w:sz w:val="18"/>
              </w:rPr>
              <w:t>Canal de pacientes: Entra External ID, app móvil y portal web.</w:t>
            </w:r>
          </w:p>
        </w:tc>
      </w:tr>
    </w:tbl>
    <w:p/>
    <w:p>
      <w:pPr>
        <w:pStyle w:val="Heading1"/>
      </w:pPr>
      <w:r>
        <w:t>16. Riesgos y mitigaciones</w:t>
      </w:r>
    </w:p>
    <w:tbl>
      <w:tblPr>
        <w:tblStyle w:val="TableGrid"/>
        <w:tblW w:type="auto" w:w="0"/>
        <w:jc w:val="center"/>
        <w:tblLayout w:type="fixed"/>
        <w:tblLook w:firstColumn="1" w:firstRow="1" w:lastColumn="0" w:lastRow="0" w:noHBand="0" w:noVBand="1" w:val="04A0"/>
      </w:tblPr>
      <w:tblGrid>
        <w:gridCol w:w="2880"/>
        <w:gridCol w:w="1440"/>
        <w:gridCol w:w="5040"/>
      </w:tblGrid>
      <w:tr>
        <w:trPr>
          <w:cantSplit w:val="true"/>
          <w:tblHeader w:val="true"/>
        </w:trPr>
        <w:tc>
          <w:tcPr>
            <w:tcW w:type="dxa" w:w="2880"/>
            <w:shd w:val="clear" w:color="auto" w:fill="0B3C5D"/>
          </w:tcPr>
          <w:p>
            <w:pPr>
              <w:spacing w:after="40" w:before="40" w:line="240" w:lineRule="auto"/>
            </w:pPr>
            <w:r/>
            <w:r>
              <w:rPr>
                <w:b/>
                <w:color w:val="FFFFFF"/>
                <w:sz w:val="18"/>
              </w:rPr>
              <w:t>Riesgo</w:t>
            </w:r>
          </w:p>
        </w:tc>
        <w:tc>
          <w:tcPr>
            <w:tcW w:type="dxa" w:w="1440"/>
            <w:shd w:val="clear" w:color="auto" w:fill="0B3C5D"/>
          </w:tcPr>
          <w:p>
            <w:pPr>
              <w:spacing w:after="40" w:before="40" w:line="240" w:lineRule="auto"/>
            </w:pPr>
            <w:r/>
            <w:r>
              <w:rPr>
                <w:b/>
                <w:color w:val="FFFFFF"/>
                <w:sz w:val="18"/>
              </w:rPr>
              <w:t>Probabilidad</w:t>
            </w:r>
          </w:p>
        </w:tc>
        <w:tc>
          <w:tcPr>
            <w:tcW w:type="dxa" w:w="5040"/>
            <w:shd w:val="clear" w:color="auto" w:fill="0B3C5D"/>
          </w:tcPr>
          <w:p>
            <w:pPr>
              <w:spacing w:after="40" w:before="40" w:line="240" w:lineRule="auto"/>
            </w:pPr>
            <w:r/>
            <w:r>
              <w:rPr>
                <w:b/>
                <w:color w:val="FFFFFF"/>
                <w:sz w:val="18"/>
              </w:rPr>
              <w:t>Mitigación</w:t>
            </w:r>
          </w:p>
        </w:tc>
      </w:tr>
      <w:tr>
        <w:trPr>
          <w:cantSplit w:val="true"/>
        </w:trPr>
        <w:tc>
          <w:tcPr>
            <w:tcW w:type="dxa" w:w="2880"/>
          </w:tcPr>
          <w:p>
            <w:pPr>
              <w:spacing w:after="40" w:before="40" w:line="240" w:lineRule="auto"/>
            </w:pPr>
            <w:r/>
            <w:r>
              <w:rPr>
                <w:sz w:val="18"/>
              </w:rPr>
              <w:t>Indisponibilidad de la región primaria</w:t>
            </w:r>
          </w:p>
        </w:tc>
        <w:tc>
          <w:tcPr>
            <w:tcW w:type="dxa" w:w="1440"/>
          </w:tcPr>
          <w:p>
            <w:pPr>
              <w:spacing w:after="40" w:before="40" w:line="240" w:lineRule="auto"/>
            </w:pPr>
            <w:r/>
            <w:r>
              <w:rPr>
                <w:sz w:val="18"/>
              </w:rPr>
              <w:t>Media</w:t>
            </w:r>
          </w:p>
        </w:tc>
        <w:tc>
          <w:tcPr>
            <w:tcW w:type="dxa" w:w="5040"/>
          </w:tcPr>
          <w:p>
            <w:pPr>
              <w:spacing w:after="40" w:before="40" w:line="240" w:lineRule="auto"/>
            </w:pPr>
            <w:r/>
            <w:r>
              <w:rPr>
                <w:sz w:val="18"/>
              </w:rPr>
              <w:t>Failover automático con Front Door, réplica de BD y simulacros trimestrales</w:t>
            </w:r>
          </w:p>
        </w:tc>
      </w:tr>
      <w:tr>
        <w:trPr>
          <w:cantSplit w:val="true"/>
        </w:trPr>
        <w:tc>
          <w:tcPr>
            <w:tcW w:type="dxa" w:w="2880"/>
            <w:shd w:val="clear" w:color="auto" w:fill="EAF2FB"/>
          </w:tcPr>
          <w:p>
            <w:pPr>
              <w:spacing w:after="40" w:before="40" w:line="240" w:lineRule="auto"/>
            </w:pPr>
            <w:r/>
            <w:r>
              <w:rPr>
                <w:sz w:val="18"/>
              </w:rPr>
              <w:t>Sugerencias de diagnóstico incorrectas</w:t>
            </w:r>
          </w:p>
        </w:tc>
        <w:tc>
          <w:tcPr>
            <w:tcW w:type="dxa" w:w="1440"/>
            <w:shd w:val="clear" w:color="auto" w:fill="EAF2FB"/>
          </w:tcPr>
          <w:p>
            <w:pPr>
              <w:spacing w:after="40" w:before="40" w:line="240" w:lineRule="auto"/>
            </w:pPr>
            <w:r/>
            <w:r>
              <w:rPr>
                <w:sz w:val="18"/>
              </w:rPr>
              <w:t>Media</w:t>
            </w:r>
          </w:p>
        </w:tc>
        <w:tc>
          <w:tcPr>
            <w:tcW w:type="dxa" w:w="5040"/>
            <w:shd w:val="clear" w:color="auto" w:fill="EAF2FB"/>
          </w:tcPr>
          <w:p>
            <w:pPr>
              <w:spacing w:after="40" w:before="40" w:line="240" w:lineRule="auto"/>
            </w:pPr>
            <w:r/>
            <w:r>
              <w:rPr>
                <w:sz w:val="18"/>
              </w:rPr>
              <w:t>Reglas de triaje validadas por médicos, supervisión humana y auditoría de cada sugerencia</w:t>
            </w:r>
          </w:p>
        </w:tc>
      </w:tr>
      <w:tr>
        <w:trPr>
          <w:cantSplit w:val="true"/>
        </w:trPr>
        <w:tc>
          <w:tcPr>
            <w:tcW w:type="dxa" w:w="2880"/>
          </w:tcPr>
          <w:p>
            <w:pPr>
              <w:spacing w:after="40" w:before="40" w:line="240" w:lineRule="auto"/>
            </w:pPr>
            <w:r/>
            <w:r>
              <w:rPr>
                <w:sz w:val="18"/>
              </w:rPr>
              <w:t>Fuga de datos clínicos</w:t>
            </w:r>
          </w:p>
        </w:tc>
        <w:tc>
          <w:tcPr>
            <w:tcW w:type="dxa" w:w="1440"/>
          </w:tcPr>
          <w:p>
            <w:pPr>
              <w:spacing w:after="40" w:before="40" w:line="240" w:lineRule="auto"/>
            </w:pPr>
            <w:r/>
            <w:r>
              <w:rPr>
                <w:sz w:val="18"/>
              </w:rPr>
              <w:t>Baja</w:t>
            </w:r>
          </w:p>
        </w:tc>
        <w:tc>
          <w:tcPr>
            <w:tcW w:type="dxa" w:w="5040"/>
          </w:tcPr>
          <w:p>
            <w:pPr>
              <w:spacing w:after="40" w:before="40" w:line="240" w:lineRule="auto"/>
            </w:pPr>
            <w:r/>
            <w:r>
              <w:rPr>
                <w:sz w:val="18"/>
              </w:rPr>
              <w:t>Red privada, cifrado, mínimo privilegio, anonimización y Defender for Cloud</w:t>
            </w:r>
          </w:p>
        </w:tc>
      </w:tr>
      <w:tr>
        <w:trPr>
          <w:cantSplit w:val="true"/>
        </w:trPr>
        <w:tc>
          <w:tcPr>
            <w:tcW w:type="dxa" w:w="2880"/>
            <w:shd w:val="clear" w:color="auto" w:fill="EAF2FB"/>
          </w:tcPr>
          <w:p>
            <w:pPr>
              <w:spacing w:after="40" w:before="40" w:line="240" w:lineRule="auto"/>
            </w:pPr>
            <w:r/>
            <w:r>
              <w:rPr>
                <w:sz w:val="18"/>
              </w:rPr>
              <w:t>Sobrecostos por crecimiento</w:t>
            </w:r>
          </w:p>
        </w:tc>
        <w:tc>
          <w:tcPr>
            <w:tcW w:type="dxa" w:w="1440"/>
            <w:shd w:val="clear" w:color="auto" w:fill="EAF2FB"/>
          </w:tcPr>
          <w:p>
            <w:pPr>
              <w:spacing w:after="40" w:before="40" w:line="240" w:lineRule="auto"/>
            </w:pPr>
            <w:r/>
            <w:r>
              <w:rPr>
                <w:sz w:val="18"/>
              </w:rPr>
              <w:t>Media</w:t>
            </w:r>
          </w:p>
        </w:tc>
        <w:tc>
          <w:tcPr>
            <w:tcW w:type="dxa" w:w="5040"/>
            <w:shd w:val="clear" w:color="auto" w:fill="EAF2FB"/>
          </w:tcPr>
          <w:p>
            <w:pPr>
              <w:spacing w:after="40" w:before="40" w:line="240" w:lineRule="auto"/>
            </w:pPr>
            <w:r/>
            <w:r>
              <w:rPr>
                <w:sz w:val="18"/>
              </w:rPr>
              <w:t>Presupuestos y alertas de costo, reservas y autoescalado con límites</w:t>
            </w:r>
          </w:p>
        </w:tc>
      </w:tr>
      <w:tr>
        <w:trPr>
          <w:cantSplit w:val="true"/>
        </w:trPr>
        <w:tc>
          <w:tcPr>
            <w:tcW w:type="dxa" w:w="2880"/>
          </w:tcPr>
          <w:p>
            <w:pPr>
              <w:spacing w:after="40" w:before="40" w:line="240" w:lineRule="auto"/>
            </w:pPr>
            <w:r/>
            <w:r>
              <w:rPr>
                <w:sz w:val="18"/>
              </w:rPr>
              <w:t>Integración con el sistema de seguridad corporativo</w:t>
            </w:r>
          </w:p>
        </w:tc>
        <w:tc>
          <w:tcPr>
            <w:tcW w:type="dxa" w:w="1440"/>
          </w:tcPr>
          <w:p>
            <w:pPr>
              <w:spacing w:after="40" w:before="40" w:line="240" w:lineRule="auto"/>
            </w:pPr>
            <w:r/>
            <w:r>
              <w:rPr>
                <w:sz w:val="18"/>
              </w:rPr>
              <w:t>Media</w:t>
            </w:r>
          </w:p>
        </w:tc>
        <w:tc>
          <w:tcPr>
            <w:tcW w:type="dxa" w:w="5040"/>
          </w:tcPr>
          <w:p>
            <w:pPr>
              <w:spacing w:after="40" w:before="40" w:line="240" w:lineRule="auto"/>
            </w:pPr>
            <w:r/>
            <w:r>
              <w:rPr>
                <w:sz w:val="18"/>
              </w:rPr>
              <w:t>Prueba de concepto de federación OIDC en la fase 1</w:t>
            </w:r>
          </w:p>
        </w:tc>
      </w:tr>
      <w:tr>
        <w:trPr>
          <w:cantSplit w:val="true"/>
        </w:trPr>
        <w:tc>
          <w:tcPr>
            <w:tcW w:type="dxa" w:w="2880"/>
            <w:shd w:val="clear" w:color="auto" w:fill="EAF2FB"/>
          </w:tcPr>
          <w:p>
            <w:pPr>
              <w:spacing w:after="40" w:before="40" w:line="240" w:lineRule="auto"/>
            </w:pPr>
            <w:r/>
            <w:r>
              <w:rPr>
                <w:sz w:val="18"/>
              </w:rPr>
              <w:t>Resistencia al cambio de las enfermeras</w:t>
            </w:r>
          </w:p>
        </w:tc>
        <w:tc>
          <w:tcPr>
            <w:tcW w:type="dxa" w:w="1440"/>
            <w:shd w:val="clear" w:color="auto" w:fill="EAF2FB"/>
          </w:tcPr>
          <w:p>
            <w:pPr>
              <w:spacing w:after="40" w:before="40" w:line="240" w:lineRule="auto"/>
            </w:pPr>
            <w:r/>
            <w:r>
              <w:rPr>
                <w:sz w:val="18"/>
              </w:rPr>
              <w:t>Baja</w:t>
            </w:r>
          </w:p>
        </w:tc>
        <w:tc>
          <w:tcPr>
            <w:tcW w:type="dxa" w:w="5040"/>
            <w:shd w:val="clear" w:color="auto" w:fill="EAF2FB"/>
          </w:tcPr>
          <w:p>
            <w:pPr>
              <w:spacing w:after="40" w:before="40" w:line="240" w:lineRule="auto"/>
            </w:pPr>
            <w:r/>
            <w:r>
              <w:rPr>
                <w:sz w:val="18"/>
              </w:rPr>
              <w:t>Piloto con 25 enfermeras, capacitación y soporte durante la estabilización</w:t>
            </w:r>
          </w:p>
        </w:tc>
      </w:tr>
    </w:tbl>
    <w:p/>
    <w:p>
      <w:pPr>
        <w:pStyle w:val="Heading1"/>
      </w:pPr>
      <w:r>
        <w:t>17. Conclusiones</w:t>
      </w:r>
    </w:p>
    <w:p>
      <w:pPr>
        <w:pStyle w:val="ListBullet"/>
      </w:pPr>
      <w:r>
        <w:t>La arquitectura de microservicios en AKS cubre las cuatro historias de usuario con servicios independientes y escalables.</w:t>
      </w:r>
    </w:p>
    <w:p>
      <w:pPr>
        <w:pStyle w:val="ListBullet"/>
      </w:pPr>
      <w:r>
        <w:t>La federación OIDC con Entra ID cumple el requisito de autenticar a las enfermeras contra el sistema de seguridad centralizado.</w:t>
      </w:r>
    </w:p>
    <w:p>
      <w:pPr>
        <w:pStyle w:val="ListBullet"/>
      </w:pPr>
      <w:r>
        <w:t>El despliegue en tres zonas y dos regiones garantiza la operación 24/7 con un RTO de una hora.</w:t>
      </w:r>
    </w:p>
    <w:p>
      <w:pPr>
        <w:pStyle w:val="ListBullet"/>
      </w:pPr>
      <w:r>
        <w:t>Azure es la plataforma elegida por su integración con la identidad corporativa y sus servicios de salud, aunque AWS sea más económico en precios de lista; las reservas reducen esa diferencia.</w:t>
      </w:r>
    </w:p>
    <w:p>
      <w:pPr>
        <w:pStyle w:val="ListBullet"/>
      </w:pPr>
      <w:r>
        <w:t>El asistente de diagnóstico apoya a la enfermera sin reemplazar su criterio clínico.</w:t>
      </w:r>
    </w:p>
    <w:p>
      <w:pPr>
        <w:pStyle w:val="Heading1"/>
      </w:pPr>
      <w:r>
        <w:t>Referencias</w:t>
      </w:r>
    </w:p>
    <w:p>
      <w:pPr>
        <w:pStyle w:val="ListBullet"/>
      </w:pPr>
      <w:r>
        <w:t>Modelo C4 - https://c4model.com</w:t>
      </w:r>
    </w:p>
    <w:p>
      <w:pPr>
        <w:pStyle w:val="ListBullet"/>
      </w:pPr>
      <w:r>
        <w:t>Mermaid - sintaxis de diagramas - https://mermaid.js.org</w:t>
      </w:r>
    </w:p>
    <w:p>
      <w:pPr>
        <w:pStyle w:val="ListBullet"/>
      </w:pPr>
      <w:r>
        <w:t>Azure Architecture Center - https://learn.microsoft.com/azure/architecture/</w:t>
      </w:r>
    </w:p>
    <w:p>
      <w:pPr>
        <w:pStyle w:val="ListBullet"/>
      </w:pPr>
      <w:r>
        <w:t>Azure Well-Architected Framework - https://learn.microsoft.com/azure/well-architected/</w:t>
      </w:r>
    </w:p>
    <w:p>
      <w:pPr>
        <w:pStyle w:val="ListBullet"/>
      </w:pPr>
      <w:r>
        <w:t>Azure Health Data Services - https://learn.microsoft.com/azure/healthcare-apis/</w:t>
      </w:r>
    </w:p>
    <w:p>
      <w:pPr>
        <w:pStyle w:val="ListBullet"/>
      </w:pPr>
      <w:r>
        <w:t>Microsoft Entra ID - federación OIDC - https://learn.microsoft.com/entra/identity/</w:t>
      </w:r>
    </w:p>
    <w:p>
      <w:pPr>
        <w:pStyle w:val="ListBullet"/>
      </w:pPr>
      <w:r>
        <w:t>Seguridad en Azure - https://learn.microsoft.com/azure/security/</w:t>
      </w:r>
    </w:p>
    <w:p>
      <w:pPr>
        <w:pStyle w:val="ListBullet"/>
      </w:pPr>
      <w:r>
        <w:t>Calculadora de precios de Azure - https://azure.microsoft.com/pricing/calculator/</w:t>
      </w:r>
    </w:p>
    <w:p>
      <w:pPr>
        <w:pStyle w:val="ListBullet"/>
      </w:pPr>
      <w:r>
        <w:t>Calculadora de precios de AWS - https://calculator.aws/</w:t>
      </w:r>
    </w:p>
    <w:p>
      <w:pPr>
        <w:pStyle w:val="ListBullet"/>
      </w:pPr>
      <w:r>
        <w:t>Cumplimiento HIPAA en Azure - https://learn.microsoft.com/azure/compliance/offerings/offering-hipaa-us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Arquitectura Distribuida - Hospital Medical Health  |  Página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 w:eastAsiaTheme="majorEastAsia" w:hAnsiTheme="majorHAnsi" w:cstheme="majorBidi" w:ascii="Calibri" w:hAnsi="Calibri"/>
      <w:b/>
      <w:bCs/>
      <w:color w:val="0B3C5D"/>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 w:eastAsiaTheme="majorEastAsia" w:hAnsiTheme="majorHAnsi" w:cstheme="majorBidi" w:ascii="Calibri" w:hAnsi="Calibri"/>
      <w:b/>
      <w:bCs/>
      <w:color w:val="0B3C5D"/>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 w:eastAsiaTheme="majorEastAsia" w:hAnsiTheme="majorHAnsi" w:cstheme="majorBidi" w:ascii="Calibri" w:hAnsi="Calibri"/>
      <w:b/>
      <w:bCs/>
      <w:color w:val="1168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Distribuida - Hospital Medical Health</dc:title>
  <dc:subject/>
  <dc:creator/>
  <cp:keywords/>
  <dc:description/>
  <cp:lastModifiedBy/>
  <cp:revision>1</cp:revision>
  <dcterms:created xsi:type="dcterms:W3CDTF">2026-10-04T12:00:00Z</dcterms:created>
  <dcterms:modified xsi:type="dcterms:W3CDTF">2026-10-04T12:00:00Z</dcterms:modified>
  <cp:category/>
</cp:coreProperties>
</file>