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cáncer de cuello uterino es la cuarta neoplasia más frecuente que afecta a</w:t>
        <w:br/>
        <w:t>mujeres alrededor del mundo, gracias a la implementación del tamizaje por</w:t>
        <w:br/>
        <w:t>medio de la prueba del Papanicolaou PAP, es posible detectar tempranamente</w:t>
        <w:br/>
        <w:t>anomalías celulares que advierten de cambios con posible progresión hacia una</w:t>
        <w:br/>
        <w:t>lesión maligna. El estudio tuvo como objetivo determinar la anomalía</w:t>
        <w:br/>
        <w:t>citológica cervical de mayor prevalencia en mujeres que se realizaron la</w:t>
        <w:br/>
        <w:t>prueba de Papanicolaou en el Hospital General Isidro Ayora de Loja durante el</w:t>
        <w:br/>
        <w:t>periodo enerodiciembre del 2019, así como indicar su edad y lugar de</w:t>
        <w:br/>
        <w:t>residencia, y los antecedentes ginecoobstétricos según el tipo de anomalía</w:t>
        <w:br/>
        <w:t>presentada. Se trata de un estudio descriptivo, cuantitativo, retrospectivo.</w:t>
        <w:br/>
        <w:t>Durante este periodo de tiempo se realizaron un total de 3774 PAP test, de los</w:t>
        <w:br/>
        <w:t>cuales 335 reportaron anomalías citológicas, mismos que formaron parte del</w:t>
        <w:br/>
        <w:t>estudio. Se obtuvo como resultado que las células escamosas atípicas de</w:t>
        <w:br/>
        <w:t>significado indeterminado ASCUS fue la anomalía citológica que prevaleció 80%,</w:t>
        <w:br/>
        <w:t>la mayoría de mujeres residían en la zona urbana de la provincia de Loja</w:t>
        <w:br/>
        <w:t>49.6%, su edad correspondía a 51 años o más 29%, cuyo inicio de vida sexual</w:t>
        <w:br/>
        <w:t>fue a los 19 años o previo 79.1%, con un número de gestas de 4 o más al igual</w:t>
        <w:br/>
        <w:t>que de partos con 53.1% y 44.2% respectivamente, prescindiendo de métodos</w:t>
        <w:br/>
        <w:t>anticonceptivos 41.5%, y se había realizado un PAP previo el 77%. Las mujeres</w:t>
        <w:br/>
        <w:t>con edades superiores, que residían en zonas urbanas, cuyo inicio de vida</w:t>
        <w:br/>
        <w:t>sexual se presentó a una edad temprana, multigravidas y multiparas, que no</w:t>
        <w:br/>
        <w:t>utilizaba ningún método anticonceptivo y afirmaron haberse realizado un PAP</w:t>
        <w:br/>
        <w:t>anteriormente, fueron en quienes prevalecieron las anomalías citológicas</w:t>
        <w:br/>
        <w:t>cervicales, predominando la lesión ASCUS, seguida por LIEBG en todas ellas.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