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presente trabajo de investigación tiene como objetivo analizar la evolución</w:t>
        <w:br/>
        <w:t>de las tasas de interés en el Ecuador, período 20002017. La recopilación de la</w:t>
        <w:br/>
        <w:t>información se basó en libros, boletines e informes del Banco Central del</w:t>
        <w:br/>
        <w:t>Ecuador y CEPAL, que permitió el cumplimiento de los objetivos. Para el</w:t>
        <w:br/>
        <w:t>desarrollo del trabajo se realizó una descripción comparativa de las tasas de</w:t>
        <w:br/>
        <w:t>interés en el Ecuador. Así mismo, se determinaron los principales factores que</w:t>
        <w:br/>
        <w:t>afectan a estas, dentro del periodo señalado, el cual se dividió en dos marcos</w:t>
        <w:br/>
        <w:t>temporales: el primero desde el año dos mil hasta el dos mil siete, periodo en</w:t>
        <w:br/>
        <w:t>donde inicia la dolarización de la economía ecuatoriana, mientras que el</w:t>
        <w:br/>
        <w:t>segundo es a partir del dos mil ocho hasta el dos mil diecisiete, distinguido</w:t>
        <w:br/>
        <w:t>por la implementación de políticas públicas del presidente Rafael Correa.</w:t>
        <w:br/>
        <w:t>Igualmente, se realizó la proyección de las tasas de interés de cinco años a</w:t>
        <w:br/>
        <w:t>través de una regresión lineal simple para las tasas activas y promedios</w:t>
        <w:br/>
        <w:t>móviles ponderados para las tasas pasivas. Finalmente se puntualizan</w:t>
        <w:br/>
        <w:t>conclusiones y recomendaciones del trabajo. Detallando así que, los</w:t>
        <w:br/>
        <w:t>principales factores que afectaron las tasas de interés en el Ecuador para el</w:t>
        <w:br/>
        <w:t>periodo 19931999, fueron la depreciación de la moneda, inflación elevada y el</w:t>
        <w:br/>
        <w:t>impuesto del 1% a la Circulación de Capitales, provocando altas tasas de</w:t>
        <w:br/>
        <w:t>interés en los créditos, congelación de depósitos y colapsos de varias</w:t>
        <w:br/>
        <w:t>instituciones financieras. Así como impacto en los precios y disminución en la</w:t>
        <w:br/>
        <w:t>rentabilidad financiera. Así mismo, en el periodo 2000 2007 se destaca la</w:t>
        <w:br/>
        <w:t>implementación de la dolarización y la devolución de los fondos de reserva a</w:t>
        <w:br/>
        <w:t>los afiliados del IESS, por US 454 millones de dólares que provocó que las</w:t>
        <w:br/>
        <w:t>tasas de interés disminuyeran.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