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tabla 20 muestra el activo corriente de la Clínica Veterinaria Scooby para</w:t>
        <w:br/>
        <w:t>el año 2022. Efectivo y Equivalentes al Efectivo: representa 1,300.27, lo que</w:t>
        <w:br/>
        <w:t>equivale al 5.18% del activo corriente total. Activos Financieros: con un</w:t>
        <w:br/>
        <w:t>valor de 2,020.96, representan el 7.86% del activo corriente total.</w:t>
        <w:br/>
        <w:t>Inventarios: tienen un valor de 22,397.65, lo que representa el 83.09% del</w:t>
        <w:br/>
        <w:t>activo corriente total. Activos por Impuestos Corrientes: representan 567.26,</w:t>
        <w:br/>
        <w:t>equivalentes al 2.21% del activo corriente total. TOTAL ACTIVO CORRIENTE: suma</w:t>
        <w:br/>
        <w:t>un total de 25,718.88, que representa el 100% del activo corriente total. La</w:t>
        <w:br/>
        <w:t>información proviene del estado de situación financiera de la Clínica</w:t>
        <w:br/>
        <w:t>Veterinaria Scooby del año 2022.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