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figura 1 muestra el porcentaje de estudios con niveles alterados en</w:t>
        <w:br/>
        <w:t>parámetros lipídicos en personas insulinorresistentes con sobrepeso y</w:t>
        <w:br/>
        <w:t>obesidad. El gráfico muestra cuatro parámetros lipídicos: HDL, LDL, TG y C1.</w:t>
        <w:br/>
        <w:t>HDL: 100% de los estudios muestran que los niveles de HDL son disminuidos.</w:t>
        <w:br/>
        <w:t>LDL: 20% de los estudios muestran que los niveles de LDL son disminuidos, 50%</w:t>
        <w:br/>
        <w:t>muestran niveles normales y 30% muestran niveles altos. TG: 100% de los</w:t>
        <w:br/>
        <w:t>estudios muestran que los niveles de TG son altos. C1: 37.5% de los estudios</w:t>
        <w:br/>
        <w:t>muestran que los niveles de C1 son normales y 62.5% muestran niveles altos. El</w:t>
        <w:br/>
        <w:t>gráfico indica que hay una alta prevalencia de alteraciones en los parámetros</w:t>
        <w:br/>
        <w:t>lipídicos en personas insulinorresistentes con sobrepeso y obesidad. Es</w:t>
        <w:br/>
        <w:t>importante destacar que los niveles bajos de HDL y altos de TG son factores de</w:t>
        <w:br/>
        <w:t>riesgo para enfermedades cardiovasculares.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