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la frecuencia de diferentes síntomas en pacientes con</w:t>
        <w:br/>
        <w:t>infección respiratoria baja neumonía. El eje vertical representa la</w:t>
        <w:br/>
        <w:t>frecuencia, en porcentaje, y el eje horizontal muestra los diferentes</w:t>
        <w:br/>
        <w:t>síntomas. Cefalea: 15,71% Náuseas: 4,29% Vómito: 7,14% Astenia: 44,29% Fiebre:</w:t>
        <w:br/>
        <w:t>98,57% Tos: 100,00% Dolor torácico: 42,85% Disnea: 58,33% Expectoración:</w:t>
        <w:br/>
        <w:t>98,57% Otros: El gráfico muestra que los síntomas más frecuentes en pacientes</w:t>
        <w:br/>
        <w:t>con infección respiratoria baja son tos, fiebre y expectoración. La astenia</w:t>
        <w:br/>
        <w:t>también es un síntoma relativamente común. Los síntomas menos comunes son</w:t>
        <w:br/>
        <w:t>náuseas y vómito.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