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El gráfico muestra la composición del Pasivo Corriente en el año 2021. El</w:t>
        <w:br/>
        <w:t>Pasivo Corriente se compone de dos elementos: Cuentas y Documentos por Pagar,</w:t>
        <w:br/>
        <w:t>que representa el 8.27% del total, y Otras Obligaciones Corrientes, que</w:t>
        <w:br/>
        <w:t>representa el 91.73% del total. El gráfico es un diagrama de pastel que</w:t>
        <w:br/>
        <w:t>muestra la proporción de cada elemento en relación al total del Pasivo</w:t>
        <w:br/>
        <w:t>Corriente. La fuente de la información es la Clínica Veterinaria Scooby.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