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5 muestra el comportamiento epidemiológico de la malaria por</w:t>
        <w:br/>
        <w:t>provincias de la costa ecuatoriana. Se presentan los datos de las provincias</w:t>
        <w:br/>
        <w:t>de Los Ríos y Esmeraldas, entre los años 2019 y 2023. En el año 2019, la</w:t>
        <w:br/>
        <w:t>prevalencia de malaria en Los Ríos fue de 0,22. En 2020 aumentó a 0,76, y en</w:t>
        <w:br/>
        <w:t>2021 alcanzó un pico de 40,68. En 2022, la prevalencia bajó a 0,11 y en 2023</w:t>
        <w:br/>
        <w:t>se registró 3x105. En la provincia de Esmeraldas, la prevalencia de malaria en</w:t>
        <w:br/>
        <w:t>2019 fue de 51,01. En 2020 disminuyó a 31,17. En 2021 se mantuvo en 32,94, y</w:t>
        <w:br/>
        <w:t>en 2022 bajó a 23,47. En 2023, la prevalencia fue de 0,66. En general, se</w:t>
        <w:br/>
        <w:t>puede observar que la prevalencia de malaria en Los Ríos ha aumentado</w:t>
        <w:br/>
        <w:t>significativamente en los últimos años, mientras que en Esmeraldas ha mostrado</w:t>
        <w:br/>
        <w:t>una tendencia a la disminución.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