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describe el esquema terapéutico más utilizado en el tratamiento de 70</w:t>
        <w:br/>
        <w:t>pacientes encuestados. El esquema terapéutico más utilizado es la asociación</w:t>
        <w:br/>
        <w:t>antibiótica con 58 casos 82.86% seguido de la monoterapia con 9 casos 12.86% a</w:t>
        <w:br/>
        <w:t>los cuales en su respuesta adecuada, por lo que más cuadro tuvo una regresión</w:t>
        <w:br/>
        <w:t>progresiva. En tanto que se adopto el cambio del tratamiento en 3 casos 4.29%</w:t>
        <w:br/>
        <w:t>debido a que su evolución fue desfavorable, para de alguna manera estabilizar</w:t>
        <w:br/>
        <w:t>a estos pacientes. El texto incluye una gráfica que representa el porcentaje</w:t>
        <w:br/>
        <w:t>de pacientes que presentaron los signos descritos a continuación: Polipnea:</w:t>
        <w:br/>
        <w:t>40% Disminución de la expansibilidad torácica: 5.75% Matidez a la percusión:</w:t>
        <w:br/>
        <w:t>4.29% Crepitantes: 87.14% Disminución del murmullo vesicular: 50%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