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documento trata sobre los resultados de una encuesta realizada a</w:t>
        <w:br/>
        <w:t>profesionales sobre la necesidad de ajustar la Ordenanza Municipal N 00512022</w:t>
        <w:br/>
        <w:t>para cumplir con la ley y promover el desarrollo de la industria minera. La</w:t>
        <w:br/>
        <w:t>encuesta se realizó a través de una pregunta: ¿Cree usted que es necesario</w:t>
        <w:br/>
        <w:t>ajustar la Ordenanza Municipal N 00512022 por existir contradicción con la Ley</w:t>
        <w:br/>
        <w:t>de Minería para cumplir con la ley y promover el desarrollo de la industria</w:t>
        <w:br/>
        <w:t>minera?. Los resultados de la encuesta se presentan en una gráfica circular.</w:t>
        <w:br/>
        <w:t>El 80% de los encuestados respondieron que sí es necesario ajustar la</w:t>
        <w:br/>
        <w:t>ordenanza municipal para cumplir con la ley, mientras que el 20% restante</w:t>
        <w:br/>
        <w:t>indicó que no es necesario. En la interpretación de los resultados se menciona</w:t>
        <w:br/>
        <w:t>que el 80% de los profesionales encuestados consideran necesario ajustar la</w:t>
        <w:br/>
        <w:t>ordenanza municipal a fin de que se bajen los precios y se fomenten fuentes de</w:t>
        <w:br/>
        <w:t>trabajo y no haya niveles bajos de pobreza. El 20% de los encuestados, en</w:t>
        <w:br/>
        <w:t>cambio, manifiestan que no existe contradicción con la Ley de Minería, ya que</w:t>
        <w:br/>
        <w:t>describe las fechas para ser auditados.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