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texto trata sobre la interpretación de la segunda pregunta de una encuesta</w:t>
        <w:br/>
        <w:t>realizada a profesionales. La pregunta es: ¿Cree usted que es necesario</w:t>
        <w:br/>
        <w:t>ajustar la Ordenanza Municipal N 00512022 por exigir contradicción con la Ley</w:t>
        <w:br/>
        <w:t>de Minería para cumplir con la ley y promover el desarrollo de la industria</w:t>
        <w:br/>
        <w:t>minera? Interpretación: 80% de los profesionales indicaron que es necesario</w:t>
        <w:br/>
        <w:t>ajustar la ordenanza municipal N 00512022 a fin de que se bajen los precios y</w:t>
        <w:br/>
        <w:t>se fomenten fuentes de trabajo y no haya niveles bajos de pobreza. 91% de los</w:t>
        <w:br/>
        <w:t>encuestados manifiestan que no existe contradicción con la Ley de Minería ya</w:t>
        <w:br/>
        <w:t>que describe las fechas para ser auditados. Representación Gráfica 2: El</w:t>
        <w:br/>
        <w:t>gráfico es un círculo dividido en dos secciones, una azul y otra roja. La</w:t>
        <w:br/>
        <w:t>sección azul representa el Sí con un 80% de la gráfica. La sección roja</w:t>
        <w:br/>
        <w:t>representa el No con un 20% de la gráfica. Conclusión: El gráfico muestra que</w:t>
        <w:br/>
        <w:t>la mayoría de los profesionales encuestados consideran que es necesario</w:t>
        <w:br/>
        <w:t>ajustar la Ordenanza Municipal N 00512022 para cumplir con la ley y promover</w:t>
        <w:br/>
        <w:t>el desarrollo de la industria minera.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