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2232"/>
      </w:tblGrid>
      <w:tr>
        <w:tc>
          <w:tcPr>
            <w:tcW w:type="dxa" w:w="4939"/>
            <w:shd w:fill="0F2D4E"/>
            <w:tcMar>
              <w:top w:w="260" w:type="dxa"/>
              <w:start w:w="220" w:type="dxa"/>
              <w:bottom w:w="260" w:type="dxa"/>
              <w:end w:w="220" w:type="dxa"/>
            </w:tcMar>
            <w:vAlign w:val="center"/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F5C453"/>
                <w:sz w:val="18"/>
              </w:rPr>
              <w:t>MANUAL DE CAPACITACIÓN</w:t>
            </w:r>
          </w:p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FFFFFF"/>
                <w:sz w:val="52"/>
              </w:rPr>
              <w:t>Combos y</w:t>
              <w:br/>
              <w:t>personalizaciones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D9E7F2"/>
                <w:sz w:val="21"/>
              </w:rPr>
              <w:t>OrionERP Restaurante · Administración, POS y cocina</w:t>
            </w:r>
          </w:p>
        </w:tc>
        <w:tc>
          <w:tcPr>
            <w:tcW w:type="dxa" w:w="4939"/>
            <w:shd w:fill="0F2D4E"/>
            <w:tcMar>
              <w:top w:w="260" w:type="dxa"/>
              <w:start w:w="220" w:type="dxa"/>
              <w:bottom w:w="260" w:type="dxa"/>
              <w:end w:w="2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unos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before="360" w:after="140"/>
      </w:pPr>
      <w:r>
        <w:rPr>
          <w:rFonts w:ascii="Calibri" w:hAnsi="Calibri" w:eastAsia="Calibri"/>
          <w:b/>
          <w:color w:val="1F8AAE"/>
          <w:sz w:val="18"/>
        </w:rPr>
        <w:t>DEL PRODUCTO PADRE A CADA INDICACIÓN DE COCINA</w:t>
      </w:r>
    </w:p>
    <w:p>
      <w:pPr>
        <w:spacing w:after="240"/>
      </w:pPr>
      <w:r>
        <w:rPr>
          <w:rFonts w:ascii="Calibri" w:hAnsi="Calibri" w:eastAsia="Calibri"/>
          <w:color w:val="1B2533"/>
          <w:sz w:val="30"/>
        </w:rPr>
        <w:t>Configura paquetes como en comida rápida, permite agregar o quitar ingredientes y conserva un desglose claro en POS, KDS, tickets y reimpresiones.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EF2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r>
              <w:rPr>
                <w:rFonts w:ascii="Calibri" w:hAnsi="Calibri" w:eastAsia="Calibri"/>
                <w:b/>
                <w:color w:val="6B7A90"/>
                <w:sz w:val="17"/>
              </w:rPr>
              <w:t>EMPRESA</w:t>
            </w:r>
          </w:p>
        </w:tc>
        <w:tc>
          <w:tcPr>
            <w:tcW w:type="dxa" w:w="4939"/>
            <w:shd w:fill="F9FB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r>
              <w:rPr>
                <w:rFonts w:ascii="Calibri" w:hAnsi="Calibri" w:eastAsia="Calibri"/>
                <w:b/>
                <w:color w:val="0F2D4E"/>
                <w:sz w:val="19"/>
              </w:rPr>
              <w:t>Bruno’s · BRUNOS260707L26</w:t>
            </w:r>
          </w:p>
        </w:tc>
      </w:tr>
      <w:tr>
        <w:tc>
          <w:tcPr>
            <w:tcW w:type="dxa" w:w="4939"/>
            <w:shd w:fill="EEF2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r>
              <w:rPr>
                <w:rFonts w:ascii="Calibri" w:hAnsi="Calibri" w:eastAsia="Calibri"/>
                <w:b/>
                <w:color w:val="6B7A90"/>
                <w:sz w:val="17"/>
              </w:rPr>
              <w:t>AMBIENTE</w:t>
            </w:r>
          </w:p>
        </w:tc>
        <w:tc>
          <w:tcPr>
            <w:tcW w:type="dxa" w:w="4939"/>
            <w:shd w:fill="F9FB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r>
              <w:rPr>
                <w:rFonts w:ascii="Calibri" w:hAnsi="Calibri" w:eastAsia="Calibri"/>
                <w:b/>
                <w:color w:val="0F2D4E"/>
                <w:sz w:val="19"/>
              </w:rPr>
              <w:t>Orion_SandBox · exclusivamente capacitación</w:t>
            </w:r>
          </w:p>
        </w:tc>
      </w:tr>
      <w:tr>
        <w:tc>
          <w:tcPr>
            <w:tcW w:type="dxa" w:w="4939"/>
            <w:shd w:fill="EEF2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r>
              <w:rPr>
                <w:rFonts w:ascii="Calibri" w:hAnsi="Calibri" w:eastAsia="Calibri"/>
                <w:b/>
                <w:color w:val="6B7A90"/>
                <w:sz w:val="17"/>
              </w:rPr>
              <w:t>EDICIÓN</w:t>
            </w:r>
          </w:p>
        </w:tc>
        <w:tc>
          <w:tcPr>
            <w:tcW w:type="dxa" w:w="4939"/>
            <w:shd w:fill="F9FB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r>
              <w:rPr>
                <w:rFonts w:ascii="Calibri" w:hAnsi="Calibri" w:eastAsia="Calibri"/>
                <w:b/>
                <w:color w:val="0F2D4E"/>
                <w:sz w:val="19"/>
              </w:rPr>
              <w:t>31 de agosto de 2026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"/>
        <w:gridCol w:w="9160"/>
      </w:tblGrid>
      <w:tr>
        <w:tc>
          <w:tcPr>
            <w:tcW w:type="dxa" w:w="200"/>
            <w:shd w:fill="8F271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160"/>
            <w:shd w:fill="FDECE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2D4E"/>
                <w:sz w:val="21"/>
              </w:rPr>
              <w:t>Límite de seguridad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9"/>
              </w:rPr>
              <w:t>Este manual documenta datos de entrenamiento. No cree, migre ni publique combos reales en grupocarpio sin aprobación comercial y operativa separada.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FFFFFF"/>
          <w:sz w:val="20"/>
          <w:shd w:fill="1F8AAE"/>
        </w:rPr>
        <w:t>00</w:t>
      </w:r>
      <w:r>
        <w:t xml:space="preserve">  </w:t>
      </w:r>
      <w:r>
        <w:rPr>
          <w:rFonts w:ascii="Calibri" w:hAnsi="Calibri" w:eastAsia="Calibri"/>
          <w:b/>
          <w:color w:val="0F2D4E"/>
          <w:sz w:val="32"/>
        </w:rPr>
        <w:t>Ruta rápida del manual</w:t>
      </w:r>
    </w:p>
    <w:p>
      <w:r>
        <w:t>Use esta guía como referencia de configuración y como guion de capacitación. Los nombres de botones aparecen tal como se ven en OrionERP.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50"/>
            <w:shd w:fill="0F2D4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4950"/>
            <w:shd w:fill="0F2D4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Qué debe dominar</w:t>
            </w:r>
          </w:p>
        </w:tc>
        <w:tc>
          <w:tcPr>
            <w:tcW w:type="dxa" w:w="1650"/>
            <w:shd w:fill="0F2D4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Secciones</w:t>
            </w:r>
          </w:p>
        </w:tc>
      </w:tr>
      <w:tr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Administrador</w:t>
            </w:r>
          </w:p>
        </w:tc>
        <w:tc>
          <w:tcPr>
            <w:tcW w:type="dxa" w:w="49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Productos Combo, modificadores, slots, rutas y publicación.</w:t>
            </w:r>
          </w:p>
        </w:tc>
        <w:tc>
          <w:tcPr>
            <w:tcW w:type="dxa" w:w="16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01–04, 09–10</w:t>
            </w:r>
          </w:p>
        </w:tc>
      </w:tr>
      <w:tr>
        <w:tc>
          <w:tcPr>
            <w:tcW w:type="dxa" w:w="145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Caja / POS</w:t>
            </w:r>
          </w:p>
        </w:tc>
        <w:tc>
          <w:tcPr>
            <w:tcW w:type="dxa" w:w="495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Personalizar, revisar precio, editar una unidad, cobrar y reimprimir.</w:t>
            </w:r>
          </w:p>
        </w:tc>
        <w:tc>
          <w:tcPr>
            <w:tcW w:type="dxa" w:w="165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05–06, 08–10</w:t>
            </w:r>
          </w:p>
        </w:tc>
      </w:tr>
      <w:tr>
        <w:tc>
          <w:tcPr>
            <w:tcW w:type="dxa" w:w="14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Cocina / barra</w:t>
            </w:r>
          </w:p>
        </w:tc>
        <w:tc>
          <w:tcPr>
            <w:tcW w:type="dxa" w:w="49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Leer componentes, cambios y notas; avanzar estados por separado.</w:t>
            </w:r>
          </w:p>
        </w:tc>
        <w:tc>
          <w:tcPr>
            <w:tcW w:type="dxa" w:w="16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07, 10</w:t>
            </w:r>
          </w:p>
        </w:tc>
      </w:tr>
    </w:tbl>
    <w:p>
      <w:pPr>
        <w:spacing w:after="0"/>
      </w:pPr>
    </w:p>
    <w:p>
      <w:pPr>
        <w:pStyle w:val="Heading2"/>
      </w:pPr>
      <w:r>
        <w:t>Flujo completo</w:t>
      </w:r>
    </w:p>
    <w:p>
      <w:pPr>
        <w:pStyle w:val="ListNumber"/>
        <w:keepLines/>
        <w:spacing w:after="60"/>
        <w:numPr>
          <w:ilvl w:val="0"/>
          <w:numId w:val="10"/>
        </w:numPr>
      </w:pPr>
      <w:r>
        <w:t>Crear o confirmar productos estándar, materiales y recetas.</w:t>
      </w:r>
    </w:p>
    <w:p>
      <w:pPr>
        <w:pStyle w:val="ListNumber"/>
        <w:keepLines/>
        <w:spacing w:after="60"/>
        <w:numPr>
          <w:ilvl w:val="0"/>
          <w:numId w:val="10"/>
        </w:numPr>
      </w:pPr>
      <w:r>
        <w:t>Crear modificadores semánticos y asociarlos a los productos correctos.</w:t>
      </w:r>
    </w:p>
    <w:p>
      <w:pPr>
        <w:pStyle w:val="ListNumber"/>
        <w:keepLines/>
        <w:spacing w:after="60"/>
        <w:numPr>
          <w:ilvl w:val="0"/>
          <w:numId w:val="10"/>
        </w:numPr>
      </w:pPr>
      <w:r>
        <w:t>Crear el producto padre como Combo y configurar sus grupos de elección.</w:t>
      </w:r>
    </w:p>
    <w:p>
      <w:pPr>
        <w:pStyle w:val="ListNumber"/>
        <w:keepLines/>
        <w:spacing w:after="60"/>
        <w:numPr>
          <w:ilvl w:val="0"/>
          <w:numId w:val="10"/>
        </w:numPr>
      </w:pPr>
      <w:r>
        <w:t>Publicar el combo en el menú y resolver rutas de comanda cuando sean ambiguas.</w:t>
      </w:r>
    </w:p>
    <w:p>
      <w:pPr>
        <w:pStyle w:val="ListNumber"/>
        <w:keepLines/>
        <w:spacing w:after="60"/>
        <w:numPr>
          <w:ilvl w:val="0"/>
          <w:numId w:val="10"/>
        </w:numPr>
      </w:pPr>
      <w:r>
        <w:t>Personalizar en POS, cobrar y comprobar KDS, ticket y reimpresión.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"/>
        <w:gridCol w:w="9160"/>
      </w:tblGrid>
      <w:tr>
        <w:tc>
          <w:tcPr>
            <w:tcW w:type="dxa" w:w="200"/>
            <w:shd w:fill="F5C4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160"/>
            <w:shd w:fill="FFF7E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2D4E"/>
                <w:sz w:val="21"/>
              </w:rPr>
              <w:t>Regla central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9"/>
              </w:rPr>
              <w:t>El combo padre cobra y reporta la venta. Sus componentes preparan, consumen inventario y avanzan en KDS sin duplicar ingresos.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FFFFFF"/>
          <w:sz w:val="20"/>
          <w:shd w:fill="1F8AAE"/>
        </w:rPr>
        <w:t>01</w:t>
      </w:r>
      <w:r>
        <w:t xml:space="preserve">  </w:t>
      </w:r>
      <w:r>
        <w:rPr>
          <w:rFonts w:ascii="Calibri" w:hAnsi="Calibri" w:eastAsia="Calibri"/>
          <w:b/>
          <w:color w:val="0F2D4E"/>
          <w:sz w:val="32"/>
        </w:rPr>
        <w:t>Conceptos que verá en OrionERP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00"/>
            <w:shd w:fill="0F2D4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6050"/>
            <w:shd w:fill="0F2D4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Cómo funciona</w:t>
            </w:r>
          </w:p>
        </w:tc>
      </w:tr>
      <w:tr>
        <w:tc>
          <w:tcPr>
            <w:tcW w:type="dxa" w:w="20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Producto padre</w:t>
            </w:r>
          </w:p>
        </w:tc>
        <w:tc>
          <w:tcPr>
            <w:tcW w:type="dxa" w:w="60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El artículo tipo Combo. Guarda precio base/final y concentra impuestos, descuentos, promociones, puntos e ingreso.</w:t>
            </w:r>
          </w:p>
        </w:tc>
      </w:tr>
      <w:tr>
        <w:tc>
          <w:tcPr>
            <w:tcW w:type="dxa" w:w="200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Componente</w:t>
            </w:r>
          </w:p>
        </w:tc>
        <w:tc>
          <w:tcPr>
            <w:tcW w:type="dxa" w:w="605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Producto estándar incluido en el combo. Tiene receta/material, estación, ruta de comanda y estado operativo.</w:t>
            </w:r>
          </w:p>
        </w:tc>
      </w:tr>
      <w:tr>
        <w:tc>
          <w:tcPr>
            <w:tcW w:type="dxa" w:w="20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Grupo o slot</w:t>
            </w:r>
          </w:p>
        </w:tc>
        <w:tc>
          <w:tcPr>
            <w:tcW w:type="dxa" w:w="60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Regla de elección como Platillo o Bebida. Define mínimo, máximo, orden y si es obligatorio.</w:t>
            </w:r>
          </w:p>
        </w:tc>
      </w:tr>
      <w:tr>
        <w:tc>
          <w:tcPr>
            <w:tcW w:type="dxa" w:w="200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Opción</w:t>
            </w:r>
          </w:p>
        </w:tc>
        <w:tc>
          <w:tcPr>
            <w:tcW w:type="dxa" w:w="605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Producto disponible dentro de un slot, con cantidad, suplemento, estado y posible valor predeterminado.</w:t>
            </w:r>
          </w:p>
        </w:tc>
      </w:tr>
      <w:tr>
        <w:tc>
          <w:tcPr>
            <w:tcW w:type="dxa" w:w="20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Modificador</w:t>
            </w:r>
          </w:p>
        </w:tc>
        <w:tc>
          <w:tcPr>
            <w:tcW w:type="dxa" w:w="60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Personalización del componente: agregar ingrediente, quitar ingrediente o sustituir.</w:t>
            </w:r>
          </w:p>
        </w:tc>
      </w:tr>
      <w:tr>
        <w:tc>
          <w:tcPr>
            <w:tcW w:type="dxa" w:w="200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Snapshot</w:t>
            </w:r>
          </w:p>
        </w:tc>
        <w:tc>
          <w:tcPr>
            <w:tcW w:type="dxa" w:w="605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Copia histórica de nombres, precios e instrucciones. Mantiene iguales ticket y reimpresión aunque cambie el catálogo.</w:t>
            </w:r>
          </w:p>
        </w:tc>
      </w:tr>
    </w:tbl>
    <w:p>
      <w:pPr>
        <w:spacing w:after="0"/>
      </w:pPr>
    </w:p>
    <w:p>
      <w:pPr>
        <w:pStyle w:val="Heading2"/>
      </w:pPr>
      <w:r>
        <w:t>Qué sucede con dinero e inventario</w:t>
      </w:r>
    </w:p>
    <w:p>
      <w:pPr>
        <w:pStyle w:val="ListBullet"/>
        <w:keepLines/>
        <w:spacing w:after="60"/>
      </w:pPr>
      <w:r>
        <w:t>La unidad del combo cuesta: precio base + suplementos de opciones + modificadores de componentes.</w:t>
      </w:r>
    </w:p>
    <w:p>
      <w:pPr>
        <w:pStyle w:val="ListBullet"/>
        <w:keepLines/>
        <w:spacing w:after="60"/>
      </w:pPr>
      <w:r>
        <w:t>Impuestos, descuentos, promociones, puntos y unidades vendidas se calculan sobre el padre.</w:t>
      </w:r>
    </w:p>
    <w:p>
      <w:pPr>
        <w:pStyle w:val="ListBullet"/>
        <w:keepLines/>
        <w:spacing w:after="60"/>
      </w:pPr>
      <w:r>
        <w:t>El padre no tiene material y nunca descuenta inventario directamente.</w:t>
      </w:r>
    </w:p>
    <w:p>
      <w:pPr>
        <w:pStyle w:val="ListBullet"/>
        <w:keepLines/>
        <w:spacing w:after="60"/>
      </w:pPr>
      <w:r>
        <w:t>Los componentes explotan sus recetas y aplican agregar, quitar o sustituir antes de reservar inventario.</w:t>
      </w:r>
    </w:p>
    <w:p>
      <w:pPr>
        <w:pStyle w:val="ListBullet"/>
        <w:keepLines/>
        <w:spacing w:after="60"/>
      </w:pPr>
      <w:r>
        <w:t>V1 no admite combos dentro de combos.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"/>
        <w:gridCol w:w="9160"/>
      </w:tblGrid>
      <w:tr>
        <w:tc>
          <w:tcPr>
            <w:tcW w:type="dxa" w:w="200"/>
            <w:shd w:fill="2F9E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160"/>
            <w:shd w:fill="EAF6E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2D4E"/>
                <w:sz w:val="21"/>
              </w:rPr>
              <w:t>Ejemplo de precio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9"/>
              </w:rPr>
              <w:t>$95 base + $30 Pollo + $15 Coca-Cola = $140 por unidad. El ticket cobra $140 al combo; cocina recibe Chilaquiles y Coca-Cola como partidas separadas.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FFFFFF"/>
          <w:sz w:val="20"/>
          <w:shd w:fill="1F8AAE"/>
        </w:rPr>
        <w:t>02</w:t>
      </w:r>
      <w:r>
        <w:t xml:space="preserve">  </w:t>
      </w:r>
      <w:r>
        <w:rPr>
          <w:rFonts w:ascii="Calibri" w:hAnsi="Calibri" w:eastAsia="Calibri"/>
          <w:b/>
          <w:color w:val="0F2D4E"/>
          <w:sz w:val="32"/>
        </w:rPr>
        <w:t>Antes de configurar</w:t>
      </w:r>
    </w:p>
    <w:p>
      <w:r>
        <w:t>Confirme estos datos antes de abrir Menús, combos y modificadores:</w:t>
      </w:r>
    </w:p>
    <w:p>
      <w:pPr>
        <w:pStyle w:val="ListBullet"/>
        <w:keepLines/>
        <w:spacing w:after="60"/>
      </w:pPr>
      <w:r>
        <w:t>La empresa activa es Bruno’s y el RFC mostrado es BRUNOS260707L26.</w:t>
      </w:r>
    </w:p>
    <w:p>
      <w:pPr>
        <w:pStyle w:val="ListBullet"/>
        <w:keepLines/>
        <w:spacing w:after="60"/>
      </w:pPr>
      <w:r>
        <w:t>El ambiente es Orion_SandBox; el ejemplo lleva la palabra CAPACITACIÓN.</w:t>
      </w:r>
    </w:p>
    <w:p>
      <w:pPr>
        <w:pStyle w:val="ListBullet"/>
        <w:keepLines/>
        <w:spacing w:after="60"/>
      </w:pPr>
      <w:r>
        <w:t>Cada componente es un producto estándar activo, aunque pueda estar oculto para venta individual.</w:t>
      </w:r>
    </w:p>
    <w:p>
      <w:pPr>
        <w:pStyle w:val="ListBullet"/>
        <w:keepLines/>
        <w:spacing w:after="60"/>
      </w:pPr>
      <w:r>
        <w:t>Materiales, unidades, conversiones, merma y recetas son válidos.</w:t>
      </w:r>
    </w:p>
    <w:p>
      <w:pPr>
        <w:pStyle w:val="ListBullet"/>
        <w:keepLines/>
        <w:spacing w:after="60"/>
      </w:pPr>
      <w:r>
        <w:t>Cada componente tiene una sección operacional única o una ruta explícita por menú.</w:t>
      </w:r>
    </w:p>
    <w:p>
      <w:pPr>
        <w:pStyle w:val="ListBullet"/>
        <w:keepLines/>
        <w:spacing w:after="60"/>
      </w:pPr>
      <w:r>
        <w:t>Las opciones agotadas se desactivan o marcan como no disponibles; no se eliminan datos históricos.</w:t>
      </w:r>
    </w:p>
    <w:p>
      <w:pPr>
        <w:pStyle w:val="Heading2"/>
      </w:pPr>
      <w:r>
        <w:t>Ejemplo de capacitación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100"/>
            <w:shd w:fill="0F2D4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950"/>
            <w:shd w:fill="0F2D4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Configuración</w:t>
            </w:r>
          </w:p>
        </w:tc>
      </w:tr>
      <w:tr>
        <w:tc>
          <w:tcPr>
            <w:tcW w:type="dxa" w:w="21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Producto</w:t>
            </w:r>
          </w:p>
        </w:tc>
        <w:tc>
          <w:tcPr>
            <w:tcW w:type="dxa" w:w="59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CAP-COMBO-CHILA · COMBO CHILAQUILES · CAPACITACIÓN</w:t>
            </w:r>
          </w:p>
        </w:tc>
      </w:tr>
      <w:tr>
        <w:tc>
          <w:tcPr>
            <w:tcW w:type="dxa" w:w="210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Precio base</w:t>
            </w:r>
          </w:p>
        </w:tc>
        <w:tc>
          <w:tcPr>
            <w:tcW w:type="dxa" w:w="595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$95.00</w:t>
            </w:r>
          </w:p>
        </w:tc>
      </w:tr>
      <w:tr>
        <w:tc>
          <w:tcPr>
            <w:tcW w:type="dxa" w:w="21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Platillo</w:t>
            </w:r>
          </w:p>
        </w:tc>
        <w:tc>
          <w:tcPr>
            <w:tcW w:type="dxa" w:w="59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Chilaquiles · fijo</w:t>
            </w:r>
          </w:p>
        </w:tc>
      </w:tr>
      <w:tr>
        <w:tc>
          <w:tcPr>
            <w:tcW w:type="dxa" w:w="210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Bebida</w:t>
            </w:r>
          </w:p>
        </w:tc>
        <w:tc>
          <w:tcPr>
            <w:tcW w:type="dxa" w:w="595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Café predeterminado; Agua incluida; Coca-Cola 355 ml +$15</w:t>
            </w:r>
          </w:p>
        </w:tc>
      </w:tr>
      <w:tr>
        <w:tc>
          <w:tcPr>
            <w:tcW w:type="dxa" w:w="21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Proteína</w:t>
            </w:r>
          </w:p>
        </w:tc>
        <w:tc>
          <w:tcPr>
            <w:tcW w:type="dxa" w:w="59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Pollo +$30; Huevo +$20; Carne +$35</w:t>
            </w:r>
          </w:p>
        </w:tc>
      </w:tr>
      <w:tr>
        <w:tc>
          <w:tcPr>
            <w:tcW w:type="dxa" w:w="210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Cambio</w:t>
            </w:r>
          </w:p>
        </w:tc>
        <w:tc>
          <w:tcPr>
            <w:tcW w:type="dxa" w:w="595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Sin cebolla · sin costo · RemoveIngredient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"/>
        <w:gridCol w:w="9160"/>
      </w:tblGrid>
      <w:tr>
        <w:tc>
          <w:tcPr>
            <w:tcW w:type="dxa" w:w="200"/>
            <w:shd w:fill="F5C4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160"/>
            <w:shd w:fill="FFF7E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2D4E"/>
                <w:sz w:val="21"/>
              </w:rPr>
              <w:t>Resultado esperado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9"/>
              </w:rPr>
              <w:t>Al guardar, OrionERP vuelve a validar RFC, componentes, límites, predeterminados, rutas, precios, modificadores y disponibilidad. El navegador nunca es la autoridad final.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FFFFFF"/>
          <w:sz w:val="20"/>
          <w:shd w:fill="1F8AAE"/>
        </w:rPr>
        <w:t>03</w:t>
      </w:r>
      <w:r>
        <w:t xml:space="preserve">  </w:t>
      </w:r>
      <w:r>
        <w:rPr>
          <w:rFonts w:ascii="Calibri" w:hAnsi="Calibri" w:eastAsia="Calibri"/>
          <w:b/>
          <w:color w:val="0F2D4E"/>
          <w:sz w:val="32"/>
        </w:rPr>
        <w:t>Configurar modificadores semánticos</w:t>
      </w:r>
    </w:p>
    <w:p>
      <w:pPr>
        <w:pStyle w:val="Heading2"/>
      </w:pPr>
      <w:r>
        <w:t>Agregar ingrediente</w:t>
      </w:r>
    </w:p>
    <w:p>
      <w:pPr>
        <w:pStyle w:val="ListBullet"/>
        <w:keepLines/>
        <w:spacing w:after="60"/>
      </w:pPr>
      <w:r>
        <w:t>Use Agregar ingrediente para sumar un material y una cantidad válidos a la receta final.</w:t>
      </w:r>
    </w:p>
    <w:p>
      <w:pPr>
        <w:pStyle w:val="ListBullet"/>
        <w:keepLines/>
        <w:spacing w:after="60"/>
      </w:pPr>
      <w:r>
        <w:t>Capture el suplemento comercial en la opción y la cantidad de inventario en el efecto.</w:t>
      </w:r>
    </w:p>
    <w:p>
      <w:pPr>
        <w:pStyle w:val="Heading2"/>
      </w:pPr>
      <w:r>
        <w:t>Quitar ingrediente</w:t>
      </w:r>
    </w:p>
    <w:p>
      <w:pPr>
        <w:pStyle w:val="ListBullet"/>
        <w:keepLines/>
        <w:spacing w:after="60"/>
      </w:pPr>
      <w:r>
        <w:t>Use Quitar ingrediente para eliminar por completo la contribución del material después de receta, conversión y merma.</w:t>
      </w:r>
    </w:p>
    <w:p>
      <w:pPr>
        <w:pStyle w:val="ListBullet"/>
        <w:keepLines/>
        <w:spacing w:after="60"/>
      </w:pPr>
      <w:r>
        <w:t>Si el ingrediente no existe en la receta efectiva, OrionERP muestra una advertencia antes de publicar.</w:t>
      </w:r>
    </w:p>
    <w:p>
      <w:pPr>
        <w:pStyle w:val="Heading2"/>
      </w:pPr>
      <w:r>
        <w:t>Sustituir</w:t>
      </w:r>
    </w:p>
    <w:p>
      <w:pPr>
        <w:pStyle w:val="ListBullet"/>
        <w:keepLines/>
        <w:spacing w:after="60"/>
      </w:pPr>
      <w:r>
        <w:t>Una sustitución combina al menos un efecto Quitar ingrediente y uno Agregar ingrediente dentro de la misma opción.</w:t>
      </w:r>
    </w:p>
    <w:p>
      <w:pPr>
        <w:pStyle w:val="ListBullet"/>
        <w:keepLines/>
        <w:spacing w:after="60"/>
      </w:pPr>
      <w:r>
        <w:t>KDS y tickets deben conservar ambas instrucciones: SIN el material retirado y AGREGAR el material nuevo.</w:t>
      </w:r>
    </w:p>
    <w:p>
      <w:pPr>
        <w:pStyle w:val="Heading2"/>
      </w:pPr>
      <w:r>
        <w:t>Procedimiento</w:t>
      </w:r>
    </w:p>
    <w:p>
      <w:pPr>
        <w:pStyle w:val="ListNumber"/>
        <w:keepLines/>
        <w:spacing w:after="60"/>
        <w:numPr>
          <w:ilvl w:val="0"/>
          <w:numId w:val="11"/>
        </w:numPr>
      </w:pPr>
      <w:r>
        <w:t>Abra Restaurante → Menús y modificadores → Modificadores.</w:t>
      </w:r>
    </w:p>
    <w:p>
      <w:pPr>
        <w:pStyle w:val="ListNumber"/>
        <w:keepLines/>
        <w:spacing w:after="60"/>
        <w:numPr>
          <w:ilvl w:val="0"/>
          <w:numId w:val="11"/>
        </w:numPr>
      </w:pPr>
      <w:r>
        <w:t>Cree o seleccione un grupo y capture nombre, mínimo, máximo y orden.</w:t>
      </w:r>
    </w:p>
    <w:p>
      <w:pPr>
        <w:pStyle w:val="ListNumber"/>
        <w:keepLines/>
        <w:spacing w:after="60"/>
        <w:numPr>
          <w:ilvl w:val="0"/>
          <w:numId w:val="11"/>
        </w:numPr>
      </w:pPr>
      <w:r>
        <w:t>Asocie únicamente los productos a los que aplica.</w:t>
      </w:r>
    </w:p>
    <w:p>
      <w:pPr>
        <w:pStyle w:val="ListNumber"/>
        <w:keepLines/>
        <w:spacing w:after="60"/>
        <w:numPr>
          <w:ilvl w:val="0"/>
          <w:numId w:val="11"/>
        </w:numPr>
      </w:pPr>
      <w:r>
        <w:t>Cree la opción y capture su nombre, suplemento y orden.</w:t>
      </w:r>
    </w:p>
    <w:p>
      <w:pPr>
        <w:pStyle w:val="ListNumber"/>
        <w:keepLines/>
        <w:spacing w:after="60"/>
        <w:numPr>
          <w:ilvl w:val="0"/>
          <w:numId w:val="11"/>
        </w:numPr>
      </w:pPr>
      <w:r>
        <w:t>Elija Agregar ingrediente, Quitar ingrediente o configure ambos efectos para sustituir.</w:t>
      </w:r>
    </w:p>
    <w:p>
      <w:pPr>
        <w:pStyle w:val="ListNumber"/>
        <w:keepLines/>
        <w:spacing w:after="60"/>
        <w:numPr>
          <w:ilvl w:val="0"/>
          <w:numId w:val="11"/>
        </w:numPr>
      </w:pPr>
      <w:r>
        <w:t>Busque el material, capture cantidad/unidad cuando aplique y revise las advertencias.</w:t>
      </w:r>
    </w:p>
    <w:p>
      <w:pPr>
        <w:pStyle w:val="ListNumber"/>
        <w:keepLines/>
        <w:spacing w:after="60"/>
        <w:numPr>
          <w:ilvl w:val="0"/>
          <w:numId w:val="11"/>
        </w:numPr>
      </w:pPr>
      <w:r>
        <w:t>Guarde y confirme el mensaje de éxito.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odificador-semant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/>
        <w:jc w:val="center"/>
      </w:pPr>
      <w:r>
        <w:rPr>
          <w:rFonts w:ascii="Calibri" w:hAnsi="Calibri" w:eastAsia="Calibri"/>
          <w:color w:val="6B7A90"/>
          <w:sz w:val="17"/>
        </w:rPr>
        <w:t>Figura 1. Modificador “Sin cebolla” configurado como Quitar ingrediente.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FFFFFF"/>
          <w:sz w:val="20"/>
          <w:shd w:fill="1F8AAE"/>
        </w:rPr>
        <w:t>04</w:t>
      </w:r>
      <w:r>
        <w:t xml:space="preserve">  </w:t>
      </w:r>
      <w:r>
        <w:rPr>
          <w:rFonts w:ascii="Calibri" w:hAnsi="Calibri" w:eastAsia="Calibri"/>
          <w:b/>
          <w:color w:val="0F2D4E"/>
          <w:sz w:val="32"/>
        </w:rPr>
        <w:t>Crear y publicar un combo</w:t>
      </w:r>
    </w:p>
    <w:p>
      <w:pPr>
        <w:pStyle w:val="Heading2"/>
      </w:pPr>
      <w:r>
        <w:t>A. Crear el producto padre</w:t>
      </w:r>
    </w:p>
    <w:p>
      <w:pPr>
        <w:pStyle w:val="ListNumber"/>
        <w:keepLines/>
        <w:spacing w:after="60"/>
        <w:numPr>
          <w:ilvl w:val="0"/>
          <w:numId w:val="12"/>
        </w:numPr>
      </w:pPr>
      <w:r>
        <w:t>Abra Restaurante → Catálogo y configuración → Productos.</w:t>
      </w:r>
    </w:p>
    <w:p>
      <w:pPr>
        <w:pStyle w:val="ListNumber"/>
        <w:keepLines/>
        <w:spacing w:after="60"/>
        <w:numPr>
          <w:ilvl w:val="0"/>
          <w:numId w:val="12"/>
        </w:numPr>
      </w:pPr>
      <w:r>
        <w:t>Seleccione Nuevo producto y elija Tipo: Combo.</w:t>
      </w:r>
    </w:p>
    <w:p>
      <w:pPr>
        <w:pStyle w:val="ListNumber"/>
        <w:keepLines/>
        <w:spacing w:after="60"/>
        <w:numPr>
          <w:ilvl w:val="0"/>
          <w:numId w:val="12"/>
        </w:numPr>
      </w:pPr>
      <w:r>
        <w:t>Capture SKU, nombre, descripción, precio base y estado activo.</w:t>
      </w:r>
    </w:p>
    <w:p>
      <w:pPr>
        <w:pStyle w:val="ListNumber"/>
        <w:keepLines/>
        <w:spacing w:after="60"/>
        <w:numPr>
          <w:ilvl w:val="0"/>
          <w:numId w:val="12"/>
        </w:numPr>
      </w:pPr>
      <w:r>
        <w:t>Confirme que Material, rol de producción y estación del padre quedan ocultos.</w:t>
      </w:r>
    </w:p>
    <w:p>
      <w:pPr>
        <w:pStyle w:val="ListNumber"/>
        <w:keepLines/>
        <w:spacing w:after="60"/>
        <w:numPr>
          <w:ilvl w:val="0"/>
          <w:numId w:val="12"/>
        </w:numPr>
      </w:pPr>
      <w:r>
        <w:t>Guarde el producto.</w:t>
      </w:r>
    </w:p>
    <w:p>
      <w:pPr>
        <w:pStyle w:val="Heading2"/>
      </w:pPr>
      <w:r>
        <w:t>B. Definir grupos y opciones</w:t>
      </w:r>
    </w:p>
    <w:p>
      <w:pPr>
        <w:pStyle w:val="ListNumber"/>
        <w:keepLines/>
        <w:spacing w:after="60"/>
        <w:numPr>
          <w:ilvl w:val="0"/>
          <w:numId w:val="13"/>
        </w:numPr>
      </w:pPr>
      <w:r>
        <w:t>Abra Menús, combos y modificadores → Combos y seleccione el producto padre.</w:t>
      </w:r>
    </w:p>
    <w:p>
      <w:pPr>
        <w:pStyle w:val="ListNumber"/>
        <w:keepLines/>
        <w:spacing w:after="60"/>
        <w:numPr>
          <w:ilvl w:val="0"/>
          <w:numId w:val="13"/>
        </w:numPr>
      </w:pPr>
      <w:r>
        <w:t>Agregue un grupo por decisión del cliente: Platillo, Bebida, Guarnición, etc.</w:t>
      </w:r>
    </w:p>
    <w:p>
      <w:pPr>
        <w:pStyle w:val="ListNumber"/>
        <w:keepLines/>
        <w:spacing w:after="60"/>
        <w:numPr>
          <w:ilvl w:val="0"/>
          <w:numId w:val="13"/>
        </w:numPr>
      </w:pPr>
      <w:r>
        <w:t>Defina mínimo, máximo, orden y estado activo.</w:t>
      </w:r>
    </w:p>
    <w:p>
      <w:pPr>
        <w:pStyle w:val="ListNumber"/>
        <w:keepLines/>
        <w:spacing w:after="60"/>
        <w:numPr>
          <w:ilvl w:val="0"/>
          <w:numId w:val="13"/>
        </w:numPr>
      </w:pPr>
      <w:r>
        <w:t>Agregue productos estándar; indique cantidad, suplemento, orden y opción predeterminada.</w:t>
      </w:r>
    </w:p>
    <w:p>
      <w:pPr>
        <w:pStyle w:val="ListNumber"/>
        <w:keepLines/>
        <w:spacing w:after="60"/>
        <w:numPr>
          <w:ilvl w:val="0"/>
          <w:numId w:val="13"/>
        </w:numPr>
      </w:pPr>
      <w:r>
        <w:t>Agregue una ruta de comanda solo cuando el componente aparezca en más de una sección del mismo menú.</w:t>
      </w:r>
    </w:p>
    <w:p>
      <w:pPr>
        <w:pStyle w:val="ListNumber"/>
        <w:keepLines/>
        <w:spacing w:after="60"/>
        <w:numPr>
          <w:ilvl w:val="0"/>
          <w:numId w:val="13"/>
        </w:numPr>
      </w:pPr>
      <w:r>
        <w:t>Revise la vista previa y guarde el combo.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3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figuracion-comb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/>
        <w:jc w:val="center"/>
      </w:pPr>
      <w:r>
        <w:rPr>
          <w:rFonts w:ascii="Calibri" w:hAnsi="Calibri" w:eastAsia="Calibri"/>
          <w:color w:val="6B7A90"/>
          <w:sz w:val="17"/>
        </w:rPr>
        <w:t>Figura 2. Slots Platillo/Bebida, predeterminados, suplementos y vista previa del combo.</w:t>
      </w:r>
    </w:p>
    <w:p>
      <w:pPr>
        <w:pStyle w:val="Heading2"/>
      </w:pPr>
      <w:r>
        <w:t>C. Publicar en el menú</w:t>
      </w:r>
    </w:p>
    <w:p>
      <w:pPr>
        <w:pStyle w:val="ListBullet"/>
        <w:keepLines/>
        <w:spacing w:after="60"/>
      </w:pPr>
      <w:r>
        <w:t>Abra la pestaña Menús, seleccione MENU PRINCIPAL y marque el combo en COMIDA/DESAYUNO.</w:t>
      </w:r>
    </w:p>
    <w:p>
      <w:pPr>
        <w:pStyle w:val="ListBullet"/>
        <w:keepLines/>
        <w:spacing w:after="60"/>
      </w:pPr>
      <w:r>
        <w:t>Guarde el menú. Si una ruta es ambigua, vuelva al combo y asigne menú/sección a esa opción.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"/>
        <w:gridCol w:w="9160"/>
      </w:tblGrid>
      <w:tr>
        <w:tc>
          <w:tcPr>
            <w:tcW w:type="dxa" w:w="200"/>
            <w:shd w:fill="8F271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160"/>
            <w:shd w:fill="FDECE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2D4E"/>
                <w:sz w:val="21"/>
              </w:rPr>
              <w:t>No publique a medias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9"/>
              </w:rPr>
              <w:t>Un slot obligatorio sin suficientes opciones activas, una predeterminada inválida o una ruta ambigua bloquean la publicación y la venta.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FFFFFF"/>
          <w:sz w:val="20"/>
          <w:shd w:fill="1F8AAE"/>
        </w:rPr>
        <w:t>05</w:t>
      </w:r>
      <w:r>
        <w:t xml:space="preserve">  </w:t>
      </w:r>
      <w:r>
        <w:rPr>
          <w:rFonts w:ascii="Calibri" w:hAnsi="Calibri" w:eastAsia="Calibri"/>
          <w:b/>
          <w:color w:val="0F2D4E"/>
          <w:sz w:val="32"/>
        </w:rPr>
        <w:t>Personalizar y cobrar en POS</w:t>
      </w:r>
    </w:p>
    <w:p>
      <w:pPr>
        <w:pStyle w:val="ListNumber"/>
        <w:keepLines/>
        <w:spacing w:after="60"/>
        <w:numPr>
          <w:ilvl w:val="0"/>
          <w:numId w:val="14"/>
        </w:numPr>
      </w:pPr>
      <w:r>
        <w:t>Abra Restaurante → POS y toque el combo en su sección.</w:t>
      </w:r>
    </w:p>
    <w:p>
      <w:pPr>
        <w:pStyle w:val="ListNumber"/>
        <w:keepLines/>
        <w:spacing w:after="60"/>
        <w:numPr>
          <w:ilvl w:val="0"/>
          <w:numId w:val="14"/>
        </w:numPr>
      </w:pPr>
      <w:r>
        <w:t>Complete cada slot obligatorio. Las predeterminadas aparecen seleccionadas.</w:t>
      </w:r>
    </w:p>
    <w:p>
      <w:pPr>
        <w:pStyle w:val="ListNumber"/>
        <w:keepLines/>
        <w:spacing w:after="60"/>
        <w:numPr>
          <w:ilvl w:val="0"/>
          <w:numId w:val="14"/>
        </w:numPr>
      </w:pPr>
      <w:r>
        <w:t>Abra los modificadores del componente y marque proteína, cambio o sustitución.</w:t>
      </w:r>
    </w:p>
    <w:p>
      <w:pPr>
        <w:pStyle w:val="ListNumber"/>
        <w:keepLines/>
        <w:spacing w:after="60"/>
        <w:numPr>
          <w:ilvl w:val="0"/>
          <w:numId w:val="14"/>
        </w:numPr>
      </w:pPr>
      <w:r>
        <w:t>Capture una nota breve para ese componente; el límite es 500 caracteres.</w:t>
      </w:r>
    </w:p>
    <w:p>
      <w:pPr>
        <w:pStyle w:val="ListNumber"/>
        <w:keepLines/>
        <w:spacing w:after="60"/>
        <w:numPr>
          <w:ilvl w:val="0"/>
          <w:numId w:val="14"/>
        </w:numPr>
      </w:pPr>
      <w:r>
        <w:t>Revise el resumen permanente: base, suplementos y total por unidad.</w:t>
      </w:r>
    </w:p>
    <w:p>
      <w:pPr>
        <w:pStyle w:val="ListNumber"/>
        <w:keepLines/>
        <w:spacing w:after="60"/>
        <w:numPr>
          <w:ilvl w:val="0"/>
          <w:numId w:val="14"/>
        </w:numPr>
      </w:pPr>
      <w:r>
        <w:t>Seleccione Agregar a la orden y revise el desglose antes de cobrar.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3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odal-personalizacion-p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/>
        <w:jc w:val="center"/>
      </w:pPr>
      <w:r>
        <w:rPr>
          <w:rFonts w:ascii="Calibri" w:hAnsi="Calibri" w:eastAsia="Calibri"/>
          <w:color w:val="6B7A90"/>
          <w:sz w:val="17"/>
        </w:rPr>
        <w:t>Figura 3. Modal táctil con bebida, proteína, cambio, nota y total por unidad.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"/>
        <w:gridCol w:w="9160"/>
      </w:tblGrid>
      <w:tr>
        <w:tc>
          <w:tcPr>
            <w:tcW w:type="dxa" w:w="200"/>
            <w:shd w:fill="2F9E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160"/>
            <w:shd w:fill="EAF6E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2D4E"/>
                <w:sz w:val="21"/>
              </w:rPr>
              <w:t>Precio visible y precio validado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9"/>
              </w:rPr>
              <w:t>El POS usa la misma regla de cálculo que el servidor, incluida la cantidad de cada componente. El servidor vuelve a obtener nombres e importes desde el catálogo.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FFFFFF"/>
          <w:sz w:val="20"/>
          <w:shd w:fill="1F8AAE"/>
        </w:rPr>
        <w:t>06</w:t>
      </w:r>
      <w:r>
        <w:t xml:space="preserve">  </w:t>
      </w:r>
      <w:r>
        <w:rPr>
          <w:rFonts w:ascii="Calibri" w:hAnsi="Calibri" w:eastAsia="Calibri"/>
          <w:b/>
          <w:color w:val="0F2D4E"/>
          <w:sz w:val="32"/>
        </w:rPr>
        <w:t>Revisar, separar y reagrupar partidas</w:t>
      </w:r>
    </w:p>
    <w:p>
      <w:pPr>
        <w:pStyle w:val="Heading2"/>
      </w:pPr>
      <w:r>
        <w:t>Lectura de la orden actual</w:t>
      </w:r>
    </w:p>
    <w:p>
      <w:pPr>
        <w:pStyle w:val="ListBullet"/>
        <w:keepLines/>
        <w:spacing w:after="60"/>
      </w:pPr>
      <w:r>
        <w:t>El combo padre aparece como una sola partida financiera con su total.</w:t>
      </w:r>
    </w:p>
    <w:p>
      <w:pPr>
        <w:pStyle w:val="ListBullet"/>
        <w:keepLines/>
        <w:spacing w:after="60"/>
      </w:pPr>
      <w:r>
        <w:t>Los componentes aparecen indentados con slot, suplemento, modificadores, efectos de inventario y nota.</w:t>
      </w:r>
    </w:p>
    <w:p>
      <w:pPr>
        <w:pStyle w:val="ListBullet"/>
        <w:keepLines/>
        <w:spacing w:after="60"/>
      </w:pPr>
      <w:r>
        <w:t>Los ingredientes agregados se muestran con + Agregar; los retirados con − Sin.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53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rtida-personalizada-p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/>
        <w:jc w:val="center"/>
      </w:pPr>
      <w:r>
        <w:rPr>
          <w:rFonts w:ascii="Calibri" w:hAnsi="Calibri" w:eastAsia="Calibri"/>
          <w:color w:val="6B7A90"/>
          <w:sz w:val="17"/>
        </w:rPr>
        <w:t>Figura 4. Partida financiera de $140 con Chilaquiles y Coca-Cola desglosados.</w:t>
      </w:r>
    </w:p>
    <w:p>
      <w:pPr>
        <w:pStyle w:val="Heading2"/>
      </w:pPr>
      <w:r>
        <w:t>Editar cuando la cantidad es mayor a uno</w:t>
      </w:r>
    </w:p>
    <w:p>
      <w:pPr>
        <w:pStyle w:val="ListNumber"/>
        <w:keepLines/>
        <w:spacing w:after="60"/>
        <w:numPr>
          <w:ilvl w:val="0"/>
          <w:numId w:val="15"/>
        </w:numPr>
      </w:pPr>
      <w:r>
        <w:t>Toque + para incrementar la cantidad.</w:t>
      </w:r>
    </w:p>
    <w:p>
      <w:pPr>
        <w:pStyle w:val="ListNumber"/>
        <w:keepLines/>
        <w:spacing w:after="60"/>
        <w:numPr>
          <w:ilvl w:val="0"/>
          <w:numId w:val="15"/>
        </w:numPr>
      </w:pPr>
      <w:r>
        <w:t>Seleccione Personalizar. OrionERP avisa que editará una sola unidad.</w:t>
      </w:r>
    </w:p>
    <w:p>
      <w:pPr>
        <w:pStyle w:val="ListNumber"/>
        <w:keepLines/>
        <w:spacing w:after="60"/>
        <w:numPr>
          <w:ilvl w:val="0"/>
          <w:numId w:val="15"/>
        </w:numPr>
      </w:pPr>
      <w:r>
        <w:t>Guarde una configuración distinta: la unidad se separa en otra partida.</w:t>
      </w:r>
    </w:p>
    <w:p>
      <w:pPr>
        <w:pStyle w:val="ListNumber"/>
        <w:keepLines/>
        <w:spacing w:after="60"/>
        <w:numPr>
          <w:ilvl w:val="0"/>
          <w:numId w:val="15"/>
        </w:numPr>
      </w:pPr>
      <w:r>
        <w:t>Si vuelve a dejar ambas configuraciones idénticas, OrionERP las reagrupa automáticamente.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"/>
        <w:gridCol w:w="9160"/>
      </w:tblGrid>
      <w:tr>
        <w:tc>
          <w:tcPr>
            <w:tcW w:type="dxa" w:w="200"/>
            <w:shd w:fill="F5C45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160"/>
            <w:shd w:fill="FFF7E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2D4E"/>
                <w:sz w:val="21"/>
              </w:rPr>
              <w:t>Evite notas ambiguas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9"/>
              </w:rPr>
              <w:t>Escriba instrucciones de preparación, no mensajes generales de la orden. Ejemplo útil: “Salsa aparte”.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FFFFFF"/>
          <w:sz w:val="20"/>
          <w:shd w:fill="1F8AAE"/>
        </w:rPr>
        <w:t>07</w:t>
      </w:r>
      <w:r>
        <w:t xml:space="preserve">  </w:t>
      </w:r>
      <w:r>
        <w:rPr>
          <w:rFonts w:ascii="Calibri" w:hAnsi="Calibri" w:eastAsia="Calibri"/>
          <w:b/>
          <w:color w:val="0F2D4E"/>
          <w:sz w:val="32"/>
        </w:rPr>
        <w:t>KDS y comandas por sección</w:t>
      </w:r>
    </w:p>
    <w:p>
      <w:r>
        <w:t>El producto padre no es accionable. Cada componente llega a su sección operacional y puede avanzar sin esperar al otro componente.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00"/>
            <w:shd w:fill="0F2D4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600"/>
            <w:shd w:fill="0F2D4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950"/>
            <w:shd w:fill="0F2D4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Qué sucede</w:t>
            </w:r>
          </w:p>
        </w:tc>
      </w:tr>
      <w:tr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Sin iniciar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Preparar</w:t>
            </w:r>
          </w:p>
        </w:tc>
        <w:tc>
          <w:tcPr>
            <w:tcW w:type="dxa" w:w="49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El componente entra a Preparando.</w:t>
            </w:r>
          </w:p>
        </w:tc>
      </w:tr>
      <w:tr>
        <w:tc>
          <w:tcPr>
            <w:tcW w:type="dxa" w:w="150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Preparando</w:t>
            </w:r>
          </w:p>
        </w:tc>
        <w:tc>
          <w:tcPr>
            <w:tcW w:type="dxa" w:w="160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Listo</w:t>
            </w:r>
          </w:p>
        </w:tc>
        <w:tc>
          <w:tcPr>
            <w:tcW w:type="dxa" w:w="495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Ese componente queda listo; los demás conservan su estado.</w:t>
            </w:r>
          </w:p>
        </w:tc>
      </w:tr>
      <w:tr>
        <w:tc>
          <w:tcPr>
            <w:tcW w:type="dxa" w:w="15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Listo</w:t>
            </w:r>
          </w:p>
        </w:tc>
        <w:tc>
          <w:tcPr>
            <w:tcW w:type="dxa" w:w="16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Deshacer</w:t>
            </w:r>
          </w:p>
        </w:tc>
        <w:tc>
          <w:tcPr>
            <w:tcW w:type="dxa" w:w="49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Un usuario autorizado puede regresar el estado si fue necesario.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47689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mponentes-k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/>
        <w:jc w:val="center"/>
      </w:pPr>
      <w:r>
        <w:rPr>
          <w:rFonts w:ascii="Calibri" w:hAnsi="Calibri" w:eastAsia="Calibri"/>
          <w:color w:val="6B7A90"/>
          <w:sz w:val="17"/>
        </w:rPr>
        <w:t>Figura 5. Chilaquiles y Coca-Cola en secciones diferentes, identificados por combo y slot.</w:t>
      </w:r>
    </w:p>
    <w:p>
      <w:pPr>
        <w:pStyle w:val="Heading2"/>
      </w:pPr>
      <w:r>
        <w:t>Qué debe leer cocina</w:t>
      </w:r>
    </w:p>
    <w:p>
      <w:pPr>
        <w:pStyle w:val="ListBullet"/>
        <w:keepLines/>
        <w:spacing w:after="60"/>
      </w:pPr>
      <w:r>
        <w:t>Número de orden, modalidad y cliente de capacitación.</w:t>
      </w:r>
    </w:p>
    <w:p>
      <w:pPr>
        <w:pStyle w:val="ListBullet"/>
        <w:keepLines/>
        <w:spacing w:after="60"/>
      </w:pPr>
      <w:r>
        <w:t>Nombre y cantidad del componente, no el precio del combo.</w:t>
      </w:r>
    </w:p>
    <w:p>
      <w:pPr>
        <w:pStyle w:val="ListBullet"/>
        <w:keepLines/>
        <w:spacing w:after="60"/>
      </w:pPr>
      <w:r>
        <w:t>Etiqueta COMBO, nombre del padre y slot de origen.</w:t>
      </w:r>
    </w:p>
    <w:p>
      <w:pPr>
        <w:pStyle w:val="ListBullet"/>
        <w:keepLines/>
        <w:spacing w:after="60"/>
      </w:pPr>
      <w:r>
        <w:t>AGREGAR / SIN / sustitución y la nota específica del componente.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FFFFFF"/>
          <w:sz w:val="20"/>
          <w:shd w:fill="1F8AAE"/>
        </w:rPr>
        <w:t>08</w:t>
      </w:r>
      <w:r>
        <w:t xml:space="preserve">  </w:t>
      </w:r>
      <w:r>
        <w:rPr>
          <w:rFonts w:ascii="Calibri" w:hAnsi="Calibri" w:eastAsia="Calibri"/>
          <w:b/>
          <w:color w:val="0F2D4E"/>
          <w:sz w:val="32"/>
        </w:rPr>
        <w:t>Tickets, entrega y reimpresión</w:t>
      </w:r>
    </w:p>
    <w:p>
      <w:pPr>
        <w:pStyle w:val="Heading2"/>
      </w:pPr>
      <w:r>
        <w:t>Ticket del cliente</w:t>
      </w:r>
    </w:p>
    <w:p>
      <w:pPr>
        <w:pStyle w:val="ListBullet"/>
        <w:keepLines/>
        <w:spacing w:after="60"/>
      </w:pPr>
      <w:r>
        <w:t>Muestra el combo como artículo cobrado con precio final.</w:t>
      </w:r>
    </w:p>
    <w:p>
      <w:pPr>
        <w:pStyle w:val="ListBullet"/>
        <w:keepLines/>
        <w:spacing w:after="60"/>
      </w:pPr>
      <w:r>
        <w:t>Desglosa componentes, suplementos y personalizaciones sin duplicar importes.</w:t>
      </w:r>
    </w:p>
    <w:p>
      <w:pPr>
        <w:pStyle w:val="Heading2"/>
      </w:pPr>
      <w:r>
        <w:t>Comanda por sección</w:t>
      </w:r>
    </w:p>
    <w:p>
      <w:pPr>
        <w:pStyle w:val="ListBullet"/>
        <w:keepLines/>
        <w:spacing w:after="60"/>
      </w:pPr>
      <w:r>
        <w:t>Imprime solo componentes operativos y conserva la etiqueta del combo padre.</w:t>
      </w:r>
    </w:p>
    <w:p>
      <w:pPr>
        <w:pStyle w:val="ListBullet"/>
        <w:keepLines/>
        <w:spacing w:after="60"/>
      </w:pPr>
      <w:r>
        <w:t>Una orden con Chilaquiles y Coca-Cola produce comandas separadas para sus secciones.</w:t>
      </w:r>
    </w:p>
    <w:p>
      <w:pPr>
        <w:pStyle w:val="Heading2"/>
      </w:pPr>
      <w:r>
        <w:t>Reimpresión histórica</w:t>
      </w:r>
    </w:p>
    <w:p>
      <w:pPr>
        <w:pStyle w:val="ListNumber"/>
        <w:keepLines/>
        <w:spacing w:after="60"/>
        <w:numPr>
          <w:ilvl w:val="0"/>
          <w:numId w:val="16"/>
        </w:numPr>
      </w:pPr>
      <w:r>
        <w:t>Abra Restaurante → Órdenes y entregas y localice la orden.</w:t>
      </w:r>
    </w:p>
    <w:p>
      <w:pPr>
        <w:pStyle w:val="ListNumber"/>
        <w:keepLines/>
        <w:spacing w:after="60"/>
        <w:numPr>
          <w:ilvl w:val="0"/>
          <w:numId w:val="16"/>
        </w:numPr>
      </w:pPr>
      <w:r>
        <w:t>Revise el desglose padre–componentes y seleccione Reimprimir.</w:t>
      </w:r>
    </w:p>
    <w:p>
      <w:pPr>
        <w:pStyle w:val="ListNumber"/>
        <w:keepLines/>
        <w:spacing w:after="60"/>
        <w:numPr>
          <w:ilvl w:val="0"/>
          <w:numId w:val="16"/>
        </w:numPr>
      </w:pPr>
      <w:r>
        <w:t>Confirme Imprimir tickets. Las copias llevan la leyenda REIMPRESIÓN.</w:t>
      </w:r>
    </w:p>
    <w:p>
      <w:pPr>
        <w:pStyle w:val="ListNumber"/>
        <w:keepLines/>
        <w:spacing w:after="60"/>
        <w:numPr>
          <w:ilvl w:val="0"/>
          <w:numId w:val="16"/>
        </w:numPr>
      </w:pPr>
      <w:r>
        <w:t>El contenido proviene de snapshots; cambios posteriores del catálogo no alteran la copia.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6973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ticket-y-comand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9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6B7A90"/>
                <w:sz w:val="16"/>
              </w:rPr>
              <w:t>Figura 6. Orden histórica con componentes indentados.</w:t>
            </w:r>
          </w:p>
        </w:tc>
        <w:tc>
          <w:tcPr>
            <w:tcW w:type="dxa" w:w="4680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56973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b-reimpresio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569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i/>
                <w:color w:val="6B7A90"/>
                <w:sz w:val="16"/>
              </w:rPr>
              <w:t>Figura 7. Reimpresión de tickets y comandas.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FFFFFF"/>
          <w:sz w:val="20"/>
          <w:shd w:fill="1F8AAE"/>
        </w:rPr>
        <w:t>09</w:t>
      </w:r>
      <w:r>
        <w:t xml:space="preserve">  </w:t>
      </w:r>
      <w:r>
        <w:rPr>
          <w:rFonts w:ascii="Calibri" w:hAnsi="Calibri" w:eastAsia="Calibri"/>
          <w:b/>
          <w:color w:val="0F2D4E"/>
          <w:sz w:val="32"/>
        </w:rPr>
        <w:t>Operación móvil</w:t>
      </w:r>
    </w:p>
    <w:p>
      <w:r>
        <w:t>La modal adapta sus controles al ancho del teléfono. El resumen queda fijo al final del panel para que el cajero confirme el total antes de agregar.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2343713" cy="50749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os-mov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3713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40"/>
        <w:jc w:val="center"/>
      </w:pPr>
      <w:r>
        <w:rPr>
          <w:rFonts w:ascii="Calibri" w:hAnsi="Calibri" w:eastAsia="Calibri"/>
          <w:color w:val="6B7A90"/>
          <w:sz w:val="17"/>
        </w:rPr>
        <w:t>Figura 8. Vista móvil real (375 × 812): opciones táctiles y total $140.</w:t>
      </w:r>
    </w:p>
    <w:p>
      <w:pPr>
        <w:pStyle w:val="ListBullet"/>
        <w:keepLines/>
        <w:spacing w:after="60"/>
      </w:pPr>
      <w:r>
        <w:t>Desplace dentro de la modal; la página detrás permanece bloqueada.</w:t>
      </w:r>
    </w:p>
    <w:p>
      <w:pPr>
        <w:pStyle w:val="ListBullet"/>
        <w:keepLines/>
        <w:spacing w:after="60"/>
      </w:pPr>
      <w:r>
        <w:t>Los controles conservan áreas táctiles amplias y el botón final ocupa todo el ancho.</w:t>
      </w:r>
    </w:p>
    <w:p>
      <w:pPr>
        <w:pStyle w:val="ListBullet"/>
        <w:keepLines/>
        <w:spacing w:after="60"/>
      </w:pPr>
      <w:r>
        <w:t>Antes de cobrar, vuelva a la orden actual y compruebe cliente, turno, pago y total.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FFFFFF"/>
          <w:sz w:val="20"/>
          <w:shd w:fill="1F8AAE"/>
        </w:rPr>
        <w:t>10</w:t>
      </w:r>
      <w:r>
        <w:t xml:space="preserve">  </w:t>
      </w:r>
      <w:r>
        <w:rPr>
          <w:rFonts w:ascii="Calibri" w:hAnsi="Calibri" w:eastAsia="Calibri"/>
          <w:b/>
          <w:color w:val="0F2D4E"/>
          <w:sz w:val="32"/>
        </w:rPr>
        <w:t>Errores comunes y solución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200"/>
            <w:shd w:fill="0F2D4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Mensaje o síntoma</w:t>
            </w:r>
          </w:p>
        </w:tc>
        <w:tc>
          <w:tcPr>
            <w:tcW w:type="dxa" w:w="4850"/>
            <w:shd w:fill="0F2D4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Qué hacer</w:t>
            </w:r>
          </w:p>
        </w:tc>
      </w:tr>
      <w:tr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Falta completar un grupo obligatorio</w:t>
            </w:r>
          </w:p>
        </w:tc>
        <w:tc>
          <w:tcPr>
            <w:tcW w:type="dxa" w:w="48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Seleccione entre el mínimo y máximo indicado.</w:t>
            </w:r>
          </w:p>
        </w:tc>
      </w:tr>
      <w:tr>
        <w:tc>
          <w:tcPr>
            <w:tcW w:type="dxa" w:w="320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Predeterminada inválida</w:t>
            </w:r>
          </w:p>
        </w:tc>
        <w:tc>
          <w:tcPr>
            <w:tcW w:type="dxa" w:w="485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Deje una sola predeterminada cuando el máximo sea 1 y asegure que esté activa.</w:t>
            </w:r>
          </w:p>
        </w:tc>
      </w:tr>
      <w:tr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Opción agotada</w:t>
            </w:r>
          </w:p>
        </w:tc>
        <w:tc>
          <w:tcPr>
            <w:tcW w:type="dxa" w:w="48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Elija otra opción activa; una alternativa no elegida no debe bloquear el combo.</w:t>
            </w:r>
          </w:p>
        </w:tc>
      </w:tr>
      <w:tr>
        <w:tc>
          <w:tcPr>
            <w:tcW w:type="dxa" w:w="320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Ruta de comanda ambigua</w:t>
            </w:r>
          </w:p>
        </w:tc>
        <w:tc>
          <w:tcPr>
            <w:tcW w:type="dxa" w:w="485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Asigne menú y sección explícitos a esa opción.</w:t>
            </w:r>
          </w:p>
        </w:tc>
      </w:tr>
      <w:tr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Producto fuera del menú</w:t>
            </w:r>
          </w:p>
        </w:tc>
        <w:tc>
          <w:tcPr>
            <w:tcW w:type="dxa" w:w="48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Publique el padre en el menú vigente; el servidor rechaza borradores obsoletos.</w:t>
            </w:r>
          </w:p>
        </w:tc>
      </w:tr>
      <w:tr>
        <w:tc>
          <w:tcPr>
            <w:tcW w:type="dxa" w:w="320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Ingrediente no está en receta</w:t>
            </w:r>
          </w:p>
        </w:tc>
        <w:tc>
          <w:tcPr>
            <w:tcW w:type="dxa" w:w="485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Revise BOM, conversión, merma y producto asociado antes de usar Quitar.</w:t>
            </w:r>
          </w:p>
        </w:tc>
      </w:tr>
      <w:tr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Material inactivo</w:t>
            </w:r>
          </w:p>
        </w:tc>
        <w:tc>
          <w:tcPr>
            <w:tcW w:type="dxa" w:w="48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Reactive/corrija el material; no puede publicarse un efecto nuevo con material inactivo.</w:t>
            </w:r>
          </w:p>
        </w:tc>
      </w:tr>
      <w:tr>
        <w:tc>
          <w:tcPr>
            <w:tcW w:type="dxa" w:w="320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Combo dentro de combo</w:t>
            </w:r>
          </w:p>
        </w:tc>
        <w:tc>
          <w:tcPr>
            <w:tcW w:type="dxa" w:w="485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Sustituya el componente por un producto estándar; V1 no permite anidamiento.</w:t>
            </w:r>
          </w:p>
        </w:tc>
      </w:tr>
      <w:tr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No hay turno abierto</w:t>
            </w:r>
          </w:p>
        </w:tc>
        <w:tc>
          <w:tcPr>
            <w:tcW w:type="dxa" w:w="48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Abra un turno en Turnos y cortes ciegos, luego actualice el POS.</w:t>
            </w:r>
          </w:p>
        </w:tc>
      </w:tr>
      <w:tr>
        <w:tc>
          <w:tcPr>
            <w:tcW w:type="dxa" w:w="320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Inventario insuficiente</w:t>
            </w:r>
          </w:p>
        </w:tc>
        <w:tc>
          <w:tcPr>
            <w:tcW w:type="dxa" w:w="4850"/>
            <w:shd w:fill="F7F9F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Revise existencias o use la excepción supervisada solo con autorización.</w:t>
            </w:r>
          </w:p>
        </w:tc>
      </w:tr>
      <w:tr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Panel de precio no visible</w:t>
            </w:r>
          </w:p>
        </w:tc>
        <w:tc>
          <w:tcPr>
            <w:tcW w:type="dxa" w:w="485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E1EA"/>
              <w:left w:val="single" w:sz="6" w:color="D8E1EA"/>
              <w:bottom w:val="single" w:sz="6" w:color="D8E1EA"/>
              <w:right w:val="single" w:sz="6" w:color="D8E1EA"/>
              <w:insideH w:val="single" w:sz="6" w:color="D8E1EA"/>
              <w:insideV w:val="single" w:sz="6" w:color="D8E1EA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7"/>
              </w:rPr>
              <w:t>Cierre/reabra la modal; el contenido y el resumen tienen desplazamiento independiente.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"/>
        <w:gridCol w:w="9160"/>
      </w:tblGrid>
      <w:tr>
        <w:tc>
          <w:tcPr>
            <w:tcW w:type="dxa" w:w="200"/>
            <w:shd w:fill="8F271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160"/>
            <w:shd w:fill="FDECEC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2D4E"/>
                <w:sz w:val="21"/>
              </w:rPr>
              <w:t>Nunca corrija importes desde el navegador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9"/>
              </w:rPr>
              <w:t>Nombres, suplementos, rutas y efectos se leen otra vez del servidor. Corrija el catálogo y vuelva a capturar la partida.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FFFFFF"/>
          <w:sz w:val="20"/>
          <w:shd w:fill="1F8AAE"/>
        </w:rPr>
        <w:t>11</w:t>
      </w:r>
      <w:r>
        <w:t xml:space="preserve">  </w:t>
      </w:r>
      <w:r>
        <w:rPr>
          <w:rFonts w:ascii="Calibri" w:hAnsi="Calibri" w:eastAsia="Calibri"/>
          <w:b/>
          <w:color w:val="0F2D4E"/>
          <w:sz w:val="32"/>
        </w:rPr>
        <w:t>Checklists por rol</w:t>
      </w:r>
    </w:p>
    <w:p>
      <w:pPr>
        <w:pStyle w:val="Heading2"/>
      </w:pPr>
      <w:r>
        <w:t>Administrador · antes de publicar</w:t>
      </w:r>
    </w:p>
    <w:p>
      <w:pPr>
        <w:pStyle w:val="ListBullet"/>
        <w:keepLines/>
        <w:spacing w:after="60"/>
      </w:pPr>
      <w:r>
        <w:t>☐ Producto padre marcado como Combo, activo y sin material propio.</w:t>
      </w:r>
    </w:p>
    <w:p>
      <w:pPr>
        <w:pStyle w:val="ListBullet"/>
        <w:keepLines/>
        <w:spacing w:after="60"/>
      </w:pPr>
      <w:r>
        <w:t>☐ Slots con mínimos/máximos coherentes, orden y opciones suficientes.</w:t>
      </w:r>
    </w:p>
    <w:p>
      <w:pPr>
        <w:pStyle w:val="ListBullet"/>
        <w:keepLines/>
        <w:spacing w:after="60"/>
      </w:pPr>
      <w:r>
        <w:t>☐ Una predeterminada válida por grupo de selección única.</w:t>
      </w:r>
    </w:p>
    <w:p>
      <w:pPr>
        <w:pStyle w:val="ListBullet"/>
        <w:keepLines/>
        <w:spacing w:after="60"/>
      </w:pPr>
      <w:r>
        <w:t>☐ Componentes estándar activos, sin combos anidados.</w:t>
      </w:r>
    </w:p>
    <w:p>
      <w:pPr>
        <w:pStyle w:val="ListBullet"/>
        <w:keepLines/>
        <w:spacing w:after="60"/>
      </w:pPr>
      <w:r>
        <w:t>☐ Suplementos, cantidades y rutas revisados en la vista previa.</w:t>
      </w:r>
    </w:p>
    <w:p>
      <w:pPr>
        <w:pStyle w:val="ListBullet"/>
        <w:keepLines/>
        <w:spacing w:after="60"/>
      </w:pPr>
      <w:r>
        <w:t>☐ Modificadores con materiales/unidades activos y receta compatible.</w:t>
      </w:r>
    </w:p>
    <w:p>
      <w:pPr>
        <w:pStyle w:val="ListBullet"/>
        <w:keepLines/>
        <w:spacing w:after="60"/>
      </w:pPr>
      <w:r>
        <w:t>☐ Combo incluido en el menú publicado correcto.</w:t>
      </w:r>
    </w:p>
    <w:p>
      <w:pPr>
        <w:pStyle w:val="Heading2"/>
      </w:pPr>
      <w:r>
        <w:t>Caja · antes de cobrar</w:t>
      </w:r>
    </w:p>
    <w:p>
      <w:pPr>
        <w:pStyle w:val="ListBullet"/>
        <w:keepLines/>
        <w:spacing w:after="60"/>
      </w:pPr>
      <w:r>
        <w:t>☐ Todos los slots obligatorios completos.</w:t>
      </w:r>
    </w:p>
    <w:p>
      <w:pPr>
        <w:pStyle w:val="ListBullet"/>
        <w:keepLines/>
        <w:spacing w:after="60"/>
      </w:pPr>
      <w:r>
        <w:t>☐ Cambios y notas capturados en el componente correcto.</w:t>
      </w:r>
    </w:p>
    <w:p>
      <w:pPr>
        <w:pStyle w:val="ListBullet"/>
        <w:keepLines/>
        <w:spacing w:after="60"/>
      </w:pPr>
      <w:r>
        <w:t>☐ Precio base, suplementos y total revisados.</w:t>
      </w:r>
    </w:p>
    <w:p>
      <w:pPr>
        <w:pStyle w:val="ListBullet"/>
        <w:keepLines/>
        <w:spacing w:after="60"/>
      </w:pPr>
      <w:r>
        <w:t>☐ Cantidad y partidas separadas/reagrupadas como corresponde.</w:t>
      </w:r>
    </w:p>
    <w:p>
      <w:pPr>
        <w:pStyle w:val="ListBullet"/>
        <w:keepLines/>
        <w:spacing w:after="60"/>
      </w:pPr>
      <w:r>
        <w:t>☐ Cliente, modalidad, turno y pago confirmados.</w:t>
      </w:r>
    </w:p>
    <w:p>
      <w:pPr>
        <w:pStyle w:val="Heading2"/>
      </w:pPr>
      <w:r>
        <w:t>Cocina / barra</w:t>
      </w:r>
    </w:p>
    <w:p>
      <w:pPr>
        <w:pStyle w:val="ListBullet"/>
        <w:keepLines/>
        <w:spacing w:after="60"/>
      </w:pPr>
      <w:r>
        <w:t>☐ Leer combo y slot antes de preparar.</w:t>
      </w:r>
    </w:p>
    <w:p>
      <w:pPr>
        <w:pStyle w:val="ListBullet"/>
        <w:keepLines/>
        <w:spacing w:after="60"/>
      </w:pPr>
      <w:r>
        <w:t>☐ Aplicar cada AGREGAR, SIN, sustitución y nota.</w:t>
      </w:r>
    </w:p>
    <w:p>
      <w:pPr>
        <w:pStyle w:val="ListBullet"/>
        <w:keepLines/>
        <w:spacing w:after="60"/>
      </w:pPr>
      <w:r>
        <w:t>☐ Avanzar únicamente el componente realmente iniciado/listo.</w:t>
      </w:r>
    </w:p>
    <w:p>
      <w:pPr>
        <w:pStyle w:val="ListBullet"/>
        <w:keepLines/>
        <w:spacing w:after="60"/>
      </w:pPr>
      <w:r>
        <w:t>☐ Confirmar que todos los componentes estén listos antes de entregar.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FFFFFF"/>
          <w:sz w:val="20"/>
          <w:shd w:fill="1F8AAE"/>
        </w:rPr>
        <w:t>12</w:t>
      </w:r>
      <w:r>
        <w:t xml:space="preserve">  </w:t>
      </w:r>
      <w:r>
        <w:rPr>
          <w:rFonts w:ascii="Calibri" w:hAnsi="Calibri" w:eastAsia="Calibri"/>
          <w:b/>
          <w:color w:val="0F2D4E"/>
          <w:sz w:val="32"/>
        </w:rPr>
        <w:t>Ejercicio de capacitación</w:t>
      </w:r>
    </w:p>
    <w:p>
      <w:r>
        <w:t>Realice este recorrido en Orion_SandBox con el usuario de desarrollo y sin datos personales reales:</w:t>
      </w:r>
    </w:p>
    <w:p>
      <w:pPr>
        <w:pStyle w:val="ListNumber"/>
        <w:keepLines/>
        <w:spacing w:after="60"/>
        <w:numPr>
          <w:ilvl w:val="0"/>
          <w:numId w:val="17"/>
        </w:numPr>
      </w:pPr>
      <w:r>
        <w:t>Abrir un turno de caja con fondo $0.</w:t>
      </w:r>
    </w:p>
    <w:p>
      <w:pPr>
        <w:pStyle w:val="ListNumber"/>
        <w:keepLines/>
        <w:spacing w:after="60"/>
        <w:numPr>
          <w:ilvl w:val="0"/>
          <w:numId w:val="17"/>
        </w:numPr>
      </w:pPr>
      <w:r>
        <w:t>Agregar CAP-COMBO-CHILA y elegir Coca-Cola +$15.</w:t>
      </w:r>
    </w:p>
    <w:p>
      <w:pPr>
        <w:pStyle w:val="ListNumber"/>
        <w:keepLines/>
        <w:spacing w:after="60"/>
        <w:numPr>
          <w:ilvl w:val="0"/>
          <w:numId w:val="17"/>
        </w:numPr>
      </w:pPr>
      <w:r>
        <w:t>Agregar Pollo +$30, marcar Sin cebolla y escribir Salsa aparte.</w:t>
      </w:r>
    </w:p>
    <w:p>
      <w:pPr>
        <w:pStyle w:val="ListNumber"/>
        <w:keepLines/>
        <w:spacing w:after="60"/>
        <w:numPr>
          <w:ilvl w:val="0"/>
          <w:numId w:val="17"/>
        </w:numPr>
      </w:pPr>
      <w:r>
        <w:t>Confirmar total $140 y usar Cliente Capacitación.</w:t>
      </w:r>
    </w:p>
    <w:p>
      <w:pPr>
        <w:pStyle w:val="ListNumber"/>
        <w:keepLines/>
        <w:spacing w:after="60"/>
        <w:numPr>
          <w:ilvl w:val="0"/>
          <w:numId w:val="17"/>
        </w:numPr>
      </w:pPr>
      <w:r>
        <w:t>Subir cantidad a 2, personalizar una unidad distinta y comprobar que se separa.</w:t>
      </w:r>
    </w:p>
    <w:p>
      <w:pPr>
        <w:pStyle w:val="ListNumber"/>
        <w:keepLines/>
        <w:spacing w:after="60"/>
        <w:numPr>
          <w:ilvl w:val="0"/>
          <w:numId w:val="17"/>
        </w:numPr>
      </w:pPr>
      <w:r>
        <w:t>Restaurar la misma configuración y comprobar que se reagrupa.</w:t>
      </w:r>
    </w:p>
    <w:p>
      <w:pPr>
        <w:pStyle w:val="ListNumber"/>
        <w:keepLines/>
        <w:spacing w:after="60"/>
        <w:numPr>
          <w:ilvl w:val="0"/>
          <w:numId w:val="17"/>
        </w:numPr>
      </w:pPr>
      <w:r>
        <w:t>Cobrar $140 en efectivo y enviar a cocina.</w:t>
      </w:r>
    </w:p>
    <w:p>
      <w:pPr>
        <w:pStyle w:val="ListNumber"/>
        <w:keepLines/>
        <w:spacing w:after="60"/>
        <w:numPr>
          <w:ilvl w:val="0"/>
          <w:numId w:val="17"/>
        </w:numPr>
      </w:pPr>
      <w:r>
        <w:t>Poner solo Chilaquiles en Preparando; confirmar que Coca-Cola siga Sin iniciar.</w:t>
      </w:r>
    </w:p>
    <w:p>
      <w:pPr>
        <w:pStyle w:val="ListNumber"/>
        <w:keepLines/>
        <w:spacing w:after="60"/>
        <w:numPr>
          <w:ilvl w:val="0"/>
          <w:numId w:val="17"/>
        </w:numPr>
      </w:pPr>
      <w:r>
        <w:t>Completar ambos componentes, entregar y completar la orden.</w:t>
      </w:r>
    </w:p>
    <w:p>
      <w:pPr>
        <w:pStyle w:val="ListNumber"/>
        <w:keepLines/>
        <w:spacing w:after="60"/>
        <w:numPr>
          <w:ilvl w:val="0"/>
          <w:numId w:val="17"/>
        </w:numPr>
      </w:pPr>
      <w:r>
        <w:t>Reimprimir y confirmar el desglose histórico.</w:t>
      </w:r>
    </w:p>
    <w:p>
      <w:pPr>
        <w:pStyle w:val="ListNumber"/>
        <w:keepLines/>
        <w:spacing w:after="60"/>
        <w:numPr>
          <w:ilvl w:val="0"/>
          <w:numId w:val="17"/>
        </w:numPr>
      </w:pPr>
      <w:r>
        <w:t>Cerrar el turno con $140 contado y diferencia $0.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"/>
        <w:gridCol w:w="9160"/>
      </w:tblGrid>
      <w:tr>
        <w:tc>
          <w:tcPr>
            <w:tcW w:type="dxa" w:w="200"/>
            <w:shd w:fill="2F9E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/>
        </w:tc>
        <w:tc>
          <w:tcPr>
            <w:tcW w:type="dxa" w:w="9160"/>
            <w:shd w:fill="EAF6E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0F2D4E"/>
                <w:sz w:val="21"/>
              </w:rPr>
              <w:t>Validación lograda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B2533"/>
                <w:sz w:val="19"/>
              </w:rPr>
              <w:t>El recorrido de referencia produjo la orden 001, total $140, dos comandas por sección y cierre de turno sin diferencia.</w:t>
            </w:r>
          </w:p>
        </w:tc>
      </w:tr>
    </w:tbl>
    <w:p>
      <w:pPr>
        <w:spacing w:after="0"/>
      </w:pPr>
    </w:p>
    <w:p>
      <w:pPr>
        <w:pStyle w:val="Heading2"/>
      </w:pPr>
      <w:r>
        <w:t>Al terminar</w:t>
      </w:r>
    </w:p>
    <w:p>
      <w:pPr>
        <w:pStyle w:val="ListBullet"/>
        <w:keepLines/>
        <w:spacing w:after="60"/>
      </w:pPr>
      <w:r>
        <w:t>No replique el ejemplo en grupocarpio.</w:t>
      </w:r>
    </w:p>
    <w:p>
      <w:pPr>
        <w:pStyle w:val="ListBullet"/>
        <w:keepLines/>
        <w:spacing w:after="60"/>
      </w:pPr>
      <w:r>
        <w:t>Documente cualquier producto agotado, conversión faltante o ruta ambigua antes de publicar combos comerciales.</w:t>
      </w:r>
    </w:p>
    <w:p>
      <w:pPr>
        <w:pStyle w:val="ListBullet"/>
        <w:keepLines/>
        <w:spacing w:after="60"/>
      </w:pPr>
      <w:r>
        <w:t>Solicite aprobación separada para migración y publicación productiva.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Calibri"/>
        <w:color w:val="6B7A90"/>
        <w:sz w:val="15"/>
      </w:rPr>
      <w:t xml:space="preserve">Capacitación · Orion_SandBox · BRUNOS260707L26   •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6B7A90"/>
        <w:sz w:val="15"/>
      </w:rPr>
      <w:t>ORIONERP · RESTAURANTE  |  COMBOS Y PERSONALIZACIONES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color w:val="1B25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2D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8AA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8F271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6B7A9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OrionERP — Combos y personalizaciones</dc:title>
  <dc:subject>Configuración y operación de combos en OrionERP Restaurante</dc:subject>
  <dc:creator>Grupo Orion</dc:creator>
  <cp:keywords>OrionERP, Restaurante, POS, combos, modificadores, KDS, Bruno's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