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Enrutamiento verificado de hooks y seguridad de paquetes — 2026-10-02</w:t>
      </w:r>
    </w:p>
    <w:p>
      <w:r>
        <w:t>**Versión:** Calradia Forge 25.2.0, sin cambios; API SDK 13</w:t>
      </w:r>
    </w:p>
    <w:p>
      <w:r>
        <w:t>**Alcance:** Registro de pruebas Core, bindings Gauntlet de Hook Workbench, seguridad de salida de paquetes, guía bilingüe de parches y validación de distribución.</w:t>
      </w:r>
    </w:p>
    <w:p>
      <w:pPr>
        <w:pStyle w:val="Heading3"/>
      </w:pPr>
      <w:r>
        <w:t>Problema observado y justificación técnica</w:t>
      </w:r>
    </w:p>
    <w:p>
      <w:r>
        <w:t>La revisión final detectó una colisión de IDs entre registros en el host de pruebas: `TestEngine.RegisterTranspiler` enviaba el registro directamente al servicio de hooks y omitía el conjunto de IDs sin distinción de mayúsculas usado por los comandos. Una regresión independiente de Gauntlet mostró que la visibilidad derivada de la ruta podía quedar desactualizada al navegar entre secciones o cambiar el foco de evidencia. El empaquetado también necesitaba un límite explícito contra sobrescrituras, porque repetirlo en el mismo directorio artifacts podía reemplazar archivos previos.</w:t>
      </w:r>
    </w:p>
    <w:p>
      <w:pPr>
        <w:pStyle w:val="Heading3"/>
      </w:pPr>
      <w:r>
        <w:t>Solución técnica y decisiones arquitectónicas</w:t>
      </w:r>
    </w:p>
    <w:p>
      <w:r>
        <w:t>`RegisterTranspiler` ahora valida y reserva IDs bajo `registryGate`, comparte el conjunto global de IDs del host y revierte la reserva si falla el registro del servicio. Gauntlet notifica los cambios de `IsPatchPreflightActive` e `IsHookWorkbenchVisible` durante los cambios de layout/ruta y al cambiar el foco de evidencia. Hook Workbench sigue siendo una superficie condicional de acciones dentro de Patch Preflight; no reemplaza el rail de navegación ni el ledger de evidencias. Los paquetes solo pueden escribirse en subdirectorios ignorados de `artifacts/`, se rechazan destinos existentes antes de compilar y la limpieza solo afecta al staging creado por la ejecución actual.</w:t>
      </w:r>
    </w:p>
    <w:p>
      <w:pPr>
        <w:pStyle w:val="Heading3"/>
      </w:pPr>
      <w:r>
        <w:t>Cambios en código, activos y dependencias</w:t>
      </w:r>
    </w:p>
    <w:p>
      <w:r>
        <w:t>El trabajo modifica `TestEngine`, su regresión de IDs globales, `PanelViewModel`, las pruebas de navegación Gauntlet, los scripts de salida/auditoría de paquetes, la configuración de launchers y los 13 catálogos de idioma regenerados por la compilación canónica. No cambian API, dependencias, versión del producto, contrato de hooks en ejecución, comandos ni superficie IPC. Se mantienen producto 25.2.0, API SDK 13 y MonoMod 25.3.6.</w:t>
      </w:r>
    </w:p>
    <w:p>
      <w:pPr>
        <w:pStyle w:val="Heading3"/>
      </w:pPr>
      <w:r>
        <w:t>Validación y límites de la evidencia</w:t>
      </w:r>
    </w:p>
    <w:p>
      <w:pPr>
        <w:pStyle w:val="ListBullet"/>
      </w:pPr>
      <w:r>
        <w:t>`tools/package.ps1 -PackageOutputDirectory artifacts/deliverables-2026-10-02-r2` terminó mediante el pipeline canónico. Sus launchers de pruebas usaron archivos `.bat`; no se ejecutó directamente ningún binario de pruebas.</w:t>
      </w:r>
    </w:p>
    <w:p>
      <w:pPr>
        <w:pStyle w:val="ListBullet"/>
      </w:pPr>
      <w:r>
        <w:t>La compilación Release y DocFX terminaron con cero advertencias y cero errores. Pasaron las suites BAT: Core 414/414, ForgeWeave 73/73, Desktop 65/65 y WPF con 295 casos de render / 308 pases de layout. El harness WPF tardó 14.552 ms; no es la latencia interactiva de la aplicación.</w:t>
      </w:r>
    </w:p>
    <w:p>
      <w:pPr>
        <w:pStyle w:val="ListBullet"/>
      </w:pPr>
      <w:r>
        <w:t>La aceptación stateless pasó 4/4 mediante `tools/Verify-CalradiaForge-StatelessBehavior.bat`.</w:t>
      </w:r>
    </w:p>
    <w:p>
      <w:pPr>
        <w:pStyle w:val="ListBullet"/>
      </w:pPr>
      <w:r>
        <w:t>Los tres archivos 25.2.0 pasaron la auditoría y las comprobaciones SHA-256 independientes coincidieron con el manifiesto. Windows denegó la eliminación de tres directorios de staging propios; el script lo notificó y los conservó bajo `artifacts/` ignorado, sin barrer otros directorios de staging.</w:t>
      </w:r>
    </w:p>
    <w:p>
      <w:pPr>
        <w:pStyle w:val="ListBullet"/>
      </w:pPr>
      <w:r>
        <w:t>Bannerlord no se abrió. El render Gauntlet en vivo, la aplicación real de hooks desde el menú principal y el comportamiento de Resource Browser siguen sin verificarse; no se cargó campaña ni batalla.</w:t>
      </w:r>
    </w:p>
    <w:p>
      <w:r>
        <w:t>Este anexo añade evidencia al registro protegido sin reescribir revisiones anteriores.</w:t>
      </w:r>
    </w:p>
    <w:p>
      <w:r>
        <w:br w:type="page"/>
      </w:r>
    </w:p>
    <w:p>
      <w:pPr>
        <w:pStyle w:val="Heading1"/>
      </w:pPr>
      <w:r>
        <w:t>Anexo Rev116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Hook Plan Expiry and Desktop Localization Integrity</w:t>
      </w:r>
    </w:p>
    <w:p>
      <w:r>
        <w:t>**Date:** 2026-10-02</w:t>
      </w:r>
    </w:p>
    <w:p>
      <w:r>
        <w:t>**Version:** Calradia Forge 25.2.0, unchanged; SDK API 13</w:t>
      </w:r>
    </w:p>
    <w:p>
      <w:r>
        <w:t>**Scope:** Core runtime plan expiry, Desktop WPF localization generation and status projection, test tooling, and bilingual documentation.</w:t>
      </w:r>
    </w:p>
    <w:p>
      <w:pPr>
        <w:pStyle w:val="Heading3"/>
      </w:pPr>
      <w:r>
        <w:t>Observed issue and technical justification</w:t>
      </w:r>
    </w:p>
    <w:p>
      <w:r>
        <w:t>The plan confirmation gate accepted a token at the exact `ExpiresAtUtc` boundary because expiry used a strict greater-than comparison. Separately, the WPF resource generator rewrote full dictionaries from a 73-key hard-coded subset even though the committed dictionaries contained 248 entries, silently removing 175 UI strings per language during regeneration. Hook Workbench status text also retained localized strings from the previous language after the user changed the Desktop language.</w:t>
      </w:r>
    </w:p>
    <w:p>
      <w:pPr>
        <w:pStyle w:val="Heading3"/>
      </w:pPr>
      <w:r>
        <w:t>Technical solution and architectural decisions</w:t>
      </w:r>
    </w:p>
    <w:p>
      <w:r>
        <w:t>Plan expiry now uses an inclusive boundary and a regression verifies that a plan is invalid at `now == ExpiresAtUtc`. The Desktop generator reads an explicit extension catalog with translations for the full 13-language set, preserves the prior 248 keys, and adds a localized language-change message. Duplicate JSON keys and duplicate generated resource keys are rejected; the localization audit checks exact extension values and locale coverage. Hook Workbench stores a resolver for UI-owned status messages and refreshes it when localization changes. Raw host errors and diagnostic detail remain unmodified.</w:t>
      </w:r>
    </w:p>
    <w:p>
      <w:pPr>
        <w:pStyle w:val="Heading3"/>
      </w:pPr>
      <w:r>
        <w:t>Code, assets, and dependency changes</w:t>
      </w:r>
    </w:p>
    <w:p>
      <w:r>
        <w:t>The change updates the expiry comparison and Core regression, Desktop localization/status view models, the 13 generated WPF dictionaries, `localization/desktop-extensions.json`, native Hook Workbench `Cancel` localization and its generator/audit path, Python BAT checks, SDK and shared-library documentation, and bilingual changelog/ledger sources. Existing WPF translation values were preserved; no product version, SDK API, command, route, hook behavior, or runtime dependency changed.</w:t>
      </w:r>
    </w:p>
    <w:p>
      <w:pPr>
        <w:pStyle w:val="Heading3"/>
      </w:pPr>
      <w:r>
        <w:t>Validation and evidence limits</w:t>
      </w:r>
    </w:p>
    <w:p>
      <w:pPr>
        <w:pStyle w:val="ListBullet"/>
      </w:pPr>
      <w:r>
        <w:t>`tools/Run-CalradiaForge-Tests.bat --desktop-only --no-pause` passed Desktop 65/65 and WPF 295 render cases / 308 layout passes.</w:t>
      </w:r>
    </w:p>
    <w:p>
      <w:pPr>
        <w:pStyle w:val="ListBullet"/>
      </w:pPr>
      <w:r>
        <w:t>`tools/Run-CalradiaForge-Tests.bat --no-pause` passed Core 414/414, the serial x64 hook fixture (including Finalizer and ILHook cases), ForgeWeave 73/73, Desktop 65/65, and WPF 295/295 render cases / 308 layout passes; build output reported 0 warnings and 0 errors.</w:t>
      </w:r>
    </w:p>
    <w:p>
      <w:pPr>
        <w:pStyle w:val="ListBullet"/>
      </w:pPr>
      <w:r>
        <w:t>`tools/Run-CalradiaForge-Python-Checks.bat --ci --no-pause` passed asset, localization, sprite, and icon checks; `tools/Verify-CalradiaForge-StatelessBehavior.bat` passed all four acceptance stages.</w:t>
      </w:r>
    </w:p>
    <w:p>
      <w:pPr>
        <w:pStyle w:val="ListBullet"/>
      </w:pPr>
      <w:r>
        <w:t>The WPF timings measure the render harness, not application interaction latency. No Bannerlord, campaign, battle, or live Resource Browser import was opened or verified.</w:t>
      </w:r>
    </w:p>
    <w:p>
      <w:pPr>
        <w:pStyle w:val="ListBullet"/>
      </w:pPr>
      <w:r>
        <w:t>Canonical distribution packaging and its archive hashes are a separate completion gate and are recorded in the delivery report.</w:t>
      </w:r>
    </w:p>
    <w:p>
      <w:r>
        <w:t>This annex extends the protected record without rewriting earlier revisions.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