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4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Rev004: </w:t>
      </w:r>
      <w:r>
        <w:t>se compactó el último elemento del seguimiento de fuentes para evitar una página final casi vacía. No se eliminaron mejoras; Rev001, Rev002 y Rev003, junto con sus huellas,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r>
        <w:rPr>
          <w:rFonts w:ascii="Arial" w:hAnsi="Arial"/>
          <w:b/>
          <w:sz w:val="20"/>
        </w:rPr>
        <w:t xml:space="preserve">Fuentes. </w:t>
      </w:r>
      <w:r>
        <w:rPr>
          <w:rFonts w:ascii="Arial" w:hAnsi="Arial"/>
          <w:sz w:val="20"/>
        </w:rPr>
        <w:t>docs/CHANGELOG.es.md y docs/CHANGELOG.md. Las secciones históricas que solo estaban en inglés se tradujeron para esta edición; sus funciones, límites y resultados se mantienen atribuidos al registro original.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Verificada la infografía/PDF 1.2 con guías oficiales y comunitarias: Core/BAT respetan cancelación y señalan Camera/Light; no reescriben FBX ni automatizan la importación. Los ZIP existentes no se reconstruyeron.</w:t>
      </w:r>
    </w:p>
    <w:p>
      <w:r>
        <w:br w:type="page"/>
      </w:r>
    </w:p>
    <w:p>
      <w:pPr>
        <w:pStyle w:val="Heading1"/>
      </w:pPr>
      <w:r>
        <w:t>Anexo Rev005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12.4.0 — detalle adicional conservado de la fuente inglesa</w:t>
      </w:r>
    </w:p>
    <w:p>
      <w:r>
        <w:t>Estas notas amplían 12.4.0 a partir de los dos bloques de `docs/CHANGELOG.md`. Se preservan como afirmaciones históricas del registro, sin presentar los conteos de pruebas como una ejecución nueva.</w:t>
      </w:r>
    </w:p>
    <w:p>
      <w:pPr>
        <w:pStyle w:val="ListBullet"/>
      </w:pPr>
      <w:r>
        <w:t>Se renombró el espacio de nombres `CalradiaForge.Core.SDK.Campaign` a `CampaignMechanics` para evitar colisión con `TaleWorlds.CampaignSystem.Campaign`.</w:t>
      </w:r>
    </w:p>
    <w:p>
      <w:pPr>
        <w:pStyle w:val="ListBullet"/>
      </w:pPr>
      <w:r>
        <w:t>El bloque Core enumera simulación de misiones, clima, tiempo, lealtad, seguridad, heridas, plagas, recompensas, torneos y caza; además documenta fórmulas de combate, economía, política y UI. Entre los ejemplos concretos figuran penetración de armadura por tipo de daño, rutas de caravanas, convergencia de mercado, límites de séquito, decisiones de sucesión, proyección de HUD y clasificación de inventario.</w:t>
      </w:r>
    </w:p>
    <w:p>
      <w:pPr>
        <w:pStyle w:val="ListBullet"/>
      </w:pPr>
      <w:r>
        <w:t>`ForgePartySpawner` declara plantillas de grupos, composición segura de tropas, presupuesto salarial y conductas AI `Patrol`, `DefendSettlement`, `Raid` y `Flee`.</w:t>
      </w:r>
    </w:p>
    <w:p>
      <w:pPr>
        <w:pStyle w:val="ListBullet"/>
      </w:pPr>
      <w:r>
        <w:t>`ForgeHudProjector` proyecta coordenadas 3D a pantalla para overlays Gauntlet y calcula la atenuación de tracks del mapa.</w:t>
      </w:r>
    </w:p>
    <w:p>
      <w:pPr>
        <w:pStyle w:val="ListBullet"/>
      </w:pPr>
      <w:r>
        <w:t>`ForgeApi` agrupa las superficies `Diplomacy`, `Settlements`, `Underworld`, `Progression`, `Combat`, `Trade`, `Parties` y `Hud`.</w:t>
      </w:r>
    </w:p>
    <w:p>
      <w:pPr>
        <w:pStyle w:val="ListBullet"/>
      </w:pPr>
      <w:r>
        <w:t>La consola nativa añade comandos `cf.*` para puntuación de guerra, tributo de paz, auditoría de rebelión, rendimiento de callejón, aprendizaje de personaje, moral, brecha de asedio, precios, transferencias de inventario y auditoría de reglas.</w:t>
      </w:r>
    </w:p>
    <w:p>
      <w:pPr>
        <w:pStyle w:val="ListBullet"/>
      </w:pPr>
      <w:r>
        <w:t>Bajo el bloque de 12.4.0 aparece una subsección de empaquetado etiquetada 12.3.0. Esa subsección atribuye 200 pruebas (176 Core y 24 ForgeWeave) y archivos de distribución 12.3.0; el mismo encabezado 12.4.0 informa por separado 203 pruebas (177 Core y 26 Desktop) y paquetes 12.4.0. Ambas cifras y etiquetas quedan atribuidas a sus respectivos pasajes fuente, sin reconciliarlas.</w:t>
      </w:r>
    </w:p>
    <w:p>
      <w:pPr>
        <w:pStyle w:val="Heading2"/>
      </w:pPr>
      <w:r>
        <w:t>14.0.0 — cobertura de fixtures recuperada de la fuente inglesa</w:t>
      </w:r>
    </w:p>
    <w:p>
      <w:pPr>
        <w:pStyle w:val="ListBullet"/>
      </w:pPr>
      <w:r>
        <w:t>El punto de validación omitido especifica fixtures positivos y negativos para entradas válidas, malformadas, ausentes, no compatibles e inseguras, además de capacidades, registro de analizadores y archivos ZIP. Es el alcance declarado por `docs/CHANGELOG.md`; este anexo no afirma que se hayan vuelto a ejecutar esas pruebas.</w:t>
      </w:r>
    </w:p>
    <w:p>
      <w:r>
        <w:br w:type="page"/>
      </w:r>
    </w:p>
    <w:p>
      <w:pPr>
        <w:pStyle w:val="Heading1"/>
      </w:pPr>
      <w:r>
        <w:t>Anexo Rev006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Corrección del paquete Word</w:t>
      </w:r>
    </w:p>
    <w:p>
      <w:pPr>
        <w:pStyle w:val="ListBullet"/>
      </w:pPr>
      <w:r>
        <w:t>Rev005 conservó el texto de Rev004, pero su serialización OOXML dejó sin resolver el prefijo `w14` citado por `mc:Ignorable`, por lo que Microsoft Word rechazó ese archivo aunque el contenedor ZIP y `python-docx` pudieran leerlo.</w:t>
      </w:r>
    </w:p>
    <w:p>
      <w:pPr>
        <w:pStyle w:val="ListBullet"/>
      </w:pPr>
      <w:r>
        <w:t>Esta revisión conserva el anexo histórico de Rev005 y agrega una corrección del serializador que mantiene los prefijos OOXML requeridos; el DOCX de Rev006 se abre y se valida en Microsoft Word.</w:t>
      </w:r>
    </w:p>
    <w:p>
      <w:pPr>
        <w:pStyle w:val="ListBullet"/>
      </w:pPr>
      <w:r>
        <w:t>Rev005 y su huella se conservan como evidencia del intento anterior. Rev006 es la revisión protegida y verificada para uso normal.</w:t>
      </w:r>
    </w:p>
    <w:p>
      <w:r>
        <w:br w:type="page"/>
      </w:r>
    </w:p>
    <w:p>
      <w:pPr>
        <w:pStyle w:val="Heading1"/>
      </w:pPr>
      <w:r>
        <w:t>Anexo Rev007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Comparación auditable de inventarios TpacTool</w:t>
      </w:r>
    </w:p>
    <w:p>
      <w:r>
        <w:t>Se mejoró el flujo de inventarios que acompaña la revisión de recursos importados mediante Resource Browser. Cada informe conserva la marca `createdUtc` y el comparador ahora la valida, la normaliza a UTC y la expone como `capturedUtc` en las ramas `before` y `after` del resultado JSON. La salida de `Compare-CalradiaForge-TpacInventory.bat` muestra ambas capturas y la hora de comparación para que el orden temporal de los snapshots sea visible.</w:t>
      </w:r>
    </w:p>
    <w:p>
      <w:r>
        <w:t>Una marca de captura ausente o inválida detiene el diff con un error explícito. El formato ISO debe traer `Z` o un desplazamiento explícito `±HH:mm`; las horas con desplazamiento se convierten a UTC y una fecha parseable sin zona se rechaza en vez de suponerse UTC. La prueba compara inventarios con horas distintas, verifica la normalización `+02:00` a UTC, la conservación en la respuesta y el JSON exportado, comprueba las líneas de consola y rechaza fechas mal formadas. Esto aporta trazabilidad temporal; no vuelve a abrir los TPAC, no recalcula los hashes de origen ni demuestra cuándo se modificaron los paquetes originales.</w:t>
      </w:r>
    </w:p>
    <w:p>
      <w:r>
        <w:t>El test local de inventario ahora admite `-ToolDirectory` y `-RequireReader`; su lanzador `.bat` reenvía esos argumentos. El modo normal conserva la salida portable `SKIP` cuando falta la instalación del juego/fixture o Windows bloquea el lector descargado. El modo estricto devuelve un error no exitoso si el lector o el fixture requerido no está disponible, evitando interpretar una omisión como validación completa. Se comprobó ese camino negativo con un directorio de lector ausente.</w:t>
      </w:r>
    </w:p>
    <w:p>
      <w:r>
        <w:t>La prueba del comparador pasó mediante `tests/CalradiaForge.TpacInventoryCompare.Tests.bat`, incluida la validación de fechas, exportación, respaldos y protección contra sobrescritura. El test normal de inventario se ejecutó mediante su `.bat` y notificó `SKIP` porque Windows rechazó `TpacTool.Lib.dll` con `0x80131515`; por tanto, en esta ronda no se volvió a validar la lectura del paquete Native. El original descargado, sus marcas de procedencia, los TPAC de origen/Steam y los ZIP existentes permanecieron intactos; no se reconstruyeron distribuciones.</w:t>
      </w:r>
    </w:p>
    <w:sectPr w:rsidR="00FC693F" w:rsidRPr="0006063C" w:rsidSect="00034616">
      <w:footerReference w:type="default" r:id="rId9"/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