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07BF1B7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8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66B414B1" w:rsidR="0083058F" w:rsidRDefault="00C00FF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2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0BAC6235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31C6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14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 horas</w:t>
            </w:r>
          </w:p>
        </w:tc>
        <w:tc>
          <w:tcPr>
            <w:tcW w:w="5475" w:type="dxa"/>
          </w:tcPr>
          <w:p w14:paraId="2F062ECD" w14:textId="4D748540" w:rsidR="00385480" w:rsidRDefault="00C31C6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144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0C570CE6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r w:rsidR="008049CC">
        <w:rPr>
          <w:rFonts w:ascii="Verdana" w:eastAsia="Verdana" w:hAnsi="Verdana" w:cs="Verdana"/>
          <w:bCs/>
        </w:rPr>
        <w:t>más</w:t>
      </w:r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r w:rsidR="008049CC">
        <w:rPr>
          <w:rFonts w:ascii="Verdana" w:eastAsia="Verdana" w:hAnsi="Verdana" w:cs="Verdana"/>
          <w:bCs/>
        </w:rPr>
        <w:t>práctica</w:t>
      </w:r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r w:rsidR="008049CC">
        <w:rPr>
          <w:rFonts w:ascii="Verdana" w:eastAsia="Verdana" w:hAnsi="Verdana" w:cs="Verdana"/>
          <w:bCs/>
        </w:rPr>
        <w:t>integración y entrega continua</w:t>
      </w:r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7528298C" w14:textId="2394D9A1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concepto de metodología ágil</w:t>
            </w:r>
            <w:r w:rsidR="0026105D">
              <w:rPr>
                <w:rFonts w:ascii="Arial" w:eastAsia="Arial" w:hAnsi="Arial" w:cs="Arial"/>
              </w:rPr>
              <w:t xml:space="preserve"> en la industria del software y su diferencia con la metodología tradicional además de conocer los fundamentos del</w:t>
            </w:r>
            <w:r>
              <w:rPr>
                <w:rFonts w:ascii="Arial" w:eastAsia="Arial" w:hAnsi="Arial" w:cs="Arial"/>
              </w:rPr>
              <w:t xml:space="preserve"> SCRUM.</w:t>
            </w:r>
          </w:p>
          <w:p w14:paraId="6A006064" w14:textId="33538ECC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Conocer la implementación del SCRUM dentro de un equipo de desarrollo y la participación efectiva de cada uno de sus eventos.</w:t>
            </w:r>
          </w:p>
          <w:p w14:paraId="346D85FE" w14:textId="7354BE6E" w:rsidR="006330A2" w:rsidRDefault="0092247A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 y entrega continua</w:t>
            </w:r>
            <w:r w:rsidR="006330A2">
              <w:rPr>
                <w:rFonts w:ascii="Arial" w:eastAsia="Arial" w:hAnsi="Arial" w:cs="Arial"/>
              </w:rPr>
              <w:t xml:space="preserve"> como también de las pruebas automatizadas.</w:t>
            </w:r>
          </w:p>
          <w:p w14:paraId="2F1C7ED5" w14:textId="0DF0A934" w:rsidR="006330A2" w:rsidRP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Aplicar </w:t>
            </w:r>
            <w:r w:rsidR="00514D0D">
              <w:rPr>
                <w:rFonts w:ascii="Arial" w:eastAsia="Arial" w:hAnsi="Arial" w:cs="Arial"/>
              </w:rPr>
              <w:t xml:space="preserve">la metodología de </w:t>
            </w:r>
            <w:r>
              <w:rPr>
                <w:rFonts w:ascii="Arial" w:eastAsia="Arial" w:hAnsi="Arial" w:cs="Arial"/>
              </w:rPr>
              <w:t>integración y entrega continua</w:t>
            </w:r>
            <w:r w:rsidR="00514D0D">
              <w:rPr>
                <w:rFonts w:ascii="Arial" w:eastAsia="Arial" w:hAnsi="Arial" w:cs="Arial"/>
              </w:rPr>
              <w:t>, como también validar la ejecución de pruebas automatizadas que mejoran la calidad del software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52B9CC5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TEORIA SOBRE 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6079CE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>: Comprender el concepto de metodologías ágiles y de la más popular actualmente SCRUM.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4DD67C85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 w:rsidR="00635429">
        <w:rPr>
          <w:rFonts w:ascii="Verdana" w:eastAsia="Verdana" w:hAnsi="Verdana" w:cs="Verdana"/>
          <w:bCs/>
          <w:color w:val="000000"/>
        </w:rPr>
        <w:t xml:space="preserve"> de software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7F1E197B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r w:rsidR="00ED4BBA">
        <w:rPr>
          <w:rFonts w:ascii="Verdana" w:eastAsia="Verdana" w:hAnsi="Verdana" w:cs="Verdana"/>
          <w:bCs/>
          <w:color w:val="000000"/>
        </w:rPr>
        <w:t>metodologías</w:t>
      </w:r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E55933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EC870ED" w14:textId="3292F40B" w:rsidR="00E55933" w:rsidRPr="00AA0DC2" w:rsidRDefault="00E5593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Roles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36A40640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Epicas.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Planning.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Daily.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Review</w:t>
      </w:r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Restrospective.</w:t>
      </w:r>
    </w:p>
    <w:p w14:paraId="15643643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01B79F3" w14:textId="49224554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2: PRACTICA DE LA METODOLOGIA SCRUM</w:t>
      </w:r>
    </w:p>
    <w:p w14:paraId="4A46F20C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1EC096CB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5D65BAD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2BCD24C" w14:textId="08227B2D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Conocer sobre la implementación del SCRUM dentro de un equipo de desarrollo y la participación efectiva de cada uno de sus eventos.</w:t>
      </w:r>
    </w:p>
    <w:p w14:paraId="40DC767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204DA908" w14:textId="6E57093E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5BA60AD6" w14:textId="5800C4F5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</w:t>
      </w:r>
      <w:r w:rsidR="00E55933">
        <w:rPr>
          <w:rFonts w:ascii="Verdana" w:eastAsia="Verdana" w:hAnsi="Verdana" w:cs="Verdana"/>
          <w:bCs/>
          <w:color w:val="000000"/>
        </w:rPr>
        <w:t xml:space="preserve"> y roles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C8BDC4E" w14:textId="4D5C4CD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34307BA" w14:textId="39FD8176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21A52F2B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realización de planning.</w:t>
      </w:r>
    </w:p>
    <w:p w14:paraId="23A69172" w14:textId="08362E91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realización de daily.</w:t>
      </w:r>
    </w:p>
    <w:p w14:paraId="3AB6886C" w14:textId="4E183A8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de review.</w:t>
      </w:r>
    </w:p>
    <w:p w14:paraId="112C5D01" w14:textId="26A61FA1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de restrospective.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09024564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3: TEORIA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5F723CB3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Identificar los conceptos de integración y entrega continua como también de las pruebas automatizadas.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4F37F3C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  <w:r w:rsidR="00E55933">
        <w:rPr>
          <w:rFonts w:ascii="Verdana" w:eastAsia="Verdana" w:hAnsi="Verdana" w:cs="Verdana"/>
          <w:bCs/>
          <w:color w:val="000000"/>
        </w:rPr>
        <w:t xml:space="preserve"> en la organización.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r w:rsidR="0092247A">
        <w:rPr>
          <w:rFonts w:ascii="Verdana" w:eastAsia="Verdana" w:hAnsi="Verdana" w:cs="Verdana"/>
          <w:bCs/>
          <w:color w:val="000000"/>
        </w:rPr>
        <w:t>build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5D4355B" w14:textId="59FA454C" w:rsidR="0092247A" w:rsidRPr="00635429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64D7EF23" w14:textId="77777777" w:rsidR="00635429" w:rsidRDefault="00635429" w:rsidP="0063542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17CDCF57" w14:textId="77777777" w:rsidR="00635429" w:rsidRPr="00635429" w:rsidRDefault="00635429" w:rsidP="0063542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0FF99F9F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192C5E9" w14:textId="18AAD30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10CA9">
        <w:rPr>
          <w:rFonts w:ascii="Verdana" w:eastAsia="Verdana" w:hAnsi="Verdana" w:cs="Verdana"/>
          <w:b/>
          <w:color w:val="000000"/>
        </w:rPr>
        <w:t>4</w:t>
      </w:r>
      <w:r>
        <w:rPr>
          <w:rFonts w:ascii="Verdana" w:eastAsia="Verdana" w:hAnsi="Verdana" w:cs="Verdana"/>
          <w:b/>
          <w:color w:val="000000"/>
        </w:rPr>
        <w:t xml:space="preserve">: PRACTICA </w:t>
      </w:r>
      <w:r w:rsidR="00D10CA9">
        <w:rPr>
          <w:rFonts w:ascii="Verdana" w:eastAsia="Verdana" w:hAnsi="Verdana" w:cs="Verdana"/>
          <w:b/>
          <w:color w:val="000000"/>
        </w:rPr>
        <w:t>INTEGRACION Y ENTREGA CONTINUA</w:t>
      </w:r>
    </w:p>
    <w:p w14:paraId="16BF44E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C4044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74E5CD65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F058A36" w14:textId="64104E1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 finalizar esta unidad el estudiante estará en capacidad de: </w:t>
      </w:r>
      <w:r w:rsidR="00D10CA9">
        <w:rPr>
          <w:rFonts w:ascii="Verdana" w:eastAsia="Verdana" w:hAnsi="Verdana" w:cs="Verdana"/>
          <w:color w:val="000000"/>
        </w:rPr>
        <w:t>Aplicar la metodología de integración y entrega continua, como también validar la ejecución de pruebas automatizadas que mejoran la calidad del software.</w:t>
      </w:r>
    </w:p>
    <w:p w14:paraId="0294107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0548465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D82FDA0" w14:textId="7EC2B298" w:rsidR="0092247A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Mini proyecto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53FFCA0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build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Github).</w:t>
      </w:r>
    </w:p>
    <w:p w14:paraId="2B70EF7C" w14:textId="1A4D2D4C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pipeline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3D3FA69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</w:t>
      </w:r>
      <w:r w:rsidR="0047162F">
        <w:rPr>
          <w:rFonts w:ascii="Verdana" w:eastAsia="Verdana" w:hAnsi="Verdana" w:cs="Verdana"/>
          <w:bCs/>
          <w:color w:val="000000"/>
        </w:rPr>
        <w:t xml:space="preserve"> de los resultados</w:t>
      </w:r>
      <w:r>
        <w:rPr>
          <w:rFonts w:ascii="Verdana" w:eastAsia="Verdana" w:hAnsi="Verdana" w:cs="Verdana"/>
          <w:bCs/>
          <w:color w:val="000000"/>
        </w:rPr>
        <w:t xml:space="preserve"> de</w:t>
      </w:r>
      <w:r w:rsidR="0047162F">
        <w:rPr>
          <w:rFonts w:ascii="Verdana" w:eastAsia="Verdana" w:hAnsi="Verdana" w:cs="Verdana"/>
          <w:bCs/>
          <w:color w:val="000000"/>
        </w:rPr>
        <w:t xml:space="preserve"> las</w:t>
      </w:r>
      <w:r>
        <w:rPr>
          <w:rFonts w:ascii="Verdana" w:eastAsia="Verdana" w:hAnsi="Verdana" w:cs="Verdana"/>
          <w:bCs/>
          <w:color w:val="000000"/>
        </w:rPr>
        <w:t xml:space="preserve"> pruebas automatizadas.</w:t>
      </w:r>
    </w:p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EBB0592" w14:textId="2F6D332B" w:rsidR="00ED4BBA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35AF95A9" w14:textId="4FFE76EF" w:rsidR="00ED4BBA" w:rsidRDefault="00ED4B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</w:t>
      </w:r>
      <w:r w:rsidR="00F001C0">
        <w:rPr>
          <w:rFonts w:ascii="Verdana" w:eastAsia="Verdana" w:hAnsi="Verdana" w:cs="Verdana"/>
        </w:rPr>
        <w:t>NIDAD</w:t>
      </w:r>
      <w:r>
        <w:rPr>
          <w:rFonts w:ascii="Verdana" w:eastAsia="Verdana" w:hAnsi="Verdana" w:cs="Verdana"/>
        </w:rPr>
        <w:t xml:space="preserve"> 1: TEORIA SOBRE METODOLOGIAS AGILES.</w:t>
      </w:r>
    </w:p>
    <w:p w14:paraId="2D7490A4" w14:textId="391C33E5" w:rsidR="00ED4BBA" w:rsidRDefault="00ED4BBA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 w:rsidRPr="00F001C0">
        <w:rPr>
          <w:rFonts w:ascii="Verdana" w:eastAsia="Verdana" w:hAnsi="Verdana" w:cs="Verdana"/>
        </w:rPr>
        <w:t>Se dará como activación una situación problema en la industria del software con respecto al uso de una metodología tradicional y una metodología ágil</w:t>
      </w:r>
      <w:r w:rsidR="00F001C0">
        <w:rPr>
          <w:rFonts w:ascii="Verdana" w:eastAsia="Verdana" w:hAnsi="Verdana" w:cs="Verdana"/>
        </w:rPr>
        <w:t>, como también se enfatizará en SCRUM, los roles y eventos</w:t>
      </w:r>
      <w:r w:rsidRPr="00F001C0">
        <w:rPr>
          <w:rFonts w:ascii="Verdana" w:eastAsia="Verdana" w:hAnsi="Verdana" w:cs="Verdana"/>
        </w:rPr>
        <w:t>. Además, como parte de estructuración mediante diapositivas se dará el conocimiento del concepto de una metodología ágil y de la metodología tradicional</w:t>
      </w:r>
      <w:r w:rsidR="00F001C0">
        <w:rPr>
          <w:rFonts w:ascii="Verdana" w:eastAsia="Verdana" w:hAnsi="Verdana" w:cs="Verdana"/>
        </w:rPr>
        <w:t xml:space="preserve">, profundizando en los roles y eventos del SCRUM y un caso de uso </w:t>
      </w:r>
      <w:r w:rsidR="00215E88">
        <w:rPr>
          <w:rFonts w:ascii="Verdana" w:eastAsia="Verdana" w:hAnsi="Verdana" w:cs="Verdana"/>
        </w:rPr>
        <w:t>de este</w:t>
      </w:r>
      <w:r w:rsidRPr="00F001C0">
        <w:rPr>
          <w:rFonts w:ascii="Verdana" w:eastAsia="Verdana" w:hAnsi="Verdana" w:cs="Verdana"/>
        </w:rPr>
        <w:t>.</w:t>
      </w:r>
      <w:r w:rsidR="00F001C0" w:rsidRPr="00F001C0">
        <w:rPr>
          <w:rFonts w:ascii="Verdana" w:eastAsia="Verdana" w:hAnsi="Verdana" w:cs="Verdana"/>
        </w:rPr>
        <w:t xml:space="preserve"> </w:t>
      </w:r>
    </w:p>
    <w:p w14:paraId="104D2A42" w14:textId="654EF5B7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2: PRACTICA DE METODOLOGIA SCRUM.</w:t>
      </w:r>
    </w:p>
    <w:p w14:paraId="47E81CE9" w14:textId="2B6E64FF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 dará como estructuración al estudiante mediante diapositivas un ejemplo de caso de uso del SCRUM en la industria del software. Y como aplicación se conformarán grupos de clase para la elaboración de un ciclo de SCRUM, realización de un planning, daily, restrospective y review, lo anterior haciendo uso de una herramienta como Jira o Azure Devops.</w:t>
      </w:r>
    </w:p>
    <w:p w14:paraId="00D6AE72" w14:textId="2B7D1A49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3: TEORIA SOBRE INTEGRACION Y ENTREGA CONTINUA.</w:t>
      </w:r>
    </w:p>
    <w:p w14:paraId="5DC83966" w14:textId="4547D6D5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</w:t>
      </w:r>
      <w:r w:rsidR="00215E88">
        <w:rPr>
          <w:rFonts w:ascii="Verdana" w:eastAsia="Verdana" w:hAnsi="Verdana" w:cs="Verdana"/>
        </w:rPr>
        <w:t>como activación una situación problema en la industria del software con respecto a como se trabajaba antes del concepto de CI/CD y como actualmente se ha hecho tan beneficioso el uso de CI/CD en la organización. Como también se mediante diapositivas se profundizará en los conceptos de: Devops, CI, CD, el artefacto build, pipeline y como las pruebas automatizadas interactúan con los anteriores artefactos.</w:t>
      </w:r>
    </w:p>
    <w:p w14:paraId="3632C194" w14:textId="5404EF89" w:rsidR="00215E88" w:rsidRDefault="00215E88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UNIDAD 4: </w:t>
      </w:r>
      <w:r w:rsidR="00C276B2">
        <w:rPr>
          <w:rFonts w:ascii="Verdana" w:eastAsia="Verdana" w:hAnsi="Verdana" w:cs="Verdana"/>
        </w:rPr>
        <w:t>PRACTICA DE INTEGRACION Y ENTREGA CONTINUA</w:t>
      </w:r>
    </w:p>
    <w:p w14:paraId="4001ABBF" w14:textId="7596E9A4" w:rsidR="0083058F" w:rsidRPr="00F94AD4" w:rsidRDefault="00C276B2" w:rsidP="00F94AD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 dará como estructuración la explicación mediante diapositivas de la compilación y la configuraciones de despliegue como también se demostrar la forma en que se construye un build y un pipeline para la ejecución de pruebas automatizadas, lo anterior se puede reflejar en la aplicación haciendo una practica con la herramienta Github Actions o Azure Devops, entregando a los estudiantes un mini proyecto y ellos construyendo los artefactos necesarios para las ejecución de unas pruebas automatizadas.</w:t>
      </w: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48DA213F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lastRenderedPageBreak/>
              <w:t>Unidad 1: TEORIA SOBRE METODOLOGIAS AGILES</w:t>
            </w:r>
          </w:p>
        </w:tc>
        <w:tc>
          <w:tcPr>
            <w:tcW w:w="2720" w:type="dxa"/>
          </w:tcPr>
          <w:p w14:paraId="76EC5A0C" w14:textId="0452266E" w:rsidR="0083058F" w:rsidRPr="00CB286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Indagación 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abierta 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sobre Kanban, Lean y XP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64476A41" w14:textId="78F67746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5FDDE89E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2: PRACTICA DE METODOLOGIA SCRUM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Proyecto de creación de entidad, épicas, historias de usuario y descripción de evento en herramienta Jira o Azure Devops</w:t>
            </w:r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7E9438A1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35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1EE5DD6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3: TEORIA INTEGRACION Y ENTREGA CONTINUA</w:t>
            </w:r>
          </w:p>
        </w:tc>
        <w:tc>
          <w:tcPr>
            <w:tcW w:w="2720" w:type="dxa"/>
          </w:tcPr>
          <w:p w14:paraId="0643F110" w14:textId="17F65349" w:rsidR="0083058F" w:rsidRDefault="007E5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Indagación</w:t>
            </w:r>
            <w:r w:rsidR="005A529A">
              <w:rPr>
                <w:rFonts w:ascii="Verdana" w:eastAsia="Verdana" w:hAnsi="Verdana" w:cs="Verdana"/>
                <w:i w:val="0"/>
                <w:color w:val="auto"/>
              </w:rPr>
              <w:t xml:space="preserve"> abierta</w:t>
            </w:r>
            <w:r>
              <w:rPr>
                <w:rFonts w:ascii="Verdana" w:eastAsia="Verdana" w:hAnsi="Verdana" w:cs="Verdana"/>
                <w:i w:val="0"/>
                <w:color w:val="auto"/>
              </w:rPr>
              <w:t>: ¿Cuáles y porque son plataformas para la integración y entrega continua? (Jenkins, Azure Devops, Github)</w:t>
            </w:r>
          </w:p>
        </w:tc>
        <w:tc>
          <w:tcPr>
            <w:tcW w:w="2725" w:type="dxa"/>
          </w:tcPr>
          <w:p w14:paraId="778399C6" w14:textId="4C9D329F" w:rsidR="0083058F" w:rsidRP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1</w:t>
            </w:r>
            <w:r w:rsidR="007E5E79">
              <w:rPr>
                <w:rFonts w:ascii="Verdana" w:eastAsia="Verdana" w:hAnsi="Verdana" w:cs="Verdana"/>
                <w:i w:val="0"/>
                <w:color w:val="auto"/>
              </w:rPr>
              <w:t>0</w:t>
            </w:r>
            <w:r w:rsidR="00CB286F">
              <w:rPr>
                <w:rFonts w:ascii="Verdana" w:eastAsia="Verdana" w:hAnsi="Verdana" w:cs="Verdana"/>
                <w:i w:val="0"/>
                <w:color w:val="auto"/>
              </w:rPr>
              <w:t>%</w:t>
            </w:r>
          </w:p>
        </w:tc>
      </w:tr>
      <w:tr w:rsidR="00975504" w14:paraId="778C65FB" w14:textId="77777777">
        <w:tc>
          <w:tcPr>
            <w:tcW w:w="2689" w:type="dxa"/>
          </w:tcPr>
          <w:p w14:paraId="68E2601C" w14:textId="299E9C4A" w:rsidR="00975504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4F8DF467" w14:textId="38D2435A" w:rsidR="00975504" w:rsidRDefault="00776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 w:rsidRPr="00776AED">
              <w:rPr>
                <w:rFonts w:ascii="Verdana" w:eastAsia="Verdana" w:hAnsi="Verdana" w:cs="Verdana"/>
                <w:i w:val="0"/>
              </w:rPr>
              <w:t>Problematización de aplicación paso a paso de un caso de la integración y entrega continua</w:t>
            </w:r>
            <w:r w:rsidR="009508A4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13E5F248" w14:textId="45ABEDB4" w:rsidR="00975504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10%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3DA222BE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1BA2F568" w14:textId="68FBD6BD" w:rsidR="00CB286F" w:rsidRDefault="00776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P</w:t>
            </w:r>
            <w:r w:rsidR="00CB286F">
              <w:rPr>
                <w:rFonts w:ascii="Verdana" w:eastAsia="Verdana" w:hAnsi="Verdana" w:cs="Verdana"/>
                <w:i w:val="0"/>
              </w:rPr>
              <w:t>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4B07151D" w:rsidR="00CB286F" w:rsidRDefault="00975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35</w:t>
            </w:r>
            <w:r w:rsidR="00CB286F">
              <w:rPr>
                <w:rFonts w:ascii="Verdana" w:eastAsia="Verdana" w:hAnsi="Verdana" w:cs="Verdana"/>
                <w:i w:val="0"/>
              </w:rPr>
              <w:t>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2EC52D1C" w14:textId="77777777" w:rsidR="00D07E27" w:rsidRDefault="00000000" w:rsidP="00D07E27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BIBLIOGRAFÍA</w:t>
      </w:r>
    </w:p>
    <w:p w14:paraId="66170D73" w14:textId="77777777" w:rsidR="00D07E27" w:rsidRDefault="00881AAA" w:rsidP="00D07E2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Atlassian (2024). Que es el SCRUM. Disponible en: </w:t>
      </w:r>
      <w:hyperlink r:id="rId8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https://www.atlassian.com/es/agile/scrum</w:t>
        </w:r>
      </w:hyperlink>
    </w:p>
    <w:p w14:paraId="5A1073D8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>- Lasa, Carmen et al (2017). Métodos agiles. SCRUM Y KANBAN. ANAYA</w:t>
      </w:r>
    </w:p>
    <w:p w14:paraId="0D8BCA65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Microsoft. (2024). Implementación de procedimientos de SCRUM para el equipo en Azure Devops. Disponible en: </w:t>
      </w:r>
      <w:hyperlink r:id="rId9" w:history="1">
        <w:r w:rsidRPr="00560510">
          <w:rPr>
            <w:rStyle w:val="Hipervnculo"/>
            <w:rFonts w:ascii="Verdana" w:eastAsia="Verdana" w:hAnsi="Verdana" w:cs="Verdana"/>
            <w:bCs/>
          </w:rPr>
          <w:t>https://learn.microsoft.com/es-es/azure/devops/boards/sprints/scrum-overview?view=azure-devops</w:t>
        </w:r>
      </w:hyperlink>
    </w:p>
    <w:p w14:paraId="2CA1CC04" w14:textId="77777777" w:rsidR="00D07E27" w:rsidRDefault="00881AAA" w:rsidP="00D07E2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Atlassian. (2024). ¿Qué es la integración continua? Disponible en: </w:t>
      </w:r>
      <w:hyperlink r:id="rId10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https://www.atlassian.com/es/continuous-delivery/continuous-integration</w:t>
        </w:r>
      </w:hyperlink>
    </w:p>
    <w:p w14:paraId="0CA82C22" w14:textId="77777777" w:rsidR="007E61A7" w:rsidRDefault="00881AAA" w:rsidP="007E61A7">
      <w:pPr>
        <w:jc w:val="both"/>
        <w:rPr>
          <w:rStyle w:val="Hipervnculo"/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Amazon Web Services. (2024) ¿Qué es la entrega continua? Disponible en: </w:t>
      </w:r>
      <w:hyperlink r:id="rId11" w:history="1">
        <w:r w:rsidRPr="00560510">
          <w:rPr>
            <w:rStyle w:val="Hipervnculo"/>
            <w:rFonts w:ascii="Verdana" w:eastAsia="Verdana" w:hAnsi="Verdana" w:cs="Verdana"/>
            <w:bCs/>
          </w:rPr>
          <w:t>https://aws.amazon.com/es/devops/continuous-delivery/</w:t>
        </w:r>
      </w:hyperlink>
    </w:p>
    <w:p w14:paraId="47CCEE1C" w14:textId="089664DD" w:rsidR="0083058F" w:rsidRDefault="00881AAA" w:rsidP="007E61A7">
      <w:pP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RedHat. (2024). La integración y entrega continua CI/CD. Disponible en: </w:t>
      </w:r>
      <w:hyperlink r:id="rId12" w:history="1">
        <w:r w:rsidRPr="00560510">
          <w:rPr>
            <w:rStyle w:val="Hipervnculo"/>
            <w:rFonts w:ascii="Verdana" w:eastAsia="Verdana" w:hAnsi="Verdana" w:cs="Verdana"/>
            <w:bCs/>
          </w:rPr>
          <w:t>https://www.redhat.com/es/topics/devops/what-is-ci-cd</w:t>
        </w:r>
      </w:hyperlink>
    </w:p>
    <w:p w14:paraId="6EE9B62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361D926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E94DFB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03FD97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D8A52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5512AD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2107F8F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2AEB321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64DA9BE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9758BF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29952B1" w14:textId="77777777" w:rsidR="007E61A7" w:rsidRDefault="007E61A7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2141A44" w14:textId="77777777" w:rsidR="007E61A7" w:rsidRPr="00881AAA" w:rsidRDefault="007E61A7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GRÁFICO TEMÁTICO:</w:t>
      </w:r>
    </w:p>
    <w:p w14:paraId="4E1712B4" w14:textId="5300C863" w:rsidR="005E65C8" w:rsidRDefault="004374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60144EE3" wp14:editId="7C9E3219">
            <wp:extent cx="5400040" cy="2792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4F6839A2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Autor temático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46E0AD2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E096FA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215E88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2BDC" w14:textId="77777777" w:rsidR="008C1268" w:rsidRDefault="008C1268">
      <w:r>
        <w:separator/>
      </w:r>
    </w:p>
  </w:endnote>
  <w:endnote w:type="continuationSeparator" w:id="0">
    <w:p w14:paraId="67B1B854" w14:textId="77777777" w:rsidR="008C1268" w:rsidRDefault="008C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5A6C" w14:textId="77777777" w:rsidR="008C1268" w:rsidRDefault="008C1268">
      <w:r>
        <w:separator/>
      </w:r>
    </w:p>
  </w:footnote>
  <w:footnote w:type="continuationSeparator" w:id="0">
    <w:p w14:paraId="6464F8ED" w14:textId="77777777" w:rsidR="008C1268" w:rsidRDefault="008C1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215E88"/>
    <w:rsid w:val="0026105D"/>
    <w:rsid w:val="00295959"/>
    <w:rsid w:val="00385480"/>
    <w:rsid w:val="003D7D6B"/>
    <w:rsid w:val="003E45B0"/>
    <w:rsid w:val="003F034F"/>
    <w:rsid w:val="00411E82"/>
    <w:rsid w:val="0043743D"/>
    <w:rsid w:val="0047162F"/>
    <w:rsid w:val="005053CB"/>
    <w:rsid w:val="00514D0D"/>
    <w:rsid w:val="00552E3C"/>
    <w:rsid w:val="00580990"/>
    <w:rsid w:val="005A529A"/>
    <w:rsid w:val="005E65C8"/>
    <w:rsid w:val="006330A2"/>
    <w:rsid w:val="00635429"/>
    <w:rsid w:val="00671683"/>
    <w:rsid w:val="0068484F"/>
    <w:rsid w:val="006A6304"/>
    <w:rsid w:val="006D024E"/>
    <w:rsid w:val="00776AED"/>
    <w:rsid w:val="007E5E79"/>
    <w:rsid w:val="007E61A7"/>
    <w:rsid w:val="008049CC"/>
    <w:rsid w:val="00817115"/>
    <w:rsid w:val="0083058F"/>
    <w:rsid w:val="00881AAA"/>
    <w:rsid w:val="008C1268"/>
    <w:rsid w:val="0092247A"/>
    <w:rsid w:val="009508A4"/>
    <w:rsid w:val="00953E31"/>
    <w:rsid w:val="00975504"/>
    <w:rsid w:val="00A119F9"/>
    <w:rsid w:val="00A1643C"/>
    <w:rsid w:val="00A64E40"/>
    <w:rsid w:val="00AA0DC2"/>
    <w:rsid w:val="00AF5670"/>
    <w:rsid w:val="00B2399E"/>
    <w:rsid w:val="00B62CB5"/>
    <w:rsid w:val="00BD61A4"/>
    <w:rsid w:val="00C00FFD"/>
    <w:rsid w:val="00C276B2"/>
    <w:rsid w:val="00C31C6D"/>
    <w:rsid w:val="00C677A5"/>
    <w:rsid w:val="00C97DD9"/>
    <w:rsid w:val="00CB286F"/>
    <w:rsid w:val="00D07E27"/>
    <w:rsid w:val="00D10CA9"/>
    <w:rsid w:val="00D25D4F"/>
    <w:rsid w:val="00D543AC"/>
    <w:rsid w:val="00D7367F"/>
    <w:rsid w:val="00E55933"/>
    <w:rsid w:val="00EC226D"/>
    <w:rsid w:val="00EC409A"/>
    <w:rsid w:val="00ED4BBA"/>
    <w:rsid w:val="00F001C0"/>
    <w:rsid w:val="00F94AD4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tlassian.com/es/continuous-delivery/continuous-integr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37</cp:revision>
  <dcterms:created xsi:type="dcterms:W3CDTF">2017-02-27T13:17:00Z</dcterms:created>
  <dcterms:modified xsi:type="dcterms:W3CDTF">2024-05-22T14:40:00Z</dcterms:modified>
</cp:coreProperties>
</file>