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Una interfaz gráfica con elementos visuales en un ordenador se denomina WIMP(Windows, icons, menus, pointer device). Estas siglas definen la base de la interacción con la interfaz, mediante un puntero sobre ventanas e iconos y menús. La versión de interfaces WIMP para teléfonos móviles y tablets se denomina interacción post-WIMP. Los componentes visuales tienen propiedades y atributos, y se podrán vincular a eventos.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elementos se usan para crear estructuras dinámicas o estáticas para la interfaz. </w:t>
      </w:r>
    </w:p>
    <w:p w:rsidR="00000000" w:rsidDel="00000000" w:rsidP="00000000" w:rsidRDefault="00000000" w:rsidRPr="00000000" w14:paraId="00000004">
      <w:pPr>
        <w:rPr/>
      </w:pPr>
      <w:r w:rsidDel="00000000" w:rsidR="00000000" w:rsidRPr="00000000">
        <w:rPr>
          <w:rtl w:val="0"/>
        </w:rPr>
        <w:t xml:space="preserve">Una clase es un conjunto de propiedades y métodos relacionados en un contexto de programación orientada a objetos. </w:t>
      </w:r>
    </w:p>
    <w:p w:rsidR="00000000" w:rsidDel="00000000" w:rsidP="00000000" w:rsidRDefault="00000000" w:rsidRPr="00000000" w14:paraId="00000005">
      <w:pPr>
        <w:rPr/>
      </w:pPr>
      <w:r w:rsidDel="00000000" w:rsidR="00000000" w:rsidRPr="00000000">
        <w:rPr>
          <w:rtl w:val="0"/>
        </w:rPr>
        <w:t xml:space="preserve">Un componente es una clase de uso específico que se podrá arrastrar al formulario. La diferencia con una clase es que cada componente es fácil de configurar mediante una lista de propiedades, métodos y eventos.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Hay dos tipos de tiempos en que se inicializan los componentes: En tiempo de diseño / estático, y en tiempo de ejecución / dinámico.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EVENTOS VINCULADOS: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Durante el tiempo de ejecución, los eventos podrán ejecutarse mediante la interacción del usuario o de manera automática. Estos sucesos pueden ser síncronos mediante un reloj o asíncronos mediante la interacción.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CLASIFICACIÓN DE COMPONENTES:</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Visuales / No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Estructurales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Avanzados para la web 2.0</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Los contenedores agrupan otros componentes, como los formularios o paneles.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Los estructurales sirven para crear la estructura estática, como una ventana o un menú.</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 de interacción permiten a los desarrolladores implementar acciones que manejen datos; algunos de ellos son los controles / botones.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Los componentes para la web 2.0 usan nuevos efectos más dinámicos y avanzados.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COMPONENTES MÁS HABITUALES: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Botones, imágenes, barras de progreso, casilla de selección, cuadro de lista, cuadro de texto y comboBox.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Glade es una herramienta libre de desarrollo de interfaces muy usada para entornos XML.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PLATAFORMAS RICH-CLIENT Y THIN-CLIENT: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Las plataformas Thin-Client son programas que dependen de otros para su ejecución. Una de ellas es una página web estática. Un cliente ligero suele ejecutarse en un navegador web que se encuentra en un ordenador cliente que se conecta a un servidor con la información. Este trabaja de forma independiente por capas.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 plataformas Rich-Client no dependen de otras aplicaciones.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